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E6499">
      <w:pPr>
        <w:rPr>
          <w:rFonts w:hint="eastAsia" w:ascii="Times New Roman" w:hAnsi="Times New Roman" w:eastAsia="方正仿宋_GB2312" w:cs="方正仿宋_GB2312"/>
          <w:color w:val="auto"/>
          <w:sz w:val="36"/>
          <w:szCs w:val="36"/>
          <w:lang w:eastAsia="zh-CN"/>
        </w:rPr>
      </w:pPr>
      <w:r>
        <w:rPr>
          <w:rFonts w:hint="eastAsia" w:ascii="Times New Roman" w:hAnsi="Times New Roman" w:eastAsia="方正仿宋_GB2312" w:cs="方正仿宋_GB2312"/>
          <w:color w:val="auto"/>
          <w:sz w:val="36"/>
          <w:szCs w:val="36"/>
          <w:lang w:eastAsia="zh-CN"/>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6102350" cy="8629650"/>
            <wp:effectExtent l="0" t="0" r="12700" b="0"/>
            <wp:wrapNone/>
            <wp:docPr id="124" name="图片 124" descr="盖章资料(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盖章资料(2)_01"/>
                    <pic:cNvPicPr>
                      <a:picLocks noChangeAspect="1"/>
                    </pic:cNvPicPr>
                  </pic:nvPicPr>
                  <pic:blipFill>
                    <a:blip r:embed="rId10"/>
                    <a:stretch>
                      <a:fillRect/>
                    </a:stretch>
                  </pic:blipFill>
                  <pic:spPr>
                    <a:xfrm>
                      <a:off x="0" y="0"/>
                      <a:ext cx="6102350" cy="8629650"/>
                    </a:xfrm>
                    <a:prstGeom prst="rect">
                      <a:avLst/>
                    </a:prstGeom>
                  </pic:spPr>
                </pic:pic>
              </a:graphicData>
            </a:graphic>
          </wp:anchor>
        </w:drawing>
      </w:r>
    </w:p>
    <w:p w14:paraId="5FA1EAC2">
      <w:pPr>
        <w:rPr>
          <w:rFonts w:hint="eastAsia" w:ascii="Times New Roman" w:hAnsi="Times New Roman" w:eastAsia="方正仿宋_GB2312" w:cs="方正仿宋_GB2312"/>
          <w:color w:val="auto"/>
          <w:sz w:val="36"/>
          <w:szCs w:val="36"/>
          <w:lang w:eastAsia="zh-CN"/>
        </w:rPr>
      </w:pPr>
    </w:p>
    <w:p w14:paraId="1EA5B0F3">
      <w:pPr>
        <w:rPr>
          <w:rFonts w:ascii="Times New Roman" w:hAnsi="Times New Roman" w:eastAsia="方正仿宋_GB2312" w:cs="方正仿宋_GB2312"/>
          <w:color w:val="auto"/>
          <w:sz w:val="36"/>
          <w:szCs w:val="36"/>
        </w:rPr>
      </w:pPr>
    </w:p>
    <w:p w14:paraId="6EAEA7F0">
      <w:pPr>
        <w:rPr>
          <w:rFonts w:ascii="Times New Roman" w:hAnsi="Times New Roman" w:eastAsia="方正仿宋_GB2312" w:cs="方正仿宋_GB2312"/>
          <w:color w:val="auto"/>
          <w:sz w:val="36"/>
          <w:szCs w:val="36"/>
        </w:rPr>
      </w:pPr>
    </w:p>
    <w:p w14:paraId="177A69BF">
      <w:pPr>
        <w:rPr>
          <w:rFonts w:ascii="Times New Roman" w:hAnsi="Times New Roman" w:eastAsia="方正仿宋_GB2312" w:cs="方正仿宋_GB2312"/>
          <w:color w:val="auto"/>
          <w:sz w:val="36"/>
          <w:szCs w:val="36"/>
        </w:rPr>
      </w:pPr>
    </w:p>
    <w:p w14:paraId="1AE9B381">
      <w:pPr>
        <w:rPr>
          <w:rFonts w:hint="eastAsia" w:ascii="Times New Roman" w:hAnsi="Times New Roman" w:eastAsia="方正仿宋_GB2312" w:cs="方正仿宋_GB2312"/>
          <w:color w:val="auto"/>
          <w:sz w:val="36"/>
          <w:szCs w:val="36"/>
        </w:rPr>
      </w:pPr>
    </w:p>
    <w:p w14:paraId="2BE1F265">
      <w:pPr>
        <w:adjustRightInd w:val="0"/>
        <w:snapToGrid w:val="0"/>
        <w:jc w:val="center"/>
        <w:outlineLvl w:val="0"/>
        <w:rPr>
          <w:rFonts w:hint="eastAsia" w:ascii="Times New Roman" w:hAnsi="Times New Roman" w:eastAsia="方正小标宋_GBK"/>
          <w:bCs/>
          <w:color w:val="auto"/>
          <w:sz w:val="72"/>
          <w:szCs w:val="72"/>
        </w:rPr>
      </w:pPr>
      <w:bookmarkStart w:id="0" w:name="_Toc29288"/>
      <w:bookmarkStart w:id="1" w:name="_Toc26763"/>
      <w:bookmarkStart w:id="2" w:name="_Toc31309"/>
      <w:bookmarkStart w:id="3" w:name="_Toc26336"/>
      <w:bookmarkStart w:id="4" w:name="_Toc1352"/>
      <w:bookmarkStart w:id="5" w:name="_Toc27409"/>
      <w:r>
        <w:rPr>
          <w:rFonts w:hint="eastAsia" w:ascii="Times New Roman" w:hAnsi="Times New Roman" w:eastAsia="方正小标宋_GBK"/>
          <w:bCs/>
          <w:color w:val="auto"/>
          <w:sz w:val="72"/>
          <w:szCs w:val="72"/>
        </w:rPr>
        <w:t>建设项目环境影响报告表</w:t>
      </w:r>
      <w:bookmarkEnd w:id="0"/>
      <w:bookmarkEnd w:id="1"/>
      <w:bookmarkEnd w:id="2"/>
      <w:bookmarkEnd w:id="3"/>
      <w:bookmarkEnd w:id="4"/>
      <w:bookmarkEnd w:id="5"/>
    </w:p>
    <w:p w14:paraId="1158299D">
      <w:pPr>
        <w:adjustRightInd w:val="0"/>
        <w:snapToGrid w:val="0"/>
        <w:spacing w:before="192" w:beforeLines="80"/>
        <w:jc w:val="center"/>
        <w:rPr>
          <w:rFonts w:hint="eastAsia" w:ascii="Times New Roman" w:hAnsi="Times New Roman" w:eastAsia="方正楷体_GB2312"/>
          <w:bCs/>
          <w:color w:val="auto"/>
          <w:sz w:val="48"/>
          <w:szCs w:val="48"/>
        </w:rPr>
      </w:pPr>
      <w:r>
        <w:rPr>
          <w:rFonts w:hint="eastAsia" w:ascii="Times New Roman" w:hAnsi="Times New Roman" w:eastAsia="方正楷体_GB2312"/>
          <w:bCs/>
          <w:color w:val="auto"/>
          <w:sz w:val="48"/>
          <w:szCs w:val="48"/>
        </w:rPr>
        <w:t>（污染影响类）</w:t>
      </w:r>
    </w:p>
    <w:p w14:paraId="5C424E57">
      <w:pPr>
        <w:adjustRightInd w:val="0"/>
        <w:snapToGrid w:val="0"/>
        <w:spacing w:line="288" w:lineRule="auto"/>
        <w:jc w:val="center"/>
        <w:outlineLvl w:val="9"/>
        <w:rPr>
          <w:rFonts w:ascii="Times New Roman" w:hAnsi="Times New Roman" w:eastAsia="华文仿宋" w:cs="华文仿宋"/>
          <w:color w:val="auto"/>
          <w:kern w:val="44"/>
          <w:sz w:val="44"/>
          <w:szCs w:val="44"/>
        </w:rPr>
      </w:pPr>
    </w:p>
    <w:p w14:paraId="55D06CFA">
      <w:pPr>
        <w:jc w:val="center"/>
        <w:rPr>
          <w:rFonts w:ascii="Times New Roman" w:hAnsi="Times New Roman" w:eastAsia="仿宋"/>
          <w:color w:val="auto"/>
          <w:sz w:val="52"/>
          <w:szCs w:val="52"/>
        </w:rPr>
      </w:pPr>
    </w:p>
    <w:p w14:paraId="6DD321A1">
      <w:pPr>
        <w:ind w:firstLine="1040"/>
        <w:rPr>
          <w:rFonts w:ascii="Times New Roman" w:hAnsi="Times New Roman" w:eastAsia="仿宋"/>
          <w:color w:val="auto"/>
          <w:sz w:val="44"/>
          <w:szCs w:val="44"/>
        </w:rPr>
      </w:pPr>
    </w:p>
    <w:p w14:paraId="3CB6F886">
      <w:pPr>
        <w:ind w:firstLine="1040"/>
        <w:rPr>
          <w:rFonts w:ascii="Times New Roman" w:hAnsi="Times New Roman" w:eastAsia="仿宋"/>
          <w:color w:val="auto"/>
          <w:sz w:val="44"/>
          <w:szCs w:val="44"/>
        </w:rPr>
      </w:pPr>
    </w:p>
    <w:p w14:paraId="744B8527">
      <w:pPr>
        <w:ind w:firstLine="1040"/>
        <w:rPr>
          <w:rFonts w:ascii="Times New Roman" w:hAnsi="Times New Roman" w:eastAsia="仿宋"/>
          <w:color w:val="auto"/>
          <w:sz w:val="44"/>
          <w:szCs w:val="44"/>
        </w:rPr>
      </w:pPr>
    </w:p>
    <w:p w14:paraId="75721518">
      <w:pPr>
        <w:ind w:firstLine="1040"/>
        <w:rPr>
          <w:rFonts w:ascii="Times New Roman" w:hAnsi="Times New Roman" w:eastAsia="仿宋"/>
          <w:color w:val="auto"/>
          <w:sz w:val="44"/>
          <w:szCs w:val="44"/>
        </w:rPr>
      </w:pPr>
    </w:p>
    <w:tbl>
      <w:tblPr>
        <w:tblStyle w:val="20"/>
        <w:tblW w:w="93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67"/>
        <w:gridCol w:w="6331"/>
      </w:tblGrid>
      <w:tr w14:paraId="0DA89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3067" w:type="dxa"/>
            <w:noWrap w:val="0"/>
            <w:vAlign w:val="top"/>
          </w:tcPr>
          <w:p w14:paraId="7407FE0D">
            <w:pPr>
              <w:keepNext w:val="0"/>
              <w:keepLines w:val="0"/>
              <w:pageBreakBefore w:val="0"/>
              <w:widowControl w:val="0"/>
              <w:kinsoku/>
              <w:wordWrap/>
              <w:overflowPunct/>
              <w:topLinePunct w:val="0"/>
              <w:autoSpaceDE/>
              <w:autoSpaceDN/>
              <w:bidi w:val="0"/>
              <w:adjustRightInd w:val="0"/>
              <w:snapToGrid w:val="0"/>
              <w:spacing w:line="288" w:lineRule="auto"/>
              <w:ind w:firstLine="0"/>
              <w:jc w:val="distribute"/>
              <w:textAlignment w:val="auto"/>
              <w:rPr>
                <w:rFonts w:ascii="Times New Roman" w:hAnsi="Times New Roman"/>
                <w:color w:val="auto"/>
              </w:rPr>
            </w:pPr>
            <w:r>
              <w:rPr>
                <w:rFonts w:hint="eastAsia" w:ascii="Times New Roman" w:hAnsi="Times New Roman" w:eastAsia="方正仿宋_GB2312"/>
                <w:color w:val="auto"/>
                <w:sz w:val="36"/>
                <w:szCs w:val="36"/>
              </w:rPr>
              <w:t>项目名称</w:t>
            </w:r>
          </w:p>
        </w:tc>
        <w:tc>
          <w:tcPr>
            <w:tcW w:w="6331" w:type="dxa"/>
            <w:tcBorders>
              <w:bottom w:val="single" w:color="auto" w:sz="4" w:space="0"/>
            </w:tcBorders>
            <w:noWrap w:val="0"/>
            <w:vAlign w:val="center"/>
          </w:tcPr>
          <w:p w14:paraId="5B767E3A">
            <w:pPr>
              <w:keepNext w:val="0"/>
              <w:keepLines w:val="0"/>
              <w:pageBreakBefore w:val="0"/>
              <w:widowControl w:val="0"/>
              <w:kinsoku/>
              <w:wordWrap/>
              <w:overflowPunct/>
              <w:topLinePunct w:val="0"/>
              <w:autoSpaceDE/>
              <w:autoSpaceDN/>
              <w:bidi w:val="0"/>
              <w:adjustRightInd w:val="0"/>
              <w:snapToGrid w:val="0"/>
              <w:spacing w:line="288" w:lineRule="auto"/>
              <w:ind w:firstLine="0"/>
              <w:jc w:val="center"/>
              <w:textAlignment w:val="auto"/>
              <w:rPr>
                <w:rFonts w:hint="eastAsia" w:ascii="Times New Roman" w:hAnsi="Times New Roman" w:eastAsia="宋体"/>
                <w:color w:val="auto"/>
                <w:u w:val="none"/>
                <w:lang w:eastAsia="zh-CN"/>
              </w:rPr>
            </w:pPr>
            <w:r>
              <w:rPr>
                <w:rFonts w:hint="eastAsia" w:eastAsia="方正仿宋_GB2312" w:cs="Times New Roman"/>
                <w:color w:val="auto"/>
                <w:sz w:val="36"/>
                <w:szCs w:val="36"/>
                <w:lang w:eastAsia="zh-CN"/>
              </w:rPr>
              <w:t>创宇光电年产200万片光学元器件项目</w:t>
            </w:r>
          </w:p>
        </w:tc>
      </w:tr>
      <w:tr w14:paraId="018F1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67" w:type="dxa"/>
            <w:noWrap w:val="0"/>
            <w:vAlign w:val="top"/>
          </w:tcPr>
          <w:p w14:paraId="79D6988C">
            <w:pPr>
              <w:keepNext w:val="0"/>
              <w:keepLines w:val="0"/>
              <w:pageBreakBefore w:val="0"/>
              <w:widowControl w:val="0"/>
              <w:kinsoku/>
              <w:wordWrap/>
              <w:overflowPunct/>
              <w:topLinePunct w:val="0"/>
              <w:autoSpaceDE/>
              <w:autoSpaceDN/>
              <w:bidi w:val="0"/>
              <w:adjustRightInd w:val="0"/>
              <w:snapToGrid w:val="0"/>
              <w:spacing w:line="288" w:lineRule="auto"/>
              <w:ind w:firstLine="0"/>
              <w:jc w:val="distribute"/>
              <w:textAlignment w:val="auto"/>
              <w:rPr>
                <w:rFonts w:ascii="Times New Roman" w:hAnsi="Times New Roman"/>
                <w:color w:val="auto"/>
              </w:rPr>
            </w:pPr>
            <w:r>
              <w:rPr>
                <w:rFonts w:hint="eastAsia" w:ascii="Times New Roman" w:hAnsi="Times New Roman" w:eastAsia="方正仿宋_GB2312"/>
                <w:color w:val="auto"/>
                <w:sz w:val="36"/>
                <w:szCs w:val="36"/>
              </w:rPr>
              <w:t>建设单位（盖章）</w:t>
            </w:r>
          </w:p>
        </w:tc>
        <w:tc>
          <w:tcPr>
            <w:tcW w:w="6331" w:type="dxa"/>
            <w:tcBorders>
              <w:top w:val="single" w:color="auto" w:sz="4" w:space="0"/>
              <w:bottom w:val="single" w:color="auto" w:sz="4" w:space="0"/>
            </w:tcBorders>
            <w:noWrap w:val="0"/>
            <w:vAlign w:val="center"/>
          </w:tcPr>
          <w:p w14:paraId="06201237">
            <w:pPr>
              <w:keepNext w:val="0"/>
              <w:keepLines w:val="0"/>
              <w:pageBreakBefore w:val="0"/>
              <w:widowControl w:val="0"/>
              <w:kinsoku/>
              <w:wordWrap/>
              <w:overflowPunct/>
              <w:topLinePunct w:val="0"/>
              <w:autoSpaceDE/>
              <w:autoSpaceDN/>
              <w:bidi w:val="0"/>
              <w:adjustRightInd w:val="0"/>
              <w:snapToGrid w:val="0"/>
              <w:spacing w:line="288" w:lineRule="auto"/>
              <w:ind w:firstLine="0"/>
              <w:jc w:val="center"/>
              <w:textAlignment w:val="auto"/>
              <w:rPr>
                <w:rFonts w:ascii="Times New Roman" w:hAnsi="Times New Roman"/>
                <w:color w:val="auto"/>
                <w:u w:val="none"/>
              </w:rPr>
            </w:pPr>
            <w:r>
              <w:rPr>
                <w:rFonts w:hint="eastAsia" w:eastAsia="方正仿宋_GB2312" w:cs="Times New Roman"/>
                <w:color w:val="auto"/>
                <w:sz w:val="36"/>
                <w:szCs w:val="36"/>
                <w:lang w:val="en-US" w:eastAsia="zh-CN"/>
              </w:rPr>
              <w:t>福州创宇光电有限公司</w:t>
            </w:r>
          </w:p>
        </w:tc>
      </w:tr>
      <w:tr w14:paraId="46095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067" w:type="dxa"/>
            <w:noWrap w:val="0"/>
            <w:vAlign w:val="top"/>
          </w:tcPr>
          <w:p w14:paraId="2F80A679">
            <w:pPr>
              <w:keepNext w:val="0"/>
              <w:keepLines w:val="0"/>
              <w:pageBreakBefore w:val="0"/>
              <w:widowControl w:val="0"/>
              <w:kinsoku/>
              <w:wordWrap/>
              <w:overflowPunct/>
              <w:topLinePunct w:val="0"/>
              <w:autoSpaceDE/>
              <w:autoSpaceDN/>
              <w:bidi w:val="0"/>
              <w:adjustRightInd w:val="0"/>
              <w:snapToGrid w:val="0"/>
              <w:spacing w:line="288" w:lineRule="auto"/>
              <w:ind w:firstLine="0"/>
              <w:jc w:val="distribute"/>
              <w:textAlignment w:val="auto"/>
              <w:rPr>
                <w:rFonts w:ascii="Times New Roman" w:hAnsi="Times New Roman"/>
                <w:color w:val="auto"/>
              </w:rPr>
            </w:pPr>
            <w:r>
              <w:rPr>
                <w:rFonts w:hint="eastAsia" w:ascii="Times New Roman" w:hAnsi="Times New Roman" w:eastAsia="方正仿宋_GB2312"/>
                <w:color w:val="auto"/>
                <w:sz w:val="36"/>
                <w:szCs w:val="36"/>
              </w:rPr>
              <w:t>编制日期</w:t>
            </w:r>
          </w:p>
        </w:tc>
        <w:tc>
          <w:tcPr>
            <w:tcW w:w="6331" w:type="dxa"/>
            <w:tcBorders>
              <w:top w:val="single" w:color="auto" w:sz="4" w:space="0"/>
              <w:bottom w:val="single" w:color="auto" w:sz="4" w:space="0"/>
            </w:tcBorders>
            <w:noWrap w:val="0"/>
            <w:vAlign w:val="center"/>
          </w:tcPr>
          <w:p w14:paraId="48A9BBCB">
            <w:pPr>
              <w:keepNext w:val="0"/>
              <w:keepLines w:val="0"/>
              <w:pageBreakBefore w:val="0"/>
              <w:widowControl w:val="0"/>
              <w:kinsoku/>
              <w:wordWrap/>
              <w:overflowPunct/>
              <w:topLinePunct w:val="0"/>
              <w:autoSpaceDE/>
              <w:autoSpaceDN/>
              <w:bidi w:val="0"/>
              <w:adjustRightInd w:val="0"/>
              <w:snapToGrid w:val="0"/>
              <w:spacing w:line="288" w:lineRule="auto"/>
              <w:ind w:firstLine="0"/>
              <w:jc w:val="center"/>
              <w:textAlignment w:val="auto"/>
              <w:rPr>
                <w:rFonts w:hint="default" w:ascii="Times New Roman" w:hAnsi="Times New Roman" w:eastAsia="宋体"/>
                <w:color w:val="auto"/>
                <w:u w:val="none"/>
                <w:lang w:val="en-US" w:eastAsia="zh-CN"/>
              </w:rPr>
            </w:pPr>
            <w:r>
              <w:rPr>
                <w:rFonts w:hint="eastAsia" w:ascii="Times New Roman" w:hAnsi="Times New Roman" w:eastAsia="方正仿宋_GB2312" w:cs="Times New Roman"/>
                <w:color w:val="auto"/>
                <w:sz w:val="36"/>
                <w:szCs w:val="36"/>
                <w:lang w:val="en-US" w:eastAsia="zh-CN"/>
              </w:rPr>
              <w:t>202</w:t>
            </w:r>
            <w:r>
              <w:rPr>
                <w:rFonts w:hint="eastAsia" w:eastAsia="方正仿宋_GB2312" w:cs="Times New Roman"/>
                <w:color w:val="auto"/>
                <w:sz w:val="36"/>
                <w:szCs w:val="36"/>
                <w:lang w:val="en-US" w:eastAsia="zh-CN"/>
              </w:rPr>
              <w:t>6</w:t>
            </w:r>
            <w:r>
              <w:rPr>
                <w:rFonts w:hint="eastAsia" w:ascii="Times New Roman" w:hAnsi="Times New Roman" w:eastAsia="方正仿宋_GB2312" w:cs="Times New Roman"/>
                <w:color w:val="auto"/>
                <w:sz w:val="36"/>
                <w:szCs w:val="36"/>
                <w:lang w:val="en-US" w:eastAsia="zh-CN"/>
              </w:rPr>
              <w:t>年</w:t>
            </w:r>
            <w:r>
              <w:rPr>
                <w:rFonts w:hint="eastAsia" w:eastAsia="方正仿宋_GB2312" w:cs="Times New Roman"/>
                <w:color w:val="auto"/>
                <w:sz w:val="36"/>
                <w:szCs w:val="36"/>
                <w:lang w:val="en-US" w:eastAsia="zh-CN"/>
              </w:rPr>
              <w:t>5</w:t>
            </w:r>
            <w:r>
              <w:rPr>
                <w:rFonts w:hint="eastAsia" w:ascii="Times New Roman" w:hAnsi="Times New Roman" w:eastAsia="方正仿宋_GB2312" w:cs="Times New Roman"/>
                <w:color w:val="auto"/>
                <w:sz w:val="36"/>
                <w:szCs w:val="36"/>
                <w:lang w:val="en-US" w:eastAsia="zh-CN"/>
              </w:rPr>
              <w:t>月</w:t>
            </w:r>
          </w:p>
        </w:tc>
        <w:bookmarkStart w:id="6" w:name="_Hlk57884087"/>
      </w:tr>
    </w:tbl>
    <w:p w14:paraId="2A221ADD">
      <w:pPr>
        <w:adjustRightInd w:val="0"/>
        <w:snapToGrid w:val="0"/>
        <w:spacing w:line="288" w:lineRule="auto"/>
        <w:ind w:firstLine="1040"/>
        <w:rPr>
          <w:rFonts w:ascii="Times New Roman" w:hAnsi="Times New Roman" w:eastAsia="方正仿宋_GB2312"/>
          <w:color w:val="auto"/>
          <w:sz w:val="36"/>
          <w:szCs w:val="36"/>
          <w:u w:val="single"/>
        </w:rPr>
      </w:pPr>
    </w:p>
    <w:p w14:paraId="57B4E1E1">
      <w:pPr>
        <w:adjustRightInd w:val="0"/>
        <w:snapToGrid w:val="0"/>
        <w:spacing w:line="288" w:lineRule="auto"/>
        <w:ind w:firstLine="1040"/>
        <w:rPr>
          <w:rFonts w:ascii="Times New Roman" w:hAnsi="Times New Roman" w:eastAsia="方正仿宋_GB2312"/>
          <w:color w:val="auto"/>
          <w:sz w:val="36"/>
          <w:szCs w:val="36"/>
        </w:rPr>
      </w:pPr>
    </w:p>
    <w:p w14:paraId="69AE82C2">
      <w:pPr>
        <w:adjustRightInd w:val="0"/>
        <w:snapToGrid w:val="0"/>
        <w:spacing w:line="288" w:lineRule="auto"/>
        <w:ind w:firstLine="1040"/>
        <w:rPr>
          <w:rFonts w:ascii="Times New Roman" w:hAnsi="Times New Roman" w:eastAsia="方正仿宋_GB2312"/>
          <w:color w:val="auto"/>
          <w:sz w:val="36"/>
          <w:szCs w:val="36"/>
        </w:rPr>
      </w:pPr>
    </w:p>
    <w:p w14:paraId="25F1A49E">
      <w:pPr>
        <w:adjustRightInd w:val="0"/>
        <w:snapToGrid w:val="0"/>
        <w:spacing w:line="288" w:lineRule="auto"/>
        <w:ind w:firstLine="1040"/>
        <w:rPr>
          <w:rFonts w:hint="eastAsia" w:ascii="Times New Roman" w:hAnsi="Times New Roman" w:eastAsia="方正仿宋_GB2312"/>
          <w:color w:val="auto"/>
          <w:sz w:val="36"/>
          <w:szCs w:val="36"/>
        </w:rPr>
      </w:pPr>
    </w:p>
    <w:p w14:paraId="641F7018">
      <w:pPr>
        <w:adjustRightInd w:val="0"/>
        <w:snapToGrid w:val="0"/>
        <w:spacing w:line="288" w:lineRule="auto"/>
        <w:ind w:firstLine="1040"/>
        <w:rPr>
          <w:rFonts w:hint="eastAsia" w:ascii="Times New Roman" w:hAnsi="Times New Roman" w:eastAsia="方正仿宋_GB2312"/>
          <w:color w:val="auto"/>
          <w:sz w:val="36"/>
          <w:szCs w:val="36"/>
        </w:rPr>
      </w:pPr>
    </w:p>
    <w:bookmarkEnd w:id="6"/>
    <w:p w14:paraId="0AA4020F">
      <w:pPr>
        <w:adjustRightInd w:val="0"/>
        <w:snapToGrid w:val="0"/>
        <w:spacing w:line="288" w:lineRule="auto"/>
        <w:jc w:val="center"/>
        <w:rPr>
          <w:rFonts w:hint="eastAsia" w:ascii="Times New Roman" w:hAnsi="Times New Roman" w:eastAsia="方正楷体_GB2312"/>
          <w:color w:val="auto"/>
          <w:sz w:val="36"/>
          <w:szCs w:val="36"/>
        </w:rPr>
      </w:pPr>
      <w:r>
        <w:rPr>
          <w:rFonts w:hint="eastAsia" w:ascii="Times New Roman" w:hAnsi="Times New Roman" w:eastAsia="方正楷体_GB2312"/>
          <w:color w:val="auto"/>
          <w:sz w:val="36"/>
          <w:szCs w:val="36"/>
        </w:rPr>
        <w:t>中华人民共和国生态环境部制</w:t>
      </w:r>
    </w:p>
    <w:sdt>
      <w:sdtPr>
        <w:rPr>
          <w:rFonts w:ascii="宋体" w:hAnsi="宋体" w:eastAsia="宋体" w:cs="Times New Roman"/>
          <w:color w:val="auto"/>
          <w:kern w:val="2"/>
          <w:sz w:val="21"/>
          <w:szCs w:val="24"/>
          <w:lang w:val="en-US" w:eastAsia="zh-CN" w:bidi="ar-SA"/>
        </w:rPr>
        <w:id w:val="147461293"/>
        <w15:color w:val="DBDBDB"/>
        <w:docPartObj>
          <w:docPartGallery w:val="Table of Contents"/>
          <w:docPartUnique/>
        </w:docPartObj>
      </w:sdtPr>
      <w:sdtEndPr>
        <w:rPr>
          <w:rFonts w:ascii="宋体" w:hAnsi="宋体" w:eastAsia="宋体" w:cs="Times New Roman"/>
          <w:color w:val="auto"/>
          <w:kern w:val="2"/>
          <w:sz w:val="21"/>
          <w:szCs w:val="24"/>
          <w:lang w:val="en-US" w:eastAsia="zh-CN" w:bidi="ar-SA"/>
        </w:rPr>
      </w:sdtEndPr>
      <w:sdtContent>
        <w:p w14:paraId="51015618">
          <w:pPr>
            <w:spacing w:before="0" w:beforeLines="0" w:after="0" w:afterLines="0" w:line="240" w:lineRule="auto"/>
            <w:ind w:left="0" w:leftChars="0" w:right="0" w:rightChars="0" w:firstLine="0" w:firstLineChars="0"/>
            <w:jc w:val="center"/>
            <w:rPr>
              <w:rFonts w:ascii="宋体" w:hAnsi="宋体" w:eastAsia="宋体"/>
              <w:color w:val="auto"/>
              <w:sz w:val="21"/>
            </w:rPr>
          </w:pPr>
        </w:p>
        <w:p w14:paraId="3371A8A2">
          <w:pPr>
            <w:rPr>
              <w:rFonts w:ascii="宋体" w:hAnsi="宋体" w:eastAsia="宋体"/>
              <w:color w:val="auto"/>
              <w:sz w:val="21"/>
            </w:rPr>
          </w:pPr>
          <w:r>
            <w:rPr>
              <w:rFonts w:ascii="宋体" w:hAnsi="宋体" w:eastAsia="宋体"/>
              <w:color w:val="auto"/>
              <w:sz w:val="21"/>
            </w:rPr>
            <w:br w:type="page"/>
          </w:r>
        </w:p>
        <w:p w14:paraId="1D36EEF1">
          <w:pPr>
            <w:spacing w:before="0" w:beforeLines="0" w:after="0" w:afterLines="0" w:line="240" w:lineRule="auto"/>
            <w:ind w:left="0" w:leftChars="0" w:right="0" w:rightChars="0" w:firstLine="0" w:firstLineChars="0"/>
            <w:jc w:val="center"/>
            <w:rPr>
              <w:color w:val="auto"/>
            </w:rPr>
          </w:pPr>
          <w:r>
            <w:rPr>
              <w:rFonts w:ascii="宋体" w:hAnsi="宋体" w:eastAsia="宋体"/>
              <w:b/>
              <w:bCs/>
              <w:color w:val="auto"/>
              <w:sz w:val="24"/>
              <w:szCs w:val="32"/>
            </w:rPr>
            <w:t>目录</w:t>
          </w:r>
          <w:r>
            <w:rPr>
              <w:color w:val="auto"/>
            </w:rPr>
            <w:fldChar w:fldCharType="begin"/>
          </w:r>
          <w:r>
            <w:rPr>
              <w:color w:val="auto"/>
            </w:rPr>
            <w:instrText xml:space="preserve">TOC \o "1-3" \h \u </w:instrText>
          </w:r>
          <w:r>
            <w:rPr>
              <w:color w:val="auto"/>
            </w:rPr>
            <w:fldChar w:fldCharType="separate"/>
          </w:r>
        </w:p>
        <w:p w14:paraId="32C0482A">
          <w:pPr>
            <w:pStyle w:val="16"/>
            <w:tabs>
              <w:tab w:val="right" w:leader="dot" w:pos="8844"/>
            </w:tabs>
            <w:rPr>
              <w:color w:val="auto"/>
            </w:rPr>
          </w:pPr>
          <w:r>
            <w:rPr>
              <w:color w:val="auto"/>
            </w:rPr>
            <w:fldChar w:fldCharType="begin"/>
          </w:r>
          <w:r>
            <w:rPr>
              <w:color w:val="auto"/>
            </w:rPr>
            <w:instrText xml:space="preserve"> HYPERLINK \l _Toc2715 </w:instrText>
          </w:r>
          <w:r>
            <w:rPr>
              <w:color w:val="auto"/>
            </w:rPr>
            <w:fldChar w:fldCharType="separate"/>
          </w:r>
          <w:r>
            <w:rPr>
              <w:rFonts w:hint="eastAsia" w:ascii="Times New Roman" w:hAnsi="Times New Roman" w:eastAsia="宋体" w:cs="Times New Roman"/>
              <w:bCs w:val="0"/>
              <w:color w:val="auto"/>
              <w:lang w:val="en-US" w:eastAsia="zh-CN"/>
            </w:rPr>
            <w:t>1.</w:t>
          </w:r>
          <w:r>
            <w:rPr>
              <w:rFonts w:hint="eastAsia" w:cs="Times New Roman"/>
              <w:bCs w:val="0"/>
              <w:color w:val="auto"/>
              <w:lang w:val="en-US" w:eastAsia="zh-CN"/>
            </w:rPr>
            <w:t>1</w:t>
          </w:r>
          <w:r>
            <w:rPr>
              <w:rFonts w:hint="eastAsia" w:ascii="Times New Roman" w:hAnsi="Times New Roman" w:eastAsia="宋体" w:cs="Times New Roman"/>
              <w:bCs w:val="0"/>
              <w:color w:val="auto"/>
              <w:lang w:val="en-US" w:eastAsia="zh-CN"/>
            </w:rPr>
            <w:t>与《福州市国土空间总体规划（2021—2035年）》“三区三线”符合性分析</w:t>
          </w:r>
          <w:r>
            <w:rPr>
              <w:color w:val="auto"/>
            </w:rPr>
            <w:tab/>
          </w:r>
          <w:r>
            <w:rPr>
              <w:color w:val="auto"/>
            </w:rPr>
            <w:fldChar w:fldCharType="begin"/>
          </w:r>
          <w:r>
            <w:rPr>
              <w:color w:val="auto"/>
            </w:rPr>
            <w:instrText xml:space="preserve"> PAGEREF _Toc2715 \h </w:instrText>
          </w:r>
          <w:r>
            <w:rPr>
              <w:color w:val="auto"/>
            </w:rPr>
            <w:fldChar w:fldCharType="separate"/>
          </w:r>
          <w:r>
            <w:rPr>
              <w:color w:val="auto"/>
            </w:rPr>
            <w:t>2</w:t>
          </w:r>
          <w:r>
            <w:rPr>
              <w:color w:val="auto"/>
            </w:rPr>
            <w:fldChar w:fldCharType="end"/>
          </w:r>
          <w:r>
            <w:rPr>
              <w:color w:val="auto"/>
            </w:rPr>
            <w:fldChar w:fldCharType="end"/>
          </w:r>
        </w:p>
        <w:p w14:paraId="03AABF0F">
          <w:pPr>
            <w:pStyle w:val="16"/>
            <w:tabs>
              <w:tab w:val="right" w:leader="dot" w:pos="8844"/>
            </w:tabs>
            <w:rPr>
              <w:color w:val="auto"/>
            </w:rPr>
          </w:pPr>
          <w:r>
            <w:rPr>
              <w:color w:val="auto"/>
            </w:rPr>
            <w:fldChar w:fldCharType="begin"/>
          </w:r>
          <w:r>
            <w:rPr>
              <w:color w:val="auto"/>
            </w:rPr>
            <w:instrText xml:space="preserve"> HYPERLINK \l _Toc13412 </w:instrText>
          </w:r>
          <w:r>
            <w:rPr>
              <w:color w:val="auto"/>
            </w:rPr>
            <w:fldChar w:fldCharType="separate"/>
          </w:r>
          <w:r>
            <w:rPr>
              <w:rFonts w:hint="eastAsia" w:ascii="Times New Roman" w:hAnsi="Times New Roman" w:eastAsia="宋体" w:cs="Times New Roman"/>
              <w:bCs w:val="0"/>
              <w:color w:val="auto"/>
              <w:lang w:val="en-US" w:eastAsia="zh-CN"/>
            </w:rPr>
            <w:t>1.</w:t>
          </w:r>
          <w:r>
            <w:rPr>
              <w:rFonts w:hint="eastAsia" w:cs="Times New Roman"/>
              <w:bCs w:val="0"/>
              <w:color w:val="auto"/>
              <w:lang w:val="en-US" w:eastAsia="zh-CN"/>
            </w:rPr>
            <w:t>2</w:t>
          </w:r>
          <w:r>
            <w:rPr>
              <w:rFonts w:hint="eastAsia" w:ascii="Times New Roman" w:hAnsi="Times New Roman" w:eastAsia="宋体" w:cs="Times New Roman"/>
              <w:bCs w:val="0"/>
              <w:color w:val="auto"/>
              <w:lang w:val="en-US" w:eastAsia="zh-CN"/>
            </w:rPr>
            <w:t>产业政策适宜性分析</w:t>
          </w:r>
          <w:r>
            <w:rPr>
              <w:color w:val="auto"/>
            </w:rPr>
            <w:tab/>
          </w:r>
          <w:r>
            <w:rPr>
              <w:color w:val="auto"/>
            </w:rPr>
            <w:fldChar w:fldCharType="begin"/>
          </w:r>
          <w:r>
            <w:rPr>
              <w:color w:val="auto"/>
            </w:rPr>
            <w:instrText xml:space="preserve"> PAGEREF _Toc13412 \h </w:instrText>
          </w:r>
          <w:r>
            <w:rPr>
              <w:color w:val="auto"/>
            </w:rPr>
            <w:fldChar w:fldCharType="separate"/>
          </w:r>
          <w:r>
            <w:rPr>
              <w:color w:val="auto"/>
            </w:rPr>
            <w:t>3</w:t>
          </w:r>
          <w:r>
            <w:rPr>
              <w:color w:val="auto"/>
            </w:rPr>
            <w:fldChar w:fldCharType="end"/>
          </w:r>
          <w:r>
            <w:rPr>
              <w:color w:val="auto"/>
            </w:rPr>
            <w:fldChar w:fldCharType="end"/>
          </w:r>
        </w:p>
        <w:p w14:paraId="203D801E">
          <w:pPr>
            <w:pStyle w:val="16"/>
            <w:tabs>
              <w:tab w:val="right" w:leader="dot" w:pos="8844"/>
            </w:tabs>
            <w:rPr>
              <w:color w:val="auto"/>
            </w:rPr>
          </w:pPr>
          <w:r>
            <w:rPr>
              <w:color w:val="auto"/>
            </w:rPr>
            <w:fldChar w:fldCharType="begin"/>
          </w:r>
          <w:r>
            <w:rPr>
              <w:color w:val="auto"/>
            </w:rPr>
            <w:instrText xml:space="preserve"> HYPERLINK \l _Toc27086 </w:instrText>
          </w:r>
          <w:r>
            <w:rPr>
              <w:color w:val="auto"/>
            </w:rPr>
            <w:fldChar w:fldCharType="separate"/>
          </w:r>
          <w:r>
            <w:rPr>
              <w:rFonts w:hint="eastAsia" w:ascii="Times New Roman" w:hAnsi="Times New Roman" w:eastAsia="宋体" w:cs="Times New Roman"/>
              <w:bCs w:val="0"/>
              <w:color w:val="auto"/>
              <w:lang w:val="en-US" w:eastAsia="zh-CN"/>
            </w:rPr>
            <w:t>1.</w:t>
          </w:r>
          <w:r>
            <w:rPr>
              <w:rFonts w:hint="eastAsia" w:cs="Times New Roman"/>
              <w:bCs w:val="0"/>
              <w:color w:val="auto"/>
              <w:lang w:val="en-US" w:eastAsia="zh-CN"/>
            </w:rPr>
            <w:t>3</w:t>
          </w:r>
          <w:r>
            <w:rPr>
              <w:rFonts w:hint="eastAsia" w:ascii="Times New Roman" w:hAnsi="Times New Roman" w:eastAsia="宋体" w:cs="Times New Roman"/>
              <w:bCs w:val="0"/>
              <w:color w:val="auto"/>
              <w:lang w:val="en-US" w:eastAsia="zh-CN"/>
            </w:rPr>
            <w:t>项目用地规划合理性分析</w:t>
          </w:r>
          <w:r>
            <w:rPr>
              <w:color w:val="auto"/>
            </w:rPr>
            <w:tab/>
          </w:r>
          <w:r>
            <w:rPr>
              <w:color w:val="auto"/>
            </w:rPr>
            <w:fldChar w:fldCharType="begin"/>
          </w:r>
          <w:r>
            <w:rPr>
              <w:color w:val="auto"/>
            </w:rPr>
            <w:instrText xml:space="preserve"> PAGEREF _Toc27086 \h </w:instrText>
          </w:r>
          <w:r>
            <w:rPr>
              <w:color w:val="auto"/>
            </w:rPr>
            <w:fldChar w:fldCharType="separate"/>
          </w:r>
          <w:r>
            <w:rPr>
              <w:color w:val="auto"/>
            </w:rPr>
            <w:t>3</w:t>
          </w:r>
          <w:r>
            <w:rPr>
              <w:color w:val="auto"/>
            </w:rPr>
            <w:fldChar w:fldCharType="end"/>
          </w:r>
          <w:r>
            <w:rPr>
              <w:color w:val="auto"/>
            </w:rPr>
            <w:fldChar w:fldCharType="end"/>
          </w:r>
        </w:p>
        <w:p w14:paraId="660F1D38">
          <w:pPr>
            <w:pStyle w:val="16"/>
            <w:tabs>
              <w:tab w:val="right" w:leader="dot" w:pos="8844"/>
            </w:tabs>
            <w:rPr>
              <w:color w:val="auto"/>
            </w:rPr>
          </w:pPr>
          <w:r>
            <w:rPr>
              <w:color w:val="auto"/>
            </w:rPr>
            <w:fldChar w:fldCharType="begin"/>
          </w:r>
          <w:r>
            <w:rPr>
              <w:color w:val="auto"/>
            </w:rPr>
            <w:instrText xml:space="preserve"> HYPERLINK \l _Toc18736 </w:instrText>
          </w:r>
          <w:r>
            <w:rPr>
              <w:color w:val="auto"/>
            </w:rPr>
            <w:fldChar w:fldCharType="separate"/>
          </w:r>
          <w:r>
            <w:rPr>
              <w:rFonts w:hint="eastAsia" w:ascii="Times New Roman" w:hAnsi="Times New Roman" w:eastAsia="宋体" w:cs="Times New Roman"/>
              <w:bCs w:val="0"/>
              <w:color w:val="auto"/>
              <w:lang w:val="en-US" w:eastAsia="zh-CN"/>
            </w:rPr>
            <w:t>1.</w:t>
          </w:r>
          <w:r>
            <w:rPr>
              <w:rFonts w:hint="eastAsia" w:cs="Times New Roman"/>
              <w:bCs w:val="0"/>
              <w:color w:val="auto"/>
              <w:lang w:val="en-US" w:eastAsia="zh-CN"/>
            </w:rPr>
            <w:t>4</w:t>
          </w:r>
          <w:r>
            <w:rPr>
              <w:rFonts w:hint="eastAsia" w:ascii="Times New Roman" w:hAnsi="Times New Roman" w:eastAsia="宋体" w:cs="Times New Roman"/>
              <w:bCs w:val="0"/>
              <w:color w:val="auto"/>
              <w:lang w:val="en-US" w:eastAsia="zh-CN"/>
            </w:rPr>
            <w:t>项目周边相容性符合性分析</w:t>
          </w:r>
          <w:r>
            <w:rPr>
              <w:color w:val="auto"/>
            </w:rPr>
            <w:tab/>
          </w:r>
          <w:r>
            <w:rPr>
              <w:color w:val="auto"/>
            </w:rPr>
            <w:fldChar w:fldCharType="begin"/>
          </w:r>
          <w:r>
            <w:rPr>
              <w:color w:val="auto"/>
            </w:rPr>
            <w:instrText xml:space="preserve"> PAGEREF _Toc18736 \h </w:instrText>
          </w:r>
          <w:r>
            <w:rPr>
              <w:color w:val="auto"/>
            </w:rPr>
            <w:fldChar w:fldCharType="separate"/>
          </w:r>
          <w:r>
            <w:rPr>
              <w:color w:val="auto"/>
            </w:rPr>
            <w:t>3</w:t>
          </w:r>
          <w:r>
            <w:rPr>
              <w:color w:val="auto"/>
            </w:rPr>
            <w:fldChar w:fldCharType="end"/>
          </w:r>
          <w:r>
            <w:rPr>
              <w:color w:val="auto"/>
            </w:rPr>
            <w:fldChar w:fldCharType="end"/>
          </w:r>
        </w:p>
        <w:p w14:paraId="120DB217">
          <w:pPr>
            <w:pStyle w:val="16"/>
            <w:tabs>
              <w:tab w:val="right" w:leader="dot" w:pos="8844"/>
            </w:tabs>
            <w:rPr>
              <w:color w:val="auto"/>
            </w:rPr>
          </w:pPr>
          <w:r>
            <w:rPr>
              <w:color w:val="auto"/>
            </w:rPr>
            <w:fldChar w:fldCharType="begin"/>
          </w:r>
          <w:r>
            <w:rPr>
              <w:color w:val="auto"/>
            </w:rPr>
            <w:instrText xml:space="preserve"> HYPERLINK \l _Toc9304 </w:instrText>
          </w:r>
          <w:r>
            <w:rPr>
              <w:color w:val="auto"/>
            </w:rPr>
            <w:fldChar w:fldCharType="separate"/>
          </w:r>
          <w:r>
            <w:rPr>
              <w:rFonts w:hint="eastAsia" w:ascii="Times New Roman" w:hAnsi="Times New Roman" w:eastAsia="宋体" w:cs="Times New Roman"/>
              <w:bCs w:val="0"/>
              <w:color w:val="auto"/>
              <w:lang w:val="en-US" w:eastAsia="zh-CN"/>
            </w:rPr>
            <w:t>1.</w:t>
          </w:r>
          <w:r>
            <w:rPr>
              <w:rFonts w:hint="eastAsia" w:cs="Times New Roman"/>
              <w:bCs w:val="0"/>
              <w:color w:val="auto"/>
              <w:lang w:val="en-US" w:eastAsia="zh-CN"/>
            </w:rPr>
            <w:t>5</w:t>
          </w:r>
          <w:r>
            <w:rPr>
              <w:rFonts w:hint="eastAsia" w:ascii="Times New Roman" w:hAnsi="Times New Roman" w:eastAsia="宋体" w:cs="Times New Roman"/>
              <w:bCs w:val="0"/>
              <w:color w:val="auto"/>
              <w:lang w:val="en-US" w:eastAsia="zh-CN"/>
            </w:rPr>
            <w:t>环境功能区划符合性分析</w:t>
          </w:r>
          <w:r>
            <w:rPr>
              <w:color w:val="auto"/>
            </w:rPr>
            <w:tab/>
          </w:r>
          <w:r>
            <w:rPr>
              <w:color w:val="auto"/>
            </w:rPr>
            <w:fldChar w:fldCharType="begin"/>
          </w:r>
          <w:r>
            <w:rPr>
              <w:color w:val="auto"/>
            </w:rPr>
            <w:instrText xml:space="preserve"> PAGEREF _Toc9304 \h </w:instrText>
          </w:r>
          <w:r>
            <w:rPr>
              <w:color w:val="auto"/>
            </w:rPr>
            <w:fldChar w:fldCharType="separate"/>
          </w:r>
          <w:r>
            <w:rPr>
              <w:color w:val="auto"/>
            </w:rPr>
            <w:t>3</w:t>
          </w:r>
          <w:r>
            <w:rPr>
              <w:color w:val="auto"/>
            </w:rPr>
            <w:fldChar w:fldCharType="end"/>
          </w:r>
          <w:r>
            <w:rPr>
              <w:color w:val="auto"/>
            </w:rPr>
            <w:fldChar w:fldCharType="end"/>
          </w:r>
        </w:p>
        <w:p w14:paraId="6C91AFE9">
          <w:pPr>
            <w:pStyle w:val="16"/>
            <w:tabs>
              <w:tab w:val="right" w:leader="dot" w:pos="8844"/>
            </w:tabs>
            <w:rPr>
              <w:color w:val="auto"/>
            </w:rPr>
          </w:pPr>
          <w:r>
            <w:rPr>
              <w:color w:val="auto"/>
            </w:rPr>
            <w:fldChar w:fldCharType="begin"/>
          </w:r>
          <w:r>
            <w:rPr>
              <w:color w:val="auto"/>
            </w:rPr>
            <w:instrText xml:space="preserve"> HYPERLINK \l _Toc32355 </w:instrText>
          </w:r>
          <w:r>
            <w:rPr>
              <w:color w:val="auto"/>
            </w:rPr>
            <w:fldChar w:fldCharType="separate"/>
          </w:r>
          <w:r>
            <w:rPr>
              <w:rFonts w:hint="eastAsia" w:ascii="Times New Roman" w:hAnsi="Times New Roman" w:eastAsia="宋体" w:cs="Times New Roman"/>
              <w:bCs w:val="0"/>
              <w:color w:val="auto"/>
              <w:lang w:val="en-US" w:eastAsia="zh-CN"/>
            </w:rPr>
            <w:t>1.</w:t>
          </w:r>
          <w:r>
            <w:rPr>
              <w:rFonts w:hint="eastAsia" w:cs="Times New Roman"/>
              <w:bCs w:val="0"/>
              <w:color w:val="auto"/>
              <w:lang w:val="en-US" w:eastAsia="zh-CN"/>
            </w:rPr>
            <w:t>6</w:t>
          </w:r>
          <w:r>
            <w:rPr>
              <w:rFonts w:hint="eastAsia" w:ascii="Times New Roman" w:hAnsi="Times New Roman" w:eastAsia="宋体" w:cs="Times New Roman"/>
              <w:bCs w:val="0"/>
              <w:color w:val="auto"/>
              <w:lang w:val="en-US" w:eastAsia="zh-CN"/>
            </w:rPr>
            <w:t>与福州市生态环境分区管控的要求符合性分析</w:t>
          </w:r>
          <w:r>
            <w:rPr>
              <w:color w:val="auto"/>
            </w:rPr>
            <w:tab/>
          </w:r>
          <w:r>
            <w:rPr>
              <w:color w:val="auto"/>
            </w:rPr>
            <w:fldChar w:fldCharType="begin"/>
          </w:r>
          <w:r>
            <w:rPr>
              <w:color w:val="auto"/>
            </w:rPr>
            <w:instrText xml:space="preserve"> PAGEREF _Toc32355 \h </w:instrText>
          </w:r>
          <w:r>
            <w:rPr>
              <w:color w:val="auto"/>
            </w:rPr>
            <w:fldChar w:fldCharType="separate"/>
          </w:r>
          <w:r>
            <w:rPr>
              <w:color w:val="auto"/>
            </w:rPr>
            <w:t>4</w:t>
          </w:r>
          <w:r>
            <w:rPr>
              <w:color w:val="auto"/>
            </w:rPr>
            <w:fldChar w:fldCharType="end"/>
          </w:r>
          <w:r>
            <w:rPr>
              <w:color w:val="auto"/>
            </w:rPr>
            <w:fldChar w:fldCharType="end"/>
          </w:r>
        </w:p>
        <w:p w14:paraId="512164B7">
          <w:pPr>
            <w:pStyle w:val="16"/>
            <w:tabs>
              <w:tab w:val="right" w:leader="dot" w:pos="8844"/>
            </w:tabs>
            <w:rPr>
              <w:color w:val="auto"/>
            </w:rPr>
          </w:pPr>
          <w:r>
            <w:rPr>
              <w:color w:val="auto"/>
            </w:rPr>
            <w:fldChar w:fldCharType="begin"/>
          </w:r>
          <w:r>
            <w:rPr>
              <w:color w:val="auto"/>
            </w:rPr>
            <w:instrText xml:space="preserve"> HYPERLINK \l _Toc26473 </w:instrText>
          </w:r>
          <w:r>
            <w:rPr>
              <w:color w:val="auto"/>
            </w:rPr>
            <w:fldChar w:fldCharType="separate"/>
          </w:r>
          <w:r>
            <w:rPr>
              <w:rFonts w:hint="eastAsia" w:ascii="Times New Roman" w:hAnsi="Times New Roman"/>
              <w:bCs w:val="0"/>
              <w:color w:val="auto"/>
              <w:lang w:val="en-US" w:eastAsia="zh-CN"/>
            </w:rPr>
            <w:t>1.</w:t>
          </w:r>
          <w:r>
            <w:rPr>
              <w:rFonts w:hint="eastAsia"/>
              <w:bCs w:val="0"/>
              <w:color w:val="auto"/>
              <w:lang w:val="en-US" w:eastAsia="zh-CN"/>
            </w:rPr>
            <w:t>7</w:t>
          </w:r>
          <w:r>
            <w:rPr>
              <w:rFonts w:hint="eastAsia" w:ascii="Times New Roman" w:hAnsi="Times New Roman"/>
              <w:bCs w:val="0"/>
              <w:color w:val="auto"/>
              <w:lang w:val="en-US" w:eastAsia="zh-CN"/>
            </w:rPr>
            <w:t>与挥发性有机物污染防治相关政策符合性分析</w:t>
          </w:r>
          <w:r>
            <w:rPr>
              <w:color w:val="auto"/>
            </w:rPr>
            <w:tab/>
          </w:r>
          <w:r>
            <w:rPr>
              <w:color w:val="auto"/>
            </w:rPr>
            <w:fldChar w:fldCharType="begin"/>
          </w:r>
          <w:r>
            <w:rPr>
              <w:color w:val="auto"/>
            </w:rPr>
            <w:instrText xml:space="preserve"> PAGEREF _Toc26473 \h </w:instrText>
          </w:r>
          <w:r>
            <w:rPr>
              <w:color w:val="auto"/>
            </w:rPr>
            <w:fldChar w:fldCharType="separate"/>
          </w:r>
          <w:r>
            <w:rPr>
              <w:color w:val="auto"/>
            </w:rPr>
            <w:t>13</w:t>
          </w:r>
          <w:r>
            <w:rPr>
              <w:color w:val="auto"/>
            </w:rPr>
            <w:fldChar w:fldCharType="end"/>
          </w:r>
          <w:r>
            <w:rPr>
              <w:color w:val="auto"/>
            </w:rPr>
            <w:fldChar w:fldCharType="end"/>
          </w:r>
        </w:p>
        <w:p w14:paraId="6031D3D1">
          <w:pPr>
            <w:pStyle w:val="11"/>
            <w:tabs>
              <w:tab w:val="right" w:leader="dot" w:pos="8844"/>
            </w:tabs>
            <w:rPr>
              <w:color w:val="auto"/>
            </w:rPr>
          </w:pPr>
          <w:r>
            <w:rPr>
              <w:color w:val="auto"/>
            </w:rPr>
            <w:fldChar w:fldCharType="begin"/>
          </w:r>
          <w:r>
            <w:rPr>
              <w:color w:val="auto"/>
            </w:rPr>
            <w:instrText xml:space="preserve"> HYPERLINK \l _Toc22991 </w:instrText>
          </w:r>
          <w:r>
            <w:rPr>
              <w:color w:val="auto"/>
            </w:rPr>
            <w:fldChar w:fldCharType="separate"/>
          </w:r>
          <w:r>
            <w:rPr>
              <w:rFonts w:hint="eastAsia" w:ascii="Times New Roman" w:hAnsi="Times New Roman"/>
              <w:color w:val="auto"/>
              <w:lang w:val="en-US" w:eastAsia="zh-CN"/>
            </w:rPr>
            <w:t>1.</w:t>
          </w:r>
          <w:r>
            <w:rPr>
              <w:rFonts w:hint="eastAsia"/>
              <w:color w:val="auto"/>
              <w:lang w:val="en-US" w:eastAsia="zh-CN"/>
            </w:rPr>
            <w:t>7</w:t>
          </w:r>
          <w:r>
            <w:rPr>
              <w:rFonts w:hint="eastAsia" w:ascii="Times New Roman" w:hAnsi="Times New Roman"/>
              <w:color w:val="auto"/>
              <w:lang w:val="en-US" w:eastAsia="zh-CN"/>
            </w:rPr>
            <w:t>.1与《重点行业挥发性有机物综合治理方案》（环大气〔2019〕53号）的符合性分析</w:t>
          </w:r>
          <w:r>
            <w:rPr>
              <w:color w:val="auto"/>
            </w:rPr>
            <w:tab/>
          </w:r>
          <w:r>
            <w:rPr>
              <w:color w:val="auto"/>
            </w:rPr>
            <w:fldChar w:fldCharType="begin"/>
          </w:r>
          <w:r>
            <w:rPr>
              <w:color w:val="auto"/>
            </w:rPr>
            <w:instrText xml:space="preserve"> PAGEREF _Toc22991 \h </w:instrText>
          </w:r>
          <w:r>
            <w:rPr>
              <w:color w:val="auto"/>
            </w:rPr>
            <w:fldChar w:fldCharType="separate"/>
          </w:r>
          <w:r>
            <w:rPr>
              <w:color w:val="auto"/>
            </w:rPr>
            <w:t>13</w:t>
          </w:r>
          <w:r>
            <w:rPr>
              <w:color w:val="auto"/>
            </w:rPr>
            <w:fldChar w:fldCharType="end"/>
          </w:r>
          <w:r>
            <w:rPr>
              <w:color w:val="auto"/>
            </w:rPr>
            <w:fldChar w:fldCharType="end"/>
          </w:r>
        </w:p>
        <w:p w14:paraId="4637D824">
          <w:pPr>
            <w:pStyle w:val="16"/>
            <w:tabs>
              <w:tab w:val="right" w:leader="dot" w:pos="8844"/>
            </w:tabs>
            <w:rPr>
              <w:color w:val="auto"/>
            </w:rPr>
          </w:pPr>
          <w:r>
            <w:rPr>
              <w:color w:val="auto"/>
            </w:rPr>
            <w:fldChar w:fldCharType="begin"/>
          </w:r>
          <w:r>
            <w:rPr>
              <w:color w:val="auto"/>
            </w:rPr>
            <w:instrText xml:space="preserve"> HYPERLINK \l _Toc357 </w:instrText>
          </w:r>
          <w:r>
            <w:rPr>
              <w:color w:val="auto"/>
            </w:rPr>
            <w:fldChar w:fldCharType="separate"/>
          </w:r>
          <w:r>
            <w:rPr>
              <w:rFonts w:hint="eastAsia" w:ascii="Times New Roman" w:hAnsi="Times New Roman"/>
              <w:bCs w:val="0"/>
              <w:color w:val="auto"/>
              <w:lang w:val="en-US" w:eastAsia="zh-CN"/>
            </w:rPr>
            <w:t>1.</w:t>
          </w:r>
          <w:r>
            <w:rPr>
              <w:rFonts w:hint="eastAsia"/>
              <w:bCs w:val="0"/>
              <w:color w:val="auto"/>
              <w:lang w:val="en-US" w:eastAsia="zh-CN"/>
            </w:rPr>
            <w:t>8</w:t>
          </w:r>
          <w:r>
            <w:rPr>
              <w:rFonts w:hint="eastAsia" w:ascii="Times New Roman" w:hAnsi="Times New Roman"/>
              <w:bCs w:val="0"/>
              <w:color w:val="auto"/>
              <w:lang w:val="en-US" w:eastAsia="zh-CN"/>
            </w:rPr>
            <w:t>与清洗剂挥发性有机化合物含量限值相关政策符合性分析</w:t>
          </w:r>
          <w:r>
            <w:rPr>
              <w:color w:val="auto"/>
            </w:rPr>
            <w:tab/>
          </w:r>
          <w:r>
            <w:rPr>
              <w:color w:val="auto"/>
            </w:rPr>
            <w:fldChar w:fldCharType="begin"/>
          </w:r>
          <w:r>
            <w:rPr>
              <w:color w:val="auto"/>
            </w:rPr>
            <w:instrText xml:space="preserve"> PAGEREF _Toc357 \h </w:instrText>
          </w:r>
          <w:r>
            <w:rPr>
              <w:color w:val="auto"/>
            </w:rPr>
            <w:fldChar w:fldCharType="separate"/>
          </w:r>
          <w:r>
            <w:rPr>
              <w:color w:val="auto"/>
            </w:rPr>
            <w:t>14</w:t>
          </w:r>
          <w:r>
            <w:rPr>
              <w:color w:val="auto"/>
            </w:rPr>
            <w:fldChar w:fldCharType="end"/>
          </w:r>
          <w:r>
            <w:rPr>
              <w:color w:val="auto"/>
            </w:rPr>
            <w:fldChar w:fldCharType="end"/>
          </w:r>
        </w:p>
        <w:p w14:paraId="1839990F">
          <w:pPr>
            <w:pStyle w:val="16"/>
            <w:tabs>
              <w:tab w:val="right" w:leader="dot" w:pos="8844"/>
            </w:tabs>
            <w:rPr>
              <w:color w:val="auto"/>
            </w:rPr>
          </w:pPr>
          <w:r>
            <w:rPr>
              <w:color w:val="auto"/>
            </w:rPr>
            <w:fldChar w:fldCharType="begin"/>
          </w:r>
          <w:r>
            <w:rPr>
              <w:color w:val="auto"/>
            </w:rPr>
            <w:instrText xml:space="preserve"> HYPERLINK \l _Toc14524 </w:instrText>
          </w:r>
          <w:r>
            <w:rPr>
              <w:color w:val="auto"/>
            </w:rPr>
            <w:fldChar w:fldCharType="separate"/>
          </w:r>
          <w:r>
            <w:rPr>
              <w:rFonts w:hint="eastAsia" w:ascii="Times New Roman" w:hAnsi="Times New Roman"/>
              <w:bCs w:val="0"/>
              <w:color w:val="auto"/>
              <w:lang w:val="en-US" w:eastAsia="zh-CN"/>
            </w:rPr>
            <w:t>2.1项目基本情况</w:t>
          </w:r>
          <w:r>
            <w:rPr>
              <w:color w:val="auto"/>
            </w:rPr>
            <w:tab/>
          </w:r>
          <w:r>
            <w:rPr>
              <w:color w:val="auto"/>
            </w:rPr>
            <w:fldChar w:fldCharType="begin"/>
          </w:r>
          <w:r>
            <w:rPr>
              <w:color w:val="auto"/>
            </w:rPr>
            <w:instrText xml:space="preserve"> PAGEREF _Toc14524 \h </w:instrText>
          </w:r>
          <w:r>
            <w:rPr>
              <w:color w:val="auto"/>
            </w:rPr>
            <w:fldChar w:fldCharType="separate"/>
          </w:r>
          <w:r>
            <w:rPr>
              <w:color w:val="auto"/>
            </w:rPr>
            <w:t>15</w:t>
          </w:r>
          <w:r>
            <w:rPr>
              <w:color w:val="auto"/>
            </w:rPr>
            <w:fldChar w:fldCharType="end"/>
          </w:r>
          <w:r>
            <w:rPr>
              <w:color w:val="auto"/>
            </w:rPr>
            <w:fldChar w:fldCharType="end"/>
          </w:r>
        </w:p>
        <w:p w14:paraId="2E77E4AB">
          <w:pPr>
            <w:pStyle w:val="11"/>
            <w:tabs>
              <w:tab w:val="right" w:leader="dot" w:pos="8844"/>
            </w:tabs>
            <w:rPr>
              <w:color w:val="auto"/>
            </w:rPr>
          </w:pPr>
          <w:r>
            <w:rPr>
              <w:color w:val="auto"/>
            </w:rPr>
            <w:fldChar w:fldCharType="begin"/>
          </w:r>
          <w:r>
            <w:rPr>
              <w:color w:val="auto"/>
            </w:rPr>
            <w:instrText xml:space="preserve"> HYPERLINK \l _Toc18719 </w:instrText>
          </w:r>
          <w:r>
            <w:rPr>
              <w:color w:val="auto"/>
            </w:rPr>
            <w:fldChar w:fldCharType="separate"/>
          </w:r>
          <w:r>
            <w:rPr>
              <w:rFonts w:hint="eastAsia" w:ascii="Times New Roman" w:hAnsi="Times New Roman"/>
              <w:color w:val="auto"/>
              <w:lang w:val="en-US" w:eastAsia="zh-CN"/>
            </w:rPr>
            <w:t>2.1.1项目由来</w:t>
          </w:r>
          <w:r>
            <w:rPr>
              <w:color w:val="auto"/>
            </w:rPr>
            <w:tab/>
          </w:r>
          <w:r>
            <w:rPr>
              <w:color w:val="auto"/>
            </w:rPr>
            <w:fldChar w:fldCharType="begin"/>
          </w:r>
          <w:r>
            <w:rPr>
              <w:color w:val="auto"/>
            </w:rPr>
            <w:instrText xml:space="preserve"> PAGEREF _Toc18719 \h </w:instrText>
          </w:r>
          <w:r>
            <w:rPr>
              <w:color w:val="auto"/>
            </w:rPr>
            <w:fldChar w:fldCharType="separate"/>
          </w:r>
          <w:r>
            <w:rPr>
              <w:color w:val="auto"/>
            </w:rPr>
            <w:t>15</w:t>
          </w:r>
          <w:r>
            <w:rPr>
              <w:color w:val="auto"/>
            </w:rPr>
            <w:fldChar w:fldCharType="end"/>
          </w:r>
          <w:r>
            <w:rPr>
              <w:color w:val="auto"/>
            </w:rPr>
            <w:fldChar w:fldCharType="end"/>
          </w:r>
        </w:p>
        <w:p w14:paraId="03BDDC1D">
          <w:pPr>
            <w:pStyle w:val="11"/>
            <w:tabs>
              <w:tab w:val="right" w:leader="dot" w:pos="8844"/>
            </w:tabs>
            <w:rPr>
              <w:color w:val="auto"/>
            </w:rPr>
          </w:pPr>
          <w:r>
            <w:rPr>
              <w:color w:val="auto"/>
            </w:rPr>
            <w:fldChar w:fldCharType="begin"/>
          </w:r>
          <w:r>
            <w:rPr>
              <w:color w:val="auto"/>
            </w:rPr>
            <w:instrText xml:space="preserve"> HYPERLINK \l _Toc29362 </w:instrText>
          </w:r>
          <w:r>
            <w:rPr>
              <w:color w:val="auto"/>
            </w:rPr>
            <w:fldChar w:fldCharType="separate"/>
          </w:r>
          <w:r>
            <w:rPr>
              <w:rFonts w:hint="eastAsia" w:ascii="Times New Roman" w:hAnsi="Times New Roman" w:eastAsia="宋体" w:cs="Times New Roman"/>
              <w:color w:val="auto"/>
              <w:kern w:val="2"/>
              <w:szCs w:val="24"/>
              <w:lang w:val="en-US" w:eastAsia="zh-CN" w:bidi="ar-SA"/>
            </w:rPr>
            <w:t>2.1.2项目基本情况</w:t>
          </w:r>
          <w:r>
            <w:rPr>
              <w:color w:val="auto"/>
            </w:rPr>
            <w:tab/>
          </w:r>
          <w:r>
            <w:rPr>
              <w:color w:val="auto"/>
            </w:rPr>
            <w:fldChar w:fldCharType="begin"/>
          </w:r>
          <w:r>
            <w:rPr>
              <w:color w:val="auto"/>
            </w:rPr>
            <w:instrText xml:space="preserve"> PAGEREF _Toc29362 \h </w:instrText>
          </w:r>
          <w:r>
            <w:rPr>
              <w:color w:val="auto"/>
            </w:rPr>
            <w:fldChar w:fldCharType="separate"/>
          </w:r>
          <w:r>
            <w:rPr>
              <w:color w:val="auto"/>
            </w:rPr>
            <w:t>16</w:t>
          </w:r>
          <w:r>
            <w:rPr>
              <w:color w:val="auto"/>
            </w:rPr>
            <w:fldChar w:fldCharType="end"/>
          </w:r>
          <w:r>
            <w:rPr>
              <w:color w:val="auto"/>
            </w:rPr>
            <w:fldChar w:fldCharType="end"/>
          </w:r>
        </w:p>
        <w:p w14:paraId="7A06B5DF">
          <w:pPr>
            <w:pStyle w:val="11"/>
            <w:tabs>
              <w:tab w:val="right" w:leader="dot" w:pos="8844"/>
            </w:tabs>
            <w:rPr>
              <w:color w:val="auto"/>
            </w:rPr>
          </w:pPr>
          <w:r>
            <w:rPr>
              <w:color w:val="auto"/>
            </w:rPr>
            <w:fldChar w:fldCharType="begin"/>
          </w:r>
          <w:r>
            <w:rPr>
              <w:color w:val="auto"/>
            </w:rPr>
            <w:instrText xml:space="preserve"> HYPERLINK \l _Toc11254 </w:instrText>
          </w:r>
          <w:r>
            <w:rPr>
              <w:color w:val="auto"/>
            </w:rPr>
            <w:fldChar w:fldCharType="separate"/>
          </w:r>
          <w:r>
            <w:rPr>
              <w:rFonts w:hint="eastAsia" w:ascii="Times New Roman" w:hAnsi="Times New Roman"/>
              <w:color w:val="auto"/>
              <w:lang w:val="en-US" w:eastAsia="zh-CN"/>
            </w:rPr>
            <w:t>2.1.4项目组成及建设内容</w:t>
          </w:r>
          <w:r>
            <w:rPr>
              <w:color w:val="auto"/>
            </w:rPr>
            <w:tab/>
          </w:r>
          <w:r>
            <w:rPr>
              <w:color w:val="auto"/>
            </w:rPr>
            <w:fldChar w:fldCharType="begin"/>
          </w:r>
          <w:r>
            <w:rPr>
              <w:color w:val="auto"/>
            </w:rPr>
            <w:instrText xml:space="preserve"> PAGEREF _Toc11254 \h </w:instrText>
          </w:r>
          <w:r>
            <w:rPr>
              <w:color w:val="auto"/>
            </w:rPr>
            <w:fldChar w:fldCharType="separate"/>
          </w:r>
          <w:r>
            <w:rPr>
              <w:color w:val="auto"/>
            </w:rPr>
            <w:t>17</w:t>
          </w:r>
          <w:r>
            <w:rPr>
              <w:color w:val="auto"/>
            </w:rPr>
            <w:fldChar w:fldCharType="end"/>
          </w:r>
          <w:r>
            <w:rPr>
              <w:color w:val="auto"/>
            </w:rPr>
            <w:fldChar w:fldCharType="end"/>
          </w:r>
        </w:p>
        <w:p w14:paraId="6E26F290">
          <w:pPr>
            <w:pStyle w:val="11"/>
            <w:tabs>
              <w:tab w:val="right" w:leader="dot" w:pos="8844"/>
            </w:tabs>
            <w:rPr>
              <w:color w:val="auto"/>
            </w:rPr>
          </w:pPr>
          <w:r>
            <w:rPr>
              <w:color w:val="auto"/>
            </w:rPr>
            <w:fldChar w:fldCharType="begin"/>
          </w:r>
          <w:r>
            <w:rPr>
              <w:color w:val="auto"/>
            </w:rPr>
            <w:instrText xml:space="preserve"> HYPERLINK \l _Toc19363 </w:instrText>
          </w:r>
          <w:r>
            <w:rPr>
              <w:color w:val="auto"/>
            </w:rPr>
            <w:fldChar w:fldCharType="separate"/>
          </w:r>
          <w:r>
            <w:rPr>
              <w:rFonts w:hint="eastAsia" w:ascii="Times New Roman" w:hAnsi="Times New Roman"/>
              <w:color w:val="auto"/>
              <w:lang w:val="en-US" w:eastAsia="zh-CN"/>
            </w:rPr>
            <w:t>2.1.5项目主要生产设备</w:t>
          </w:r>
          <w:r>
            <w:rPr>
              <w:color w:val="auto"/>
            </w:rPr>
            <w:tab/>
          </w:r>
          <w:r>
            <w:rPr>
              <w:color w:val="auto"/>
            </w:rPr>
            <w:fldChar w:fldCharType="begin"/>
          </w:r>
          <w:r>
            <w:rPr>
              <w:color w:val="auto"/>
            </w:rPr>
            <w:instrText xml:space="preserve"> PAGEREF _Toc19363 \h </w:instrText>
          </w:r>
          <w:r>
            <w:rPr>
              <w:color w:val="auto"/>
            </w:rPr>
            <w:fldChar w:fldCharType="separate"/>
          </w:r>
          <w:r>
            <w:rPr>
              <w:color w:val="auto"/>
            </w:rPr>
            <w:t>17</w:t>
          </w:r>
          <w:r>
            <w:rPr>
              <w:color w:val="auto"/>
            </w:rPr>
            <w:fldChar w:fldCharType="end"/>
          </w:r>
          <w:r>
            <w:rPr>
              <w:color w:val="auto"/>
            </w:rPr>
            <w:fldChar w:fldCharType="end"/>
          </w:r>
        </w:p>
        <w:p w14:paraId="04090ECD">
          <w:pPr>
            <w:pStyle w:val="11"/>
            <w:tabs>
              <w:tab w:val="right" w:leader="dot" w:pos="8844"/>
            </w:tabs>
            <w:rPr>
              <w:color w:val="auto"/>
            </w:rPr>
          </w:pPr>
          <w:r>
            <w:rPr>
              <w:color w:val="auto"/>
            </w:rPr>
            <w:fldChar w:fldCharType="begin"/>
          </w:r>
          <w:r>
            <w:rPr>
              <w:color w:val="auto"/>
            </w:rPr>
            <w:instrText xml:space="preserve"> HYPERLINK \l _Toc30810 </w:instrText>
          </w:r>
          <w:r>
            <w:rPr>
              <w:color w:val="auto"/>
            </w:rPr>
            <w:fldChar w:fldCharType="separate"/>
          </w:r>
          <w:r>
            <w:rPr>
              <w:rFonts w:hint="eastAsia" w:ascii="Times New Roman" w:hAnsi="Times New Roman"/>
              <w:color w:val="auto"/>
              <w:lang w:val="en-US" w:eastAsia="zh-CN"/>
            </w:rPr>
            <w:t>2.1.6主要原辅材料</w:t>
          </w:r>
          <w:r>
            <w:rPr>
              <w:color w:val="auto"/>
            </w:rPr>
            <w:tab/>
          </w:r>
          <w:r>
            <w:rPr>
              <w:color w:val="auto"/>
            </w:rPr>
            <w:fldChar w:fldCharType="begin"/>
          </w:r>
          <w:r>
            <w:rPr>
              <w:color w:val="auto"/>
            </w:rPr>
            <w:instrText xml:space="preserve"> PAGEREF _Toc30810 \h </w:instrText>
          </w:r>
          <w:r>
            <w:rPr>
              <w:color w:val="auto"/>
            </w:rPr>
            <w:fldChar w:fldCharType="separate"/>
          </w:r>
          <w:r>
            <w:rPr>
              <w:color w:val="auto"/>
            </w:rPr>
            <w:t>19</w:t>
          </w:r>
          <w:r>
            <w:rPr>
              <w:color w:val="auto"/>
            </w:rPr>
            <w:fldChar w:fldCharType="end"/>
          </w:r>
          <w:r>
            <w:rPr>
              <w:color w:val="auto"/>
            </w:rPr>
            <w:fldChar w:fldCharType="end"/>
          </w:r>
        </w:p>
        <w:p w14:paraId="350488EA">
          <w:pPr>
            <w:pStyle w:val="11"/>
            <w:tabs>
              <w:tab w:val="right" w:leader="dot" w:pos="8844"/>
            </w:tabs>
            <w:rPr>
              <w:color w:val="auto"/>
            </w:rPr>
          </w:pPr>
          <w:r>
            <w:rPr>
              <w:color w:val="auto"/>
            </w:rPr>
            <w:fldChar w:fldCharType="begin"/>
          </w:r>
          <w:r>
            <w:rPr>
              <w:color w:val="auto"/>
            </w:rPr>
            <w:instrText xml:space="preserve"> HYPERLINK \l _Toc32402 </w:instrText>
          </w:r>
          <w:r>
            <w:rPr>
              <w:color w:val="auto"/>
            </w:rPr>
            <w:fldChar w:fldCharType="separate"/>
          </w:r>
          <w:r>
            <w:rPr>
              <w:rFonts w:hint="eastAsia" w:ascii="Times New Roman" w:hAnsi="Times New Roman" w:eastAsia="宋体" w:cs="Times New Roman"/>
              <w:color w:val="auto"/>
              <w:kern w:val="2"/>
              <w:szCs w:val="24"/>
              <w:lang w:val="en-US" w:eastAsia="zh-CN" w:bidi="ar-SA"/>
            </w:rPr>
            <w:t>2.1.7项目主要能源消耗</w:t>
          </w:r>
          <w:r>
            <w:rPr>
              <w:color w:val="auto"/>
            </w:rPr>
            <w:tab/>
          </w:r>
          <w:r>
            <w:rPr>
              <w:color w:val="auto"/>
            </w:rPr>
            <w:fldChar w:fldCharType="begin"/>
          </w:r>
          <w:r>
            <w:rPr>
              <w:color w:val="auto"/>
            </w:rPr>
            <w:instrText xml:space="preserve"> PAGEREF _Toc32402 \h </w:instrText>
          </w:r>
          <w:r>
            <w:rPr>
              <w:color w:val="auto"/>
            </w:rPr>
            <w:fldChar w:fldCharType="separate"/>
          </w:r>
          <w:r>
            <w:rPr>
              <w:color w:val="auto"/>
            </w:rPr>
            <w:t>22</w:t>
          </w:r>
          <w:r>
            <w:rPr>
              <w:color w:val="auto"/>
            </w:rPr>
            <w:fldChar w:fldCharType="end"/>
          </w:r>
          <w:r>
            <w:rPr>
              <w:color w:val="auto"/>
            </w:rPr>
            <w:fldChar w:fldCharType="end"/>
          </w:r>
        </w:p>
        <w:p w14:paraId="3D1ADD07">
          <w:pPr>
            <w:pStyle w:val="11"/>
            <w:tabs>
              <w:tab w:val="right" w:leader="dot" w:pos="8844"/>
            </w:tabs>
            <w:rPr>
              <w:color w:val="auto"/>
            </w:rPr>
          </w:pPr>
          <w:r>
            <w:rPr>
              <w:color w:val="auto"/>
            </w:rPr>
            <w:fldChar w:fldCharType="begin"/>
          </w:r>
          <w:r>
            <w:rPr>
              <w:color w:val="auto"/>
            </w:rPr>
            <w:instrText xml:space="preserve"> HYPERLINK \l _Toc20306 </w:instrText>
          </w:r>
          <w:r>
            <w:rPr>
              <w:color w:val="auto"/>
            </w:rPr>
            <w:fldChar w:fldCharType="separate"/>
          </w:r>
          <w:r>
            <w:rPr>
              <w:rFonts w:hint="eastAsia" w:ascii="Times New Roman" w:hAnsi="Times New Roman"/>
              <w:color w:val="auto"/>
              <w:lang w:val="en-US" w:eastAsia="zh-CN"/>
            </w:rPr>
            <w:t>2.1.8项目水平衡</w:t>
          </w:r>
          <w:r>
            <w:rPr>
              <w:color w:val="auto"/>
            </w:rPr>
            <w:tab/>
          </w:r>
          <w:r>
            <w:rPr>
              <w:color w:val="auto"/>
            </w:rPr>
            <w:fldChar w:fldCharType="begin"/>
          </w:r>
          <w:r>
            <w:rPr>
              <w:color w:val="auto"/>
            </w:rPr>
            <w:instrText xml:space="preserve"> PAGEREF _Toc20306 \h </w:instrText>
          </w:r>
          <w:r>
            <w:rPr>
              <w:color w:val="auto"/>
            </w:rPr>
            <w:fldChar w:fldCharType="separate"/>
          </w:r>
          <w:r>
            <w:rPr>
              <w:color w:val="auto"/>
            </w:rPr>
            <w:t>22</w:t>
          </w:r>
          <w:r>
            <w:rPr>
              <w:color w:val="auto"/>
            </w:rPr>
            <w:fldChar w:fldCharType="end"/>
          </w:r>
          <w:r>
            <w:rPr>
              <w:color w:val="auto"/>
            </w:rPr>
            <w:fldChar w:fldCharType="end"/>
          </w:r>
        </w:p>
        <w:p w14:paraId="22DA1B8A">
          <w:pPr>
            <w:pStyle w:val="11"/>
            <w:tabs>
              <w:tab w:val="right" w:leader="dot" w:pos="8844"/>
            </w:tabs>
            <w:rPr>
              <w:color w:val="auto"/>
            </w:rPr>
          </w:pPr>
          <w:r>
            <w:rPr>
              <w:color w:val="auto"/>
            </w:rPr>
            <w:fldChar w:fldCharType="begin"/>
          </w:r>
          <w:r>
            <w:rPr>
              <w:color w:val="auto"/>
            </w:rPr>
            <w:instrText xml:space="preserve"> HYPERLINK \l _Toc20840 </w:instrText>
          </w:r>
          <w:r>
            <w:rPr>
              <w:color w:val="auto"/>
            </w:rPr>
            <w:fldChar w:fldCharType="separate"/>
          </w:r>
          <w:r>
            <w:rPr>
              <w:rFonts w:hint="default" w:ascii="Times New Roman" w:hAnsi="Times New Roman"/>
              <w:color w:val="auto"/>
              <w:lang w:val="en-US" w:eastAsia="zh-CN"/>
            </w:rPr>
            <w:t>2.1.9平面布置合理性分析</w:t>
          </w:r>
          <w:r>
            <w:rPr>
              <w:color w:val="auto"/>
            </w:rPr>
            <w:tab/>
          </w:r>
          <w:r>
            <w:rPr>
              <w:color w:val="auto"/>
            </w:rPr>
            <w:fldChar w:fldCharType="begin"/>
          </w:r>
          <w:r>
            <w:rPr>
              <w:color w:val="auto"/>
            </w:rPr>
            <w:instrText xml:space="preserve"> PAGEREF _Toc20840 \h </w:instrText>
          </w:r>
          <w:r>
            <w:rPr>
              <w:color w:val="auto"/>
            </w:rPr>
            <w:fldChar w:fldCharType="separate"/>
          </w:r>
          <w:r>
            <w:rPr>
              <w:color w:val="auto"/>
            </w:rPr>
            <w:t>25</w:t>
          </w:r>
          <w:r>
            <w:rPr>
              <w:color w:val="auto"/>
            </w:rPr>
            <w:fldChar w:fldCharType="end"/>
          </w:r>
          <w:r>
            <w:rPr>
              <w:color w:val="auto"/>
            </w:rPr>
            <w:fldChar w:fldCharType="end"/>
          </w:r>
        </w:p>
        <w:p w14:paraId="1AB2E101">
          <w:pPr>
            <w:pStyle w:val="16"/>
            <w:tabs>
              <w:tab w:val="right" w:leader="dot" w:pos="8844"/>
            </w:tabs>
            <w:rPr>
              <w:color w:val="auto"/>
            </w:rPr>
          </w:pPr>
          <w:r>
            <w:rPr>
              <w:color w:val="auto"/>
            </w:rPr>
            <w:fldChar w:fldCharType="begin"/>
          </w:r>
          <w:r>
            <w:rPr>
              <w:color w:val="auto"/>
            </w:rPr>
            <w:instrText xml:space="preserve"> HYPERLINK \l _Toc21097 </w:instrText>
          </w:r>
          <w:r>
            <w:rPr>
              <w:color w:val="auto"/>
            </w:rPr>
            <w:fldChar w:fldCharType="separate"/>
          </w:r>
          <w:r>
            <w:rPr>
              <w:rFonts w:hint="eastAsia" w:ascii="Times New Roman" w:hAnsi="Times New Roman" w:eastAsia="宋体" w:cs="Times New Roman"/>
              <w:color w:val="auto"/>
              <w:kern w:val="2"/>
              <w:szCs w:val="24"/>
              <w:lang w:val="en-US" w:eastAsia="zh-CN" w:bidi="ar-SA"/>
            </w:rPr>
            <w:t>2.2生产工艺流程及产污环节</w:t>
          </w:r>
          <w:r>
            <w:rPr>
              <w:color w:val="auto"/>
            </w:rPr>
            <w:tab/>
          </w:r>
          <w:r>
            <w:rPr>
              <w:color w:val="auto"/>
            </w:rPr>
            <w:fldChar w:fldCharType="begin"/>
          </w:r>
          <w:r>
            <w:rPr>
              <w:color w:val="auto"/>
            </w:rPr>
            <w:instrText xml:space="preserve"> PAGEREF _Toc21097 \h </w:instrText>
          </w:r>
          <w:r>
            <w:rPr>
              <w:color w:val="auto"/>
            </w:rPr>
            <w:fldChar w:fldCharType="separate"/>
          </w:r>
          <w:r>
            <w:rPr>
              <w:color w:val="auto"/>
            </w:rPr>
            <w:t>26</w:t>
          </w:r>
          <w:r>
            <w:rPr>
              <w:color w:val="auto"/>
            </w:rPr>
            <w:fldChar w:fldCharType="end"/>
          </w:r>
          <w:r>
            <w:rPr>
              <w:color w:val="auto"/>
            </w:rPr>
            <w:fldChar w:fldCharType="end"/>
          </w:r>
        </w:p>
        <w:p w14:paraId="6C2FD15F">
          <w:pPr>
            <w:pStyle w:val="11"/>
            <w:tabs>
              <w:tab w:val="right" w:leader="dot" w:pos="8844"/>
            </w:tabs>
            <w:rPr>
              <w:color w:val="auto"/>
            </w:rPr>
          </w:pPr>
          <w:r>
            <w:rPr>
              <w:color w:val="auto"/>
            </w:rPr>
            <w:fldChar w:fldCharType="begin"/>
          </w:r>
          <w:r>
            <w:rPr>
              <w:color w:val="auto"/>
            </w:rPr>
            <w:instrText xml:space="preserve"> HYPERLINK \l _Toc20744 </w:instrText>
          </w:r>
          <w:r>
            <w:rPr>
              <w:color w:val="auto"/>
            </w:rPr>
            <w:fldChar w:fldCharType="separate"/>
          </w:r>
          <w:r>
            <w:rPr>
              <w:rFonts w:hint="eastAsia" w:ascii="Times New Roman" w:hAnsi="Times New Roman"/>
              <w:color w:val="auto"/>
              <w:lang w:val="en-US" w:eastAsia="zh-CN"/>
            </w:rPr>
            <w:t>2.2.1工艺流程及工艺介绍</w:t>
          </w:r>
          <w:r>
            <w:rPr>
              <w:color w:val="auto"/>
            </w:rPr>
            <w:tab/>
          </w:r>
          <w:r>
            <w:rPr>
              <w:color w:val="auto"/>
            </w:rPr>
            <w:fldChar w:fldCharType="begin"/>
          </w:r>
          <w:r>
            <w:rPr>
              <w:color w:val="auto"/>
            </w:rPr>
            <w:instrText xml:space="preserve"> PAGEREF _Toc20744 \h </w:instrText>
          </w:r>
          <w:r>
            <w:rPr>
              <w:color w:val="auto"/>
            </w:rPr>
            <w:fldChar w:fldCharType="separate"/>
          </w:r>
          <w:r>
            <w:rPr>
              <w:color w:val="auto"/>
            </w:rPr>
            <w:t>26</w:t>
          </w:r>
          <w:r>
            <w:rPr>
              <w:color w:val="auto"/>
            </w:rPr>
            <w:fldChar w:fldCharType="end"/>
          </w:r>
          <w:r>
            <w:rPr>
              <w:color w:val="auto"/>
            </w:rPr>
            <w:fldChar w:fldCharType="end"/>
          </w:r>
        </w:p>
        <w:p w14:paraId="09B2802B">
          <w:pPr>
            <w:pStyle w:val="11"/>
            <w:tabs>
              <w:tab w:val="right" w:leader="dot" w:pos="8844"/>
            </w:tabs>
            <w:rPr>
              <w:color w:val="auto"/>
            </w:rPr>
          </w:pPr>
          <w:r>
            <w:rPr>
              <w:color w:val="auto"/>
            </w:rPr>
            <w:fldChar w:fldCharType="begin"/>
          </w:r>
          <w:r>
            <w:rPr>
              <w:color w:val="auto"/>
            </w:rPr>
            <w:instrText xml:space="preserve"> HYPERLINK \l _Toc17909 </w:instrText>
          </w:r>
          <w:r>
            <w:rPr>
              <w:color w:val="auto"/>
            </w:rPr>
            <w:fldChar w:fldCharType="separate"/>
          </w:r>
          <w:r>
            <w:rPr>
              <w:rFonts w:hint="eastAsia" w:ascii="Times New Roman" w:hAnsi="Times New Roman"/>
              <w:color w:val="auto"/>
              <w:lang w:val="en-US" w:eastAsia="zh-CN"/>
            </w:rPr>
            <w:t>2.2.2产污环节介绍</w:t>
          </w:r>
          <w:r>
            <w:rPr>
              <w:color w:val="auto"/>
            </w:rPr>
            <w:tab/>
          </w:r>
          <w:r>
            <w:rPr>
              <w:color w:val="auto"/>
            </w:rPr>
            <w:fldChar w:fldCharType="begin"/>
          </w:r>
          <w:r>
            <w:rPr>
              <w:color w:val="auto"/>
            </w:rPr>
            <w:instrText xml:space="preserve"> PAGEREF _Toc17909 \h </w:instrText>
          </w:r>
          <w:r>
            <w:rPr>
              <w:color w:val="auto"/>
            </w:rPr>
            <w:fldChar w:fldCharType="separate"/>
          </w:r>
          <w:r>
            <w:rPr>
              <w:color w:val="auto"/>
            </w:rPr>
            <w:t>29</w:t>
          </w:r>
          <w:r>
            <w:rPr>
              <w:color w:val="auto"/>
            </w:rPr>
            <w:fldChar w:fldCharType="end"/>
          </w:r>
          <w:r>
            <w:rPr>
              <w:color w:val="auto"/>
            </w:rPr>
            <w:fldChar w:fldCharType="end"/>
          </w:r>
        </w:p>
        <w:p w14:paraId="4DECDACC">
          <w:pPr>
            <w:pStyle w:val="16"/>
            <w:tabs>
              <w:tab w:val="right" w:leader="dot" w:pos="8844"/>
            </w:tabs>
            <w:rPr>
              <w:color w:val="auto"/>
            </w:rPr>
          </w:pPr>
          <w:r>
            <w:rPr>
              <w:color w:val="auto"/>
            </w:rPr>
            <w:fldChar w:fldCharType="begin"/>
          </w:r>
          <w:r>
            <w:rPr>
              <w:color w:val="auto"/>
            </w:rPr>
            <w:instrText xml:space="preserve"> HYPERLINK \l _Toc29630 </w:instrText>
          </w:r>
          <w:r>
            <w:rPr>
              <w:color w:val="auto"/>
            </w:rPr>
            <w:fldChar w:fldCharType="separate"/>
          </w:r>
          <w:r>
            <w:rPr>
              <w:rFonts w:hint="eastAsia" w:ascii="Times New Roman" w:hAnsi="Times New Roman" w:eastAsia="宋体" w:cs="Times New Roman"/>
              <w:color w:val="auto"/>
              <w:kern w:val="2"/>
              <w:szCs w:val="24"/>
              <w:lang w:val="en-US" w:eastAsia="zh-CN" w:bidi="ar-SA"/>
            </w:rPr>
            <w:t>3.1大气环境质量现状</w:t>
          </w:r>
          <w:r>
            <w:rPr>
              <w:color w:val="auto"/>
            </w:rPr>
            <w:tab/>
          </w:r>
          <w:r>
            <w:rPr>
              <w:color w:val="auto"/>
            </w:rPr>
            <w:fldChar w:fldCharType="begin"/>
          </w:r>
          <w:r>
            <w:rPr>
              <w:color w:val="auto"/>
            </w:rPr>
            <w:instrText xml:space="preserve"> PAGEREF _Toc29630 \h </w:instrText>
          </w:r>
          <w:r>
            <w:rPr>
              <w:color w:val="auto"/>
            </w:rPr>
            <w:fldChar w:fldCharType="separate"/>
          </w:r>
          <w:r>
            <w:rPr>
              <w:color w:val="auto"/>
            </w:rPr>
            <w:t>31</w:t>
          </w:r>
          <w:r>
            <w:rPr>
              <w:color w:val="auto"/>
            </w:rPr>
            <w:fldChar w:fldCharType="end"/>
          </w:r>
          <w:r>
            <w:rPr>
              <w:color w:val="auto"/>
            </w:rPr>
            <w:fldChar w:fldCharType="end"/>
          </w:r>
        </w:p>
        <w:p w14:paraId="3C0E287E">
          <w:pPr>
            <w:pStyle w:val="11"/>
            <w:tabs>
              <w:tab w:val="right" w:leader="dot" w:pos="8844"/>
            </w:tabs>
            <w:rPr>
              <w:color w:val="auto"/>
            </w:rPr>
          </w:pPr>
          <w:r>
            <w:rPr>
              <w:color w:val="auto"/>
            </w:rPr>
            <w:fldChar w:fldCharType="begin"/>
          </w:r>
          <w:r>
            <w:rPr>
              <w:color w:val="auto"/>
            </w:rPr>
            <w:instrText xml:space="preserve"> HYPERLINK \l _Toc26599 </w:instrText>
          </w:r>
          <w:r>
            <w:rPr>
              <w:color w:val="auto"/>
            </w:rPr>
            <w:fldChar w:fldCharType="separate"/>
          </w:r>
          <w:r>
            <w:rPr>
              <w:rFonts w:hint="eastAsia" w:ascii="Times New Roman" w:hAnsi="Times New Roman" w:eastAsia="宋体" w:cs="Times New Roman"/>
              <w:color w:val="auto"/>
              <w:kern w:val="2"/>
              <w:szCs w:val="24"/>
              <w:lang w:val="en-US" w:eastAsia="zh-CN" w:bidi="ar-SA"/>
            </w:rPr>
            <w:t>3.1.1环境空气质量功能区划</w:t>
          </w:r>
          <w:r>
            <w:rPr>
              <w:color w:val="auto"/>
            </w:rPr>
            <w:tab/>
          </w:r>
          <w:r>
            <w:rPr>
              <w:color w:val="auto"/>
            </w:rPr>
            <w:fldChar w:fldCharType="begin"/>
          </w:r>
          <w:r>
            <w:rPr>
              <w:color w:val="auto"/>
            </w:rPr>
            <w:instrText xml:space="preserve"> PAGEREF _Toc26599 \h </w:instrText>
          </w:r>
          <w:r>
            <w:rPr>
              <w:color w:val="auto"/>
            </w:rPr>
            <w:fldChar w:fldCharType="separate"/>
          </w:r>
          <w:r>
            <w:rPr>
              <w:color w:val="auto"/>
            </w:rPr>
            <w:t>31</w:t>
          </w:r>
          <w:r>
            <w:rPr>
              <w:color w:val="auto"/>
            </w:rPr>
            <w:fldChar w:fldCharType="end"/>
          </w:r>
          <w:r>
            <w:rPr>
              <w:color w:val="auto"/>
            </w:rPr>
            <w:fldChar w:fldCharType="end"/>
          </w:r>
        </w:p>
        <w:p w14:paraId="6814F369">
          <w:pPr>
            <w:pStyle w:val="11"/>
            <w:tabs>
              <w:tab w:val="right" w:leader="dot" w:pos="8844"/>
            </w:tabs>
            <w:rPr>
              <w:color w:val="auto"/>
            </w:rPr>
          </w:pPr>
          <w:r>
            <w:rPr>
              <w:color w:val="auto"/>
            </w:rPr>
            <w:fldChar w:fldCharType="begin"/>
          </w:r>
          <w:r>
            <w:rPr>
              <w:color w:val="auto"/>
            </w:rPr>
            <w:instrText xml:space="preserve"> HYPERLINK \l _Toc26962 </w:instrText>
          </w:r>
          <w:r>
            <w:rPr>
              <w:color w:val="auto"/>
            </w:rPr>
            <w:fldChar w:fldCharType="separate"/>
          </w:r>
          <w:r>
            <w:rPr>
              <w:rFonts w:hint="eastAsia" w:ascii="Times New Roman" w:hAnsi="Times New Roman" w:eastAsia="宋体" w:cs="Times New Roman"/>
              <w:color w:val="auto"/>
              <w:kern w:val="2"/>
              <w:szCs w:val="24"/>
              <w:lang w:val="en-US" w:eastAsia="zh-CN" w:bidi="ar-SA"/>
            </w:rPr>
            <w:t>3.1.2区域大气</w:t>
          </w:r>
          <w:r>
            <w:rPr>
              <w:rFonts w:hint="eastAsia" w:cs="Times New Roman"/>
              <w:color w:val="auto"/>
              <w:kern w:val="2"/>
              <w:szCs w:val="24"/>
              <w:lang w:val="en-US" w:eastAsia="zh-CN" w:bidi="ar-SA"/>
            </w:rPr>
            <w:t>环境</w:t>
          </w:r>
          <w:r>
            <w:rPr>
              <w:rFonts w:hint="eastAsia" w:ascii="Times New Roman" w:hAnsi="Times New Roman" w:eastAsia="宋体" w:cs="Times New Roman"/>
              <w:color w:val="auto"/>
              <w:kern w:val="2"/>
              <w:szCs w:val="24"/>
              <w:lang w:val="en-US" w:eastAsia="zh-CN" w:bidi="ar-SA"/>
            </w:rPr>
            <w:t>质量现状</w:t>
          </w:r>
          <w:r>
            <w:rPr>
              <w:color w:val="auto"/>
            </w:rPr>
            <w:tab/>
          </w:r>
          <w:r>
            <w:rPr>
              <w:color w:val="auto"/>
            </w:rPr>
            <w:fldChar w:fldCharType="begin"/>
          </w:r>
          <w:r>
            <w:rPr>
              <w:color w:val="auto"/>
            </w:rPr>
            <w:instrText xml:space="preserve"> PAGEREF _Toc26962 \h </w:instrText>
          </w:r>
          <w:r>
            <w:rPr>
              <w:color w:val="auto"/>
            </w:rPr>
            <w:fldChar w:fldCharType="separate"/>
          </w:r>
          <w:r>
            <w:rPr>
              <w:color w:val="auto"/>
            </w:rPr>
            <w:t>31</w:t>
          </w:r>
          <w:r>
            <w:rPr>
              <w:color w:val="auto"/>
            </w:rPr>
            <w:fldChar w:fldCharType="end"/>
          </w:r>
          <w:r>
            <w:rPr>
              <w:color w:val="auto"/>
            </w:rPr>
            <w:fldChar w:fldCharType="end"/>
          </w:r>
        </w:p>
        <w:p w14:paraId="046FB8C9">
          <w:pPr>
            <w:pStyle w:val="16"/>
            <w:tabs>
              <w:tab w:val="right" w:leader="dot" w:pos="8844"/>
            </w:tabs>
            <w:rPr>
              <w:color w:val="auto"/>
            </w:rPr>
          </w:pPr>
          <w:r>
            <w:rPr>
              <w:color w:val="auto"/>
            </w:rPr>
            <w:fldChar w:fldCharType="begin"/>
          </w:r>
          <w:r>
            <w:rPr>
              <w:color w:val="auto"/>
            </w:rPr>
            <w:instrText xml:space="preserve"> HYPERLINK \l _Toc2060 </w:instrText>
          </w:r>
          <w:r>
            <w:rPr>
              <w:color w:val="auto"/>
            </w:rPr>
            <w:fldChar w:fldCharType="separate"/>
          </w:r>
          <w:r>
            <w:rPr>
              <w:rFonts w:hint="eastAsia" w:ascii="Times New Roman" w:hAnsi="Times New Roman" w:eastAsia="宋体" w:cs="Times New Roman"/>
              <w:color w:val="auto"/>
              <w:kern w:val="2"/>
              <w:szCs w:val="24"/>
              <w:lang w:val="en-US" w:eastAsia="zh-CN" w:bidi="ar-SA"/>
            </w:rPr>
            <w:t>3.2地表水环境质量现状</w:t>
          </w:r>
          <w:r>
            <w:rPr>
              <w:color w:val="auto"/>
            </w:rPr>
            <w:tab/>
          </w:r>
          <w:r>
            <w:rPr>
              <w:color w:val="auto"/>
            </w:rPr>
            <w:fldChar w:fldCharType="begin"/>
          </w:r>
          <w:r>
            <w:rPr>
              <w:color w:val="auto"/>
            </w:rPr>
            <w:instrText xml:space="preserve"> PAGEREF _Toc2060 \h </w:instrText>
          </w:r>
          <w:r>
            <w:rPr>
              <w:color w:val="auto"/>
            </w:rPr>
            <w:fldChar w:fldCharType="separate"/>
          </w:r>
          <w:r>
            <w:rPr>
              <w:color w:val="auto"/>
            </w:rPr>
            <w:t>33</w:t>
          </w:r>
          <w:r>
            <w:rPr>
              <w:color w:val="auto"/>
            </w:rPr>
            <w:fldChar w:fldCharType="end"/>
          </w:r>
          <w:r>
            <w:rPr>
              <w:color w:val="auto"/>
            </w:rPr>
            <w:fldChar w:fldCharType="end"/>
          </w:r>
        </w:p>
        <w:p w14:paraId="6818D619">
          <w:pPr>
            <w:pStyle w:val="11"/>
            <w:tabs>
              <w:tab w:val="right" w:leader="dot" w:pos="8844"/>
            </w:tabs>
            <w:rPr>
              <w:color w:val="auto"/>
            </w:rPr>
          </w:pPr>
          <w:r>
            <w:rPr>
              <w:color w:val="auto"/>
            </w:rPr>
            <w:fldChar w:fldCharType="begin"/>
          </w:r>
          <w:r>
            <w:rPr>
              <w:color w:val="auto"/>
            </w:rPr>
            <w:instrText xml:space="preserve"> HYPERLINK \l _Toc19681 </w:instrText>
          </w:r>
          <w:r>
            <w:rPr>
              <w:color w:val="auto"/>
            </w:rPr>
            <w:fldChar w:fldCharType="separate"/>
          </w:r>
          <w:r>
            <w:rPr>
              <w:rFonts w:hint="eastAsia" w:ascii="Times New Roman" w:hAnsi="Times New Roman" w:eastAsia="宋体" w:cs="Times New Roman"/>
              <w:color w:val="auto"/>
              <w:kern w:val="2"/>
              <w:szCs w:val="24"/>
              <w:lang w:val="en-US" w:eastAsia="zh-CN" w:bidi="ar-SA"/>
            </w:rPr>
            <w:t>3.2.1地表水功能区划</w:t>
          </w:r>
          <w:r>
            <w:rPr>
              <w:color w:val="auto"/>
            </w:rPr>
            <w:tab/>
          </w:r>
          <w:r>
            <w:rPr>
              <w:color w:val="auto"/>
            </w:rPr>
            <w:fldChar w:fldCharType="begin"/>
          </w:r>
          <w:r>
            <w:rPr>
              <w:color w:val="auto"/>
            </w:rPr>
            <w:instrText xml:space="preserve"> PAGEREF _Toc19681 \h </w:instrText>
          </w:r>
          <w:r>
            <w:rPr>
              <w:color w:val="auto"/>
            </w:rPr>
            <w:fldChar w:fldCharType="separate"/>
          </w:r>
          <w:r>
            <w:rPr>
              <w:color w:val="auto"/>
            </w:rPr>
            <w:t>33</w:t>
          </w:r>
          <w:r>
            <w:rPr>
              <w:color w:val="auto"/>
            </w:rPr>
            <w:fldChar w:fldCharType="end"/>
          </w:r>
          <w:r>
            <w:rPr>
              <w:color w:val="auto"/>
            </w:rPr>
            <w:fldChar w:fldCharType="end"/>
          </w:r>
        </w:p>
        <w:p w14:paraId="069E6022">
          <w:pPr>
            <w:pStyle w:val="11"/>
            <w:tabs>
              <w:tab w:val="right" w:leader="dot" w:pos="8844"/>
            </w:tabs>
            <w:rPr>
              <w:color w:val="auto"/>
            </w:rPr>
          </w:pPr>
          <w:r>
            <w:rPr>
              <w:color w:val="auto"/>
            </w:rPr>
            <w:fldChar w:fldCharType="begin"/>
          </w:r>
          <w:r>
            <w:rPr>
              <w:color w:val="auto"/>
            </w:rPr>
            <w:instrText xml:space="preserve"> HYPERLINK \l _Toc15753 </w:instrText>
          </w:r>
          <w:r>
            <w:rPr>
              <w:color w:val="auto"/>
            </w:rPr>
            <w:fldChar w:fldCharType="separate"/>
          </w:r>
          <w:r>
            <w:rPr>
              <w:rFonts w:hint="eastAsia" w:ascii="Times New Roman" w:hAnsi="Times New Roman" w:eastAsia="宋体" w:cs="Times New Roman"/>
              <w:color w:val="auto"/>
              <w:kern w:val="2"/>
              <w:szCs w:val="24"/>
              <w:lang w:val="en-US" w:eastAsia="zh-CN" w:bidi="ar-SA"/>
            </w:rPr>
            <w:t>3.2.2地表水环境质量现状</w:t>
          </w:r>
          <w:r>
            <w:rPr>
              <w:color w:val="auto"/>
            </w:rPr>
            <w:tab/>
          </w:r>
          <w:r>
            <w:rPr>
              <w:color w:val="auto"/>
            </w:rPr>
            <w:fldChar w:fldCharType="begin"/>
          </w:r>
          <w:r>
            <w:rPr>
              <w:color w:val="auto"/>
            </w:rPr>
            <w:instrText xml:space="preserve"> PAGEREF _Toc15753 \h </w:instrText>
          </w:r>
          <w:r>
            <w:rPr>
              <w:color w:val="auto"/>
            </w:rPr>
            <w:fldChar w:fldCharType="separate"/>
          </w:r>
          <w:r>
            <w:rPr>
              <w:color w:val="auto"/>
            </w:rPr>
            <w:t>34</w:t>
          </w:r>
          <w:r>
            <w:rPr>
              <w:color w:val="auto"/>
            </w:rPr>
            <w:fldChar w:fldCharType="end"/>
          </w:r>
          <w:r>
            <w:rPr>
              <w:color w:val="auto"/>
            </w:rPr>
            <w:fldChar w:fldCharType="end"/>
          </w:r>
        </w:p>
        <w:p w14:paraId="59FF5215">
          <w:pPr>
            <w:pStyle w:val="16"/>
            <w:tabs>
              <w:tab w:val="right" w:leader="dot" w:pos="8844"/>
            </w:tabs>
            <w:rPr>
              <w:color w:val="auto"/>
            </w:rPr>
          </w:pPr>
          <w:r>
            <w:rPr>
              <w:color w:val="auto"/>
            </w:rPr>
            <w:fldChar w:fldCharType="begin"/>
          </w:r>
          <w:r>
            <w:rPr>
              <w:color w:val="auto"/>
            </w:rPr>
            <w:instrText xml:space="preserve"> HYPERLINK \l _Toc1929 </w:instrText>
          </w:r>
          <w:r>
            <w:rPr>
              <w:color w:val="auto"/>
            </w:rPr>
            <w:fldChar w:fldCharType="separate"/>
          </w:r>
          <w:r>
            <w:rPr>
              <w:rFonts w:hint="eastAsia" w:ascii="Times New Roman" w:hAnsi="Times New Roman" w:eastAsia="宋体" w:cs="Times New Roman"/>
              <w:color w:val="auto"/>
              <w:kern w:val="2"/>
              <w:szCs w:val="24"/>
              <w:lang w:val="en-US" w:eastAsia="zh-CN" w:bidi="ar-SA"/>
            </w:rPr>
            <w:t>3.3声环境质量现状</w:t>
          </w:r>
          <w:r>
            <w:rPr>
              <w:color w:val="auto"/>
            </w:rPr>
            <w:tab/>
          </w:r>
          <w:r>
            <w:rPr>
              <w:color w:val="auto"/>
            </w:rPr>
            <w:fldChar w:fldCharType="begin"/>
          </w:r>
          <w:r>
            <w:rPr>
              <w:color w:val="auto"/>
            </w:rPr>
            <w:instrText xml:space="preserve"> PAGEREF _Toc1929 \h </w:instrText>
          </w:r>
          <w:r>
            <w:rPr>
              <w:color w:val="auto"/>
            </w:rPr>
            <w:fldChar w:fldCharType="separate"/>
          </w:r>
          <w:r>
            <w:rPr>
              <w:color w:val="auto"/>
            </w:rPr>
            <w:t>35</w:t>
          </w:r>
          <w:r>
            <w:rPr>
              <w:color w:val="auto"/>
            </w:rPr>
            <w:fldChar w:fldCharType="end"/>
          </w:r>
          <w:r>
            <w:rPr>
              <w:color w:val="auto"/>
            </w:rPr>
            <w:fldChar w:fldCharType="end"/>
          </w:r>
        </w:p>
        <w:p w14:paraId="030B849B">
          <w:pPr>
            <w:pStyle w:val="11"/>
            <w:tabs>
              <w:tab w:val="right" w:leader="dot" w:pos="8844"/>
            </w:tabs>
            <w:rPr>
              <w:color w:val="auto"/>
            </w:rPr>
          </w:pPr>
          <w:r>
            <w:rPr>
              <w:color w:val="auto"/>
            </w:rPr>
            <w:fldChar w:fldCharType="begin"/>
          </w:r>
          <w:r>
            <w:rPr>
              <w:color w:val="auto"/>
            </w:rPr>
            <w:instrText xml:space="preserve"> HYPERLINK \l _Toc2382 </w:instrText>
          </w:r>
          <w:r>
            <w:rPr>
              <w:color w:val="auto"/>
            </w:rPr>
            <w:fldChar w:fldCharType="separate"/>
          </w:r>
          <w:r>
            <w:rPr>
              <w:rFonts w:hint="eastAsia" w:ascii="Times New Roman" w:hAnsi="Times New Roman" w:eastAsia="宋体" w:cs="Times New Roman"/>
              <w:color w:val="auto"/>
              <w:kern w:val="2"/>
              <w:szCs w:val="24"/>
              <w:lang w:val="en-US" w:eastAsia="zh-CN" w:bidi="ar-SA"/>
            </w:rPr>
            <w:t>3.3.1声环境功能区划</w:t>
          </w:r>
          <w:r>
            <w:rPr>
              <w:color w:val="auto"/>
            </w:rPr>
            <w:tab/>
          </w:r>
          <w:r>
            <w:rPr>
              <w:color w:val="auto"/>
            </w:rPr>
            <w:fldChar w:fldCharType="begin"/>
          </w:r>
          <w:r>
            <w:rPr>
              <w:color w:val="auto"/>
            </w:rPr>
            <w:instrText xml:space="preserve"> PAGEREF _Toc2382 \h </w:instrText>
          </w:r>
          <w:r>
            <w:rPr>
              <w:color w:val="auto"/>
            </w:rPr>
            <w:fldChar w:fldCharType="separate"/>
          </w:r>
          <w:r>
            <w:rPr>
              <w:color w:val="auto"/>
            </w:rPr>
            <w:t>35</w:t>
          </w:r>
          <w:r>
            <w:rPr>
              <w:color w:val="auto"/>
            </w:rPr>
            <w:fldChar w:fldCharType="end"/>
          </w:r>
          <w:r>
            <w:rPr>
              <w:color w:val="auto"/>
            </w:rPr>
            <w:fldChar w:fldCharType="end"/>
          </w:r>
        </w:p>
        <w:p w14:paraId="6E71AEBD">
          <w:pPr>
            <w:pStyle w:val="11"/>
            <w:tabs>
              <w:tab w:val="right" w:leader="dot" w:pos="8844"/>
            </w:tabs>
            <w:rPr>
              <w:color w:val="auto"/>
            </w:rPr>
          </w:pPr>
          <w:r>
            <w:rPr>
              <w:color w:val="auto"/>
            </w:rPr>
            <w:fldChar w:fldCharType="begin"/>
          </w:r>
          <w:r>
            <w:rPr>
              <w:color w:val="auto"/>
            </w:rPr>
            <w:instrText xml:space="preserve"> HYPERLINK \l _Toc2465 </w:instrText>
          </w:r>
          <w:r>
            <w:rPr>
              <w:color w:val="auto"/>
            </w:rPr>
            <w:fldChar w:fldCharType="separate"/>
          </w:r>
          <w:r>
            <w:rPr>
              <w:rFonts w:hint="eastAsia" w:ascii="Times New Roman" w:hAnsi="Times New Roman" w:eastAsia="宋体" w:cs="Times New Roman"/>
              <w:color w:val="auto"/>
              <w:kern w:val="2"/>
              <w:szCs w:val="24"/>
              <w:lang w:val="en-US" w:eastAsia="zh-CN" w:bidi="ar-SA"/>
            </w:rPr>
            <w:t>3.3.2声环境质量现状</w:t>
          </w:r>
          <w:r>
            <w:rPr>
              <w:color w:val="auto"/>
            </w:rPr>
            <w:tab/>
          </w:r>
          <w:r>
            <w:rPr>
              <w:color w:val="auto"/>
            </w:rPr>
            <w:fldChar w:fldCharType="begin"/>
          </w:r>
          <w:r>
            <w:rPr>
              <w:color w:val="auto"/>
            </w:rPr>
            <w:instrText xml:space="preserve"> PAGEREF _Toc2465 \h </w:instrText>
          </w:r>
          <w:r>
            <w:rPr>
              <w:color w:val="auto"/>
            </w:rPr>
            <w:fldChar w:fldCharType="separate"/>
          </w:r>
          <w:r>
            <w:rPr>
              <w:color w:val="auto"/>
            </w:rPr>
            <w:t>35</w:t>
          </w:r>
          <w:r>
            <w:rPr>
              <w:color w:val="auto"/>
            </w:rPr>
            <w:fldChar w:fldCharType="end"/>
          </w:r>
          <w:r>
            <w:rPr>
              <w:color w:val="auto"/>
            </w:rPr>
            <w:fldChar w:fldCharType="end"/>
          </w:r>
        </w:p>
        <w:p w14:paraId="2552478D">
          <w:pPr>
            <w:pStyle w:val="16"/>
            <w:tabs>
              <w:tab w:val="right" w:leader="dot" w:pos="8844"/>
            </w:tabs>
            <w:rPr>
              <w:color w:val="auto"/>
            </w:rPr>
          </w:pPr>
          <w:r>
            <w:rPr>
              <w:color w:val="auto"/>
            </w:rPr>
            <w:fldChar w:fldCharType="begin"/>
          </w:r>
          <w:r>
            <w:rPr>
              <w:color w:val="auto"/>
            </w:rPr>
            <w:instrText xml:space="preserve"> HYPERLINK \l _Toc18672 </w:instrText>
          </w:r>
          <w:r>
            <w:rPr>
              <w:color w:val="auto"/>
            </w:rPr>
            <w:fldChar w:fldCharType="separate"/>
          </w:r>
          <w:r>
            <w:rPr>
              <w:rFonts w:ascii="Times New Roman" w:hAnsi="Times New Roman" w:eastAsia="宋体" w:cs="Times New Roman"/>
              <w:color w:val="auto"/>
              <w:kern w:val="2"/>
              <w:szCs w:val="24"/>
              <w:lang w:val="en-US" w:eastAsia="zh-CN" w:bidi="ar-SA"/>
            </w:rPr>
            <w:t>3.4生态环境现状调查</w:t>
          </w:r>
          <w:r>
            <w:rPr>
              <w:color w:val="auto"/>
            </w:rPr>
            <w:tab/>
          </w:r>
          <w:r>
            <w:rPr>
              <w:color w:val="auto"/>
            </w:rPr>
            <w:fldChar w:fldCharType="begin"/>
          </w:r>
          <w:r>
            <w:rPr>
              <w:color w:val="auto"/>
            </w:rPr>
            <w:instrText xml:space="preserve"> PAGEREF _Toc18672 \h </w:instrText>
          </w:r>
          <w:r>
            <w:rPr>
              <w:color w:val="auto"/>
            </w:rPr>
            <w:fldChar w:fldCharType="separate"/>
          </w:r>
          <w:r>
            <w:rPr>
              <w:color w:val="auto"/>
            </w:rPr>
            <w:t>35</w:t>
          </w:r>
          <w:r>
            <w:rPr>
              <w:color w:val="auto"/>
            </w:rPr>
            <w:fldChar w:fldCharType="end"/>
          </w:r>
          <w:r>
            <w:rPr>
              <w:color w:val="auto"/>
            </w:rPr>
            <w:fldChar w:fldCharType="end"/>
          </w:r>
        </w:p>
        <w:p w14:paraId="35C02138">
          <w:pPr>
            <w:pStyle w:val="16"/>
            <w:tabs>
              <w:tab w:val="right" w:leader="dot" w:pos="8844"/>
            </w:tabs>
            <w:rPr>
              <w:color w:val="auto"/>
            </w:rPr>
          </w:pPr>
          <w:r>
            <w:rPr>
              <w:color w:val="auto"/>
            </w:rPr>
            <w:fldChar w:fldCharType="begin"/>
          </w:r>
          <w:r>
            <w:rPr>
              <w:color w:val="auto"/>
            </w:rPr>
            <w:instrText xml:space="preserve"> HYPERLINK \l _Toc5788 </w:instrText>
          </w:r>
          <w:r>
            <w:rPr>
              <w:color w:val="auto"/>
            </w:rPr>
            <w:fldChar w:fldCharType="separate"/>
          </w:r>
          <w:r>
            <w:rPr>
              <w:rFonts w:ascii="Times New Roman" w:hAnsi="Times New Roman" w:eastAsia="宋体" w:cs="Times New Roman"/>
              <w:color w:val="auto"/>
              <w:kern w:val="2"/>
              <w:szCs w:val="24"/>
              <w:lang w:val="en-US" w:eastAsia="zh-CN" w:bidi="ar-SA"/>
            </w:rPr>
            <w:t>3.5地下水、土壤环境质量现状</w:t>
          </w:r>
          <w:r>
            <w:rPr>
              <w:color w:val="auto"/>
            </w:rPr>
            <w:tab/>
          </w:r>
          <w:r>
            <w:rPr>
              <w:color w:val="auto"/>
            </w:rPr>
            <w:fldChar w:fldCharType="begin"/>
          </w:r>
          <w:r>
            <w:rPr>
              <w:color w:val="auto"/>
            </w:rPr>
            <w:instrText xml:space="preserve"> PAGEREF _Toc5788 \h </w:instrText>
          </w:r>
          <w:r>
            <w:rPr>
              <w:color w:val="auto"/>
            </w:rPr>
            <w:fldChar w:fldCharType="separate"/>
          </w:r>
          <w:r>
            <w:rPr>
              <w:color w:val="auto"/>
            </w:rPr>
            <w:t>35</w:t>
          </w:r>
          <w:r>
            <w:rPr>
              <w:color w:val="auto"/>
            </w:rPr>
            <w:fldChar w:fldCharType="end"/>
          </w:r>
          <w:r>
            <w:rPr>
              <w:color w:val="auto"/>
            </w:rPr>
            <w:fldChar w:fldCharType="end"/>
          </w:r>
        </w:p>
        <w:p w14:paraId="3C071249">
          <w:pPr>
            <w:pStyle w:val="16"/>
            <w:tabs>
              <w:tab w:val="right" w:leader="dot" w:pos="8844"/>
            </w:tabs>
            <w:rPr>
              <w:color w:val="auto"/>
            </w:rPr>
          </w:pPr>
          <w:r>
            <w:rPr>
              <w:color w:val="auto"/>
            </w:rPr>
            <w:fldChar w:fldCharType="begin"/>
          </w:r>
          <w:r>
            <w:rPr>
              <w:color w:val="auto"/>
            </w:rPr>
            <w:instrText xml:space="preserve"> HYPERLINK \l _Toc25987 </w:instrText>
          </w:r>
          <w:r>
            <w:rPr>
              <w:color w:val="auto"/>
            </w:rPr>
            <w:fldChar w:fldCharType="separate"/>
          </w:r>
          <w:r>
            <w:rPr>
              <w:rFonts w:hint="eastAsia" w:ascii="Times New Roman" w:hAnsi="Times New Roman" w:eastAsia="宋体" w:cs="Times New Roman"/>
              <w:color w:val="auto"/>
              <w:kern w:val="2"/>
              <w:szCs w:val="24"/>
              <w:lang w:val="en-US" w:eastAsia="zh-CN" w:bidi="ar-SA"/>
            </w:rPr>
            <w:t>3.6环境保护目标</w:t>
          </w:r>
          <w:r>
            <w:rPr>
              <w:color w:val="auto"/>
            </w:rPr>
            <w:tab/>
          </w:r>
          <w:r>
            <w:rPr>
              <w:color w:val="auto"/>
            </w:rPr>
            <w:fldChar w:fldCharType="begin"/>
          </w:r>
          <w:r>
            <w:rPr>
              <w:color w:val="auto"/>
            </w:rPr>
            <w:instrText xml:space="preserve"> PAGEREF _Toc25987 \h </w:instrText>
          </w:r>
          <w:r>
            <w:rPr>
              <w:color w:val="auto"/>
            </w:rPr>
            <w:fldChar w:fldCharType="separate"/>
          </w:r>
          <w:r>
            <w:rPr>
              <w:color w:val="auto"/>
            </w:rPr>
            <w:t>36</w:t>
          </w:r>
          <w:r>
            <w:rPr>
              <w:color w:val="auto"/>
            </w:rPr>
            <w:fldChar w:fldCharType="end"/>
          </w:r>
          <w:r>
            <w:rPr>
              <w:color w:val="auto"/>
            </w:rPr>
            <w:fldChar w:fldCharType="end"/>
          </w:r>
        </w:p>
        <w:p w14:paraId="1146BEF7">
          <w:pPr>
            <w:pStyle w:val="11"/>
            <w:tabs>
              <w:tab w:val="right" w:leader="dot" w:pos="8844"/>
            </w:tabs>
            <w:rPr>
              <w:color w:val="auto"/>
            </w:rPr>
          </w:pPr>
          <w:r>
            <w:rPr>
              <w:color w:val="auto"/>
            </w:rPr>
            <w:fldChar w:fldCharType="begin"/>
          </w:r>
          <w:r>
            <w:rPr>
              <w:color w:val="auto"/>
            </w:rPr>
            <w:instrText xml:space="preserve"> HYPERLINK \l _Toc253 </w:instrText>
          </w:r>
          <w:r>
            <w:rPr>
              <w:color w:val="auto"/>
            </w:rPr>
            <w:fldChar w:fldCharType="separate"/>
          </w:r>
          <w:r>
            <w:rPr>
              <w:rFonts w:hint="eastAsia" w:ascii="Times New Roman" w:hAnsi="Times New Roman" w:eastAsia="宋体" w:cs="Times New Roman"/>
              <w:color w:val="auto"/>
              <w:kern w:val="2"/>
              <w:szCs w:val="24"/>
              <w:lang w:val="en-US" w:eastAsia="zh-CN" w:bidi="ar-SA"/>
            </w:rPr>
            <w:t>3.6.1大气环境、水环境、声环境</w:t>
          </w:r>
          <w:r>
            <w:rPr>
              <w:color w:val="auto"/>
            </w:rPr>
            <w:tab/>
          </w:r>
          <w:r>
            <w:rPr>
              <w:color w:val="auto"/>
            </w:rPr>
            <w:fldChar w:fldCharType="begin"/>
          </w:r>
          <w:r>
            <w:rPr>
              <w:color w:val="auto"/>
            </w:rPr>
            <w:instrText xml:space="preserve"> PAGEREF _Toc253 \h </w:instrText>
          </w:r>
          <w:r>
            <w:rPr>
              <w:color w:val="auto"/>
            </w:rPr>
            <w:fldChar w:fldCharType="separate"/>
          </w:r>
          <w:r>
            <w:rPr>
              <w:color w:val="auto"/>
            </w:rPr>
            <w:t>36</w:t>
          </w:r>
          <w:r>
            <w:rPr>
              <w:color w:val="auto"/>
            </w:rPr>
            <w:fldChar w:fldCharType="end"/>
          </w:r>
          <w:r>
            <w:rPr>
              <w:color w:val="auto"/>
            </w:rPr>
            <w:fldChar w:fldCharType="end"/>
          </w:r>
        </w:p>
        <w:p w14:paraId="48E09AC0">
          <w:pPr>
            <w:pStyle w:val="11"/>
            <w:tabs>
              <w:tab w:val="right" w:leader="dot" w:pos="8844"/>
            </w:tabs>
            <w:rPr>
              <w:color w:val="auto"/>
            </w:rPr>
          </w:pPr>
          <w:r>
            <w:rPr>
              <w:color w:val="auto"/>
            </w:rPr>
            <w:fldChar w:fldCharType="begin"/>
          </w:r>
          <w:r>
            <w:rPr>
              <w:color w:val="auto"/>
            </w:rPr>
            <w:instrText xml:space="preserve"> HYPERLINK \l _Toc17972 </w:instrText>
          </w:r>
          <w:r>
            <w:rPr>
              <w:color w:val="auto"/>
            </w:rPr>
            <w:fldChar w:fldCharType="separate"/>
          </w:r>
          <w:r>
            <w:rPr>
              <w:rFonts w:hint="eastAsia" w:ascii="Times New Roman" w:hAnsi="Times New Roman" w:eastAsia="宋体" w:cs="Times New Roman"/>
              <w:color w:val="auto"/>
              <w:kern w:val="2"/>
              <w:szCs w:val="24"/>
              <w:lang w:val="en-US" w:eastAsia="zh-CN" w:bidi="ar-SA"/>
            </w:rPr>
            <w:t>3.6.2生态环境保护目标</w:t>
          </w:r>
          <w:r>
            <w:rPr>
              <w:color w:val="auto"/>
            </w:rPr>
            <w:tab/>
          </w:r>
          <w:r>
            <w:rPr>
              <w:color w:val="auto"/>
            </w:rPr>
            <w:fldChar w:fldCharType="begin"/>
          </w:r>
          <w:r>
            <w:rPr>
              <w:color w:val="auto"/>
            </w:rPr>
            <w:instrText xml:space="preserve"> PAGEREF _Toc17972 \h </w:instrText>
          </w:r>
          <w:r>
            <w:rPr>
              <w:color w:val="auto"/>
            </w:rPr>
            <w:fldChar w:fldCharType="separate"/>
          </w:r>
          <w:r>
            <w:rPr>
              <w:color w:val="auto"/>
            </w:rPr>
            <w:t>36</w:t>
          </w:r>
          <w:r>
            <w:rPr>
              <w:color w:val="auto"/>
            </w:rPr>
            <w:fldChar w:fldCharType="end"/>
          </w:r>
          <w:r>
            <w:rPr>
              <w:color w:val="auto"/>
            </w:rPr>
            <w:fldChar w:fldCharType="end"/>
          </w:r>
        </w:p>
        <w:p w14:paraId="6BCD7D9B">
          <w:pPr>
            <w:pStyle w:val="16"/>
            <w:tabs>
              <w:tab w:val="right" w:leader="dot" w:pos="8844"/>
            </w:tabs>
            <w:rPr>
              <w:color w:val="auto"/>
            </w:rPr>
          </w:pPr>
          <w:r>
            <w:rPr>
              <w:color w:val="auto"/>
            </w:rPr>
            <w:fldChar w:fldCharType="begin"/>
          </w:r>
          <w:r>
            <w:rPr>
              <w:color w:val="auto"/>
            </w:rPr>
            <w:instrText xml:space="preserve"> HYPERLINK \l _Toc24335 </w:instrText>
          </w:r>
          <w:r>
            <w:rPr>
              <w:color w:val="auto"/>
            </w:rPr>
            <w:fldChar w:fldCharType="separate"/>
          </w:r>
          <w:r>
            <w:rPr>
              <w:rFonts w:hint="eastAsia" w:ascii="Times New Roman" w:hAnsi="Times New Roman" w:eastAsia="宋体" w:cs="Times New Roman"/>
              <w:color w:val="auto"/>
              <w:kern w:val="2"/>
              <w:szCs w:val="24"/>
              <w:lang w:val="en-US" w:eastAsia="zh-CN" w:bidi="ar-SA"/>
            </w:rPr>
            <w:t>3.7污染物排放标准</w:t>
          </w:r>
          <w:r>
            <w:rPr>
              <w:color w:val="auto"/>
            </w:rPr>
            <w:tab/>
          </w:r>
          <w:r>
            <w:rPr>
              <w:color w:val="auto"/>
            </w:rPr>
            <w:fldChar w:fldCharType="begin"/>
          </w:r>
          <w:r>
            <w:rPr>
              <w:color w:val="auto"/>
            </w:rPr>
            <w:instrText xml:space="preserve"> PAGEREF _Toc24335 \h </w:instrText>
          </w:r>
          <w:r>
            <w:rPr>
              <w:color w:val="auto"/>
            </w:rPr>
            <w:fldChar w:fldCharType="separate"/>
          </w:r>
          <w:r>
            <w:rPr>
              <w:color w:val="auto"/>
            </w:rPr>
            <w:t>37</w:t>
          </w:r>
          <w:r>
            <w:rPr>
              <w:color w:val="auto"/>
            </w:rPr>
            <w:fldChar w:fldCharType="end"/>
          </w:r>
          <w:r>
            <w:rPr>
              <w:color w:val="auto"/>
            </w:rPr>
            <w:fldChar w:fldCharType="end"/>
          </w:r>
        </w:p>
        <w:p w14:paraId="50613D9A">
          <w:pPr>
            <w:pStyle w:val="11"/>
            <w:tabs>
              <w:tab w:val="right" w:leader="dot" w:pos="8844"/>
            </w:tabs>
            <w:rPr>
              <w:color w:val="auto"/>
            </w:rPr>
          </w:pPr>
          <w:r>
            <w:rPr>
              <w:color w:val="auto"/>
            </w:rPr>
            <w:fldChar w:fldCharType="begin"/>
          </w:r>
          <w:r>
            <w:rPr>
              <w:color w:val="auto"/>
            </w:rPr>
            <w:instrText xml:space="preserve"> HYPERLINK \l _Toc3242 </w:instrText>
          </w:r>
          <w:r>
            <w:rPr>
              <w:color w:val="auto"/>
            </w:rPr>
            <w:fldChar w:fldCharType="separate"/>
          </w:r>
          <w:r>
            <w:rPr>
              <w:rFonts w:hint="eastAsia" w:ascii="Times New Roman" w:hAnsi="Times New Roman" w:eastAsia="宋体" w:cs="Times New Roman"/>
              <w:color w:val="auto"/>
              <w:kern w:val="2"/>
              <w:szCs w:val="24"/>
              <w:lang w:val="en-US" w:eastAsia="zh-CN" w:bidi="ar-SA"/>
            </w:rPr>
            <w:t>3.7.1</w:t>
          </w:r>
          <w:r>
            <w:rPr>
              <w:rFonts w:hint="eastAsia" w:cs="Times New Roman"/>
              <w:color w:val="auto"/>
              <w:kern w:val="2"/>
              <w:szCs w:val="24"/>
              <w:lang w:val="en-US" w:eastAsia="zh-CN" w:bidi="ar-SA"/>
            </w:rPr>
            <w:t>水污染物排放</w:t>
          </w:r>
          <w:r>
            <w:rPr>
              <w:rFonts w:hint="eastAsia" w:ascii="Times New Roman" w:hAnsi="Times New Roman" w:eastAsia="宋体" w:cs="Times New Roman"/>
              <w:color w:val="auto"/>
              <w:kern w:val="2"/>
              <w:szCs w:val="24"/>
              <w:lang w:val="en-US" w:eastAsia="zh-CN" w:bidi="ar-SA"/>
            </w:rPr>
            <w:t>标准</w:t>
          </w:r>
          <w:r>
            <w:rPr>
              <w:color w:val="auto"/>
            </w:rPr>
            <w:tab/>
          </w:r>
          <w:r>
            <w:rPr>
              <w:color w:val="auto"/>
            </w:rPr>
            <w:fldChar w:fldCharType="begin"/>
          </w:r>
          <w:r>
            <w:rPr>
              <w:color w:val="auto"/>
            </w:rPr>
            <w:instrText xml:space="preserve"> PAGEREF _Toc3242 \h </w:instrText>
          </w:r>
          <w:r>
            <w:rPr>
              <w:color w:val="auto"/>
            </w:rPr>
            <w:fldChar w:fldCharType="separate"/>
          </w:r>
          <w:r>
            <w:rPr>
              <w:color w:val="auto"/>
            </w:rPr>
            <w:t>37</w:t>
          </w:r>
          <w:r>
            <w:rPr>
              <w:color w:val="auto"/>
            </w:rPr>
            <w:fldChar w:fldCharType="end"/>
          </w:r>
          <w:r>
            <w:rPr>
              <w:color w:val="auto"/>
            </w:rPr>
            <w:fldChar w:fldCharType="end"/>
          </w:r>
        </w:p>
        <w:p w14:paraId="60B6FC94">
          <w:pPr>
            <w:pStyle w:val="11"/>
            <w:tabs>
              <w:tab w:val="right" w:leader="dot" w:pos="8844"/>
            </w:tabs>
            <w:rPr>
              <w:color w:val="auto"/>
            </w:rPr>
          </w:pPr>
          <w:r>
            <w:rPr>
              <w:color w:val="auto"/>
            </w:rPr>
            <w:fldChar w:fldCharType="begin"/>
          </w:r>
          <w:r>
            <w:rPr>
              <w:color w:val="auto"/>
            </w:rPr>
            <w:instrText xml:space="preserve"> HYPERLINK \l _Toc17985 </w:instrText>
          </w:r>
          <w:r>
            <w:rPr>
              <w:color w:val="auto"/>
            </w:rPr>
            <w:fldChar w:fldCharType="separate"/>
          </w:r>
          <w:r>
            <w:rPr>
              <w:rFonts w:hint="eastAsia" w:ascii="Times New Roman" w:hAnsi="Times New Roman" w:eastAsia="宋体" w:cs="Times New Roman"/>
              <w:color w:val="auto"/>
              <w:kern w:val="2"/>
              <w:szCs w:val="24"/>
              <w:lang w:val="en-US" w:eastAsia="zh-CN" w:bidi="ar-SA"/>
            </w:rPr>
            <w:t>3.7.2大气污染物排放标准</w:t>
          </w:r>
          <w:r>
            <w:rPr>
              <w:color w:val="auto"/>
            </w:rPr>
            <w:tab/>
          </w:r>
          <w:r>
            <w:rPr>
              <w:color w:val="auto"/>
            </w:rPr>
            <w:fldChar w:fldCharType="begin"/>
          </w:r>
          <w:r>
            <w:rPr>
              <w:color w:val="auto"/>
            </w:rPr>
            <w:instrText xml:space="preserve"> PAGEREF _Toc17985 \h </w:instrText>
          </w:r>
          <w:r>
            <w:rPr>
              <w:color w:val="auto"/>
            </w:rPr>
            <w:fldChar w:fldCharType="separate"/>
          </w:r>
          <w:r>
            <w:rPr>
              <w:color w:val="auto"/>
            </w:rPr>
            <w:t>38</w:t>
          </w:r>
          <w:r>
            <w:rPr>
              <w:color w:val="auto"/>
            </w:rPr>
            <w:fldChar w:fldCharType="end"/>
          </w:r>
          <w:r>
            <w:rPr>
              <w:color w:val="auto"/>
            </w:rPr>
            <w:fldChar w:fldCharType="end"/>
          </w:r>
        </w:p>
        <w:p w14:paraId="433371E4">
          <w:pPr>
            <w:pStyle w:val="11"/>
            <w:tabs>
              <w:tab w:val="right" w:leader="dot" w:pos="8844"/>
            </w:tabs>
            <w:rPr>
              <w:color w:val="auto"/>
            </w:rPr>
          </w:pPr>
          <w:r>
            <w:rPr>
              <w:color w:val="auto"/>
            </w:rPr>
            <w:fldChar w:fldCharType="begin"/>
          </w:r>
          <w:r>
            <w:rPr>
              <w:color w:val="auto"/>
            </w:rPr>
            <w:instrText xml:space="preserve"> HYPERLINK \l _Toc19012 </w:instrText>
          </w:r>
          <w:r>
            <w:rPr>
              <w:color w:val="auto"/>
            </w:rPr>
            <w:fldChar w:fldCharType="separate"/>
          </w:r>
          <w:r>
            <w:rPr>
              <w:rFonts w:hint="eastAsia" w:ascii="Times New Roman" w:hAnsi="Times New Roman" w:eastAsia="宋体" w:cs="Times New Roman"/>
              <w:color w:val="auto"/>
              <w:kern w:val="2"/>
              <w:szCs w:val="24"/>
              <w:lang w:val="en-US" w:eastAsia="zh-CN" w:bidi="ar-SA"/>
            </w:rPr>
            <w:t>3.7.3噪声排放标准</w:t>
          </w:r>
          <w:r>
            <w:rPr>
              <w:color w:val="auto"/>
            </w:rPr>
            <w:tab/>
          </w:r>
          <w:r>
            <w:rPr>
              <w:color w:val="auto"/>
            </w:rPr>
            <w:fldChar w:fldCharType="begin"/>
          </w:r>
          <w:r>
            <w:rPr>
              <w:color w:val="auto"/>
            </w:rPr>
            <w:instrText xml:space="preserve"> PAGEREF _Toc19012 \h </w:instrText>
          </w:r>
          <w:r>
            <w:rPr>
              <w:color w:val="auto"/>
            </w:rPr>
            <w:fldChar w:fldCharType="separate"/>
          </w:r>
          <w:r>
            <w:rPr>
              <w:color w:val="auto"/>
            </w:rPr>
            <w:t>39</w:t>
          </w:r>
          <w:r>
            <w:rPr>
              <w:color w:val="auto"/>
            </w:rPr>
            <w:fldChar w:fldCharType="end"/>
          </w:r>
          <w:r>
            <w:rPr>
              <w:color w:val="auto"/>
            </w:rPr>
            <w:fldChar w:fldCharType="end"/>
          </w:r>
        </w:p>
        <w:p w14:paraId="138C86D4">
          <w:pPr>
            <w:pStyle w:val="11"/>
            <w:tabs>
              <w:tab w:val="right" w:leader="dot" w:pos="8844"/>
            </w:tabs>
            <w:rPr>
              <w:color w:val="auto"/>
            </w:rPr>
          </w:pPr>
          <w:r>
            <w:rPr>
              <w:color w:val="auto"/>
            </w:rPr>
            <w:fldChar w:fldCharType="begin"/>
          </w:r>
          <w:r>
            <w:rPr>
              <w:color w:val="auto"/>
            </w:rPr>
            <w:instrText xml:space="preserve"> HYPERLINK \l _Toc2355 </w:instrText>
          </w:r>
          <w:r>
            <w:rPr>
              <w:color w:val="auto"/>
            </w:rPr>
            <w:fldChar w:fldCharType="separate"/>
          </w:r>
          <w:r>
            <w:rPr>
              <w:rFonts w:hint="eastAsia" w:ascii="Times New Roman" w:hAnsi="Times New Roman" w:eastAsia="宋体" w:cs="Times New Roman"/>
              <w:color w:val="auto"/>
              <w:kern w:val="2"/>
              <w:szCs w:val="24"/>
              <w:lang w:val="en-US" w:eastAsia="zh-CN" w:bidi="ar-SA"/>
            </w:rPr>
            <w:t>3.7.4固体废物</w:t>
          </w:r>
          <w:r>
            <w:rPr>
              <w:color w:val="auto"/>
            </w:rPr>
            <w:tab/>
          </w:r>
          <w:r>
            <w:rPr>
              <w:color w:val="auto"/>
            </w:rPr>
            <w:fldChar w:fldCharType="begin"/>
          </w:r>
          <w:r>
            <w:rPr>
              <w:color w:val="auto"/>
            </w:rPr>
            <w:instrText xml:space="preserve"> PAGEREF _Toc2355 \h </w:instrText>
          </w:r>
          <w:r>
            <w:rPr>
              <w:color w:val="auto"/>
            </w:rPr>
            <w:fldChar w:fldCharType="separate"/>
          </w:r>
          <w:r>
            <w:rPr>
              <w:color w:val="auto"/>
            </w:rPr>
            <w:t>40</w:t>
          </w:r>
          <w:r>
            <w:rPr>
              <w:color w:val="auto"/>
            </w:rPr>
            <w:fldChar w:fldCharType="end"/>
          </w:r>
          <w:r>
            <w:rPr>
              <w:color w:val="auto"/>
            </w:rPr>
            <w:fldChar w:fldCharType="end"/>
          </w:r>
        </w:p>
        <w:p w14:paraId="2FBCE6E4">
          <w:pPr>
            <w:pStyle w:val="16"/>
            <w:tabs>
              <w:tab w:val="right" w:leader="dot" w:pos="8844"/>
            </w:tabs>
            <w:rPr>
              <w:color w:val="auto"/>
            </w:rPr>
          </w:pPr>
          <w:r>
            <w:rPr>
              <w:color w:val="auto"/>
            </w:rPr>
            <w:fldChar w:fldCharType="begin"/>
          </w:r>
          <w:r>
            <w:rPr>
              <w:color w:val="auto"/>
            </w:rPr>
            <w:instrText xml:space="preserve"> HYPERLINK \l _Toc9841 </w:instrText>
          </w:r>
          <w:r>
            <w:rPr>
              <w:color w:val="auto"/>
            </w:rPr>
            <w:fldChar w:fldCharType="separate"/>
          </w:r>
          <w:r>
            <w:rPr>
              <w:rFonts w:hint="eastAsia" w:ascii="Times New Roman" w:hAnsi="Times New Roman"/>
              <w:bCs w:val="0"/>
              <w:color w:val="auto"/>
            </w:rPr>
            <w:t>3.8总量控制</w:t>
          </w:r>
          <w:r>
            <w:rPr>
              <w:color w:val="auto"/>
            </w:rPr>
            <w:tab/>
          </w:r>
          <w:r>
            <w:rPr>
              <w:color w:val="auto"/>
            </w:rPr>
            <w:fldChar w:fldCharType="begin"/>
          </w:r>
          <w:r>
            <w:rPr>
              <w:color w:val="auto"/>
            </w:rPr>
            <w:instrText xml:space="preserve"> PAGEREF _Toc9841 \h </w:instrText>
          </w:r>
          <w:r>
            <w:rPr>
              <w:color w:val="auto"/>
            </w:rPr>
            <w:fldChar w:fldCharType="separate"/>
          </w:r>
          <w:r>
            <w:rPr>
              <w:color w:val="auto"/>
            </w:rPr>
            <w:t>40</w:t>
          </w:r>
          <w:r>
            <w:rPr>
              <w:color w:val="auto"/>
            </w:rPr>
            <w:fldChar w:fldCharType="end"/>
          </w:r>
          <w:r>
            <w:rPr>
              <w:color w:val="auto"/>
            </w:rPr>
            <w:fldChar w:fldCharType="end"/>
          </w:r>
        </w:p>
        <w:p w14:paraId="635B2C96">
          <w:pPr>
            <w:pStyle w:val="11"/>
            <w:tabs>
              <w:tab w:val="right" w:leader="dot" w:pos="8844"/>
            </w:tabs>
            <w:rPr>
              <w:color w:val="auto"/>
            </w:rPr>
          </w:pPr>
          <w:r>
            <w:rPr>
              <w:color w:val="auto"/>
            </w:rPr>
            <w:fldChar w:fldCharType="begin"/>
          </w:r>
          <w:r>
            <w:rPr>
              <w:color w:val="auto"/>
            </w:rPr>
            <w:instrText xml:space="preserve"> HYPERLINK \l _Toc16073 </w:instrText>
          </w:r>
          <w:r>
            <w:rPr>
              <w:color w:val="auto"/>
            </w:rPr>
            <w:fldChar w:fldCharType="separate"/>
          </w:r>
          <w:r>
            <w:rPr>
              <w:rFonts w:hint="eastAsia" w:ascii="Times New Roman" w:hAnsi="Times New Roman"/>
              <w:color w:val="auto"/>
            </w:rPr>
            <w:t>3.8.1废水总量</w:t>
          </w:r>
          <w:r>
            <w:rPr>
              <w:color w:val="auto"/>
            </w:rPr>
            <w:tab/>
          </w:r>
          <w:r>
            <w:rPr>
              <w:color w:val="auto"/>
            </w:rPr>
            <w:fldChar w:fldCharType="begin"/>
          </w:r>
          <w:r>
            <w:rPr>
              <w:color w:val="auto"/>
            </w:rPr>
            <w:instrText xml:space="preserve"> PAGEREF _Toc16073 \h </w:instrText>
          </w:r>
          <w:r>
            <w:rPr>
              <w:color w:val="auto"/>
            </w:rPr>
            <w:fldChar w:fldCharType="separate"/>
          </w:r>
          <w:r>
            <w:rPr>
              <w:color w:val="auto"/>
            </w:rPr>
            <w:t>40</w:t>
          </w:r>
          <w:r>
            <w:rPr>
              <w:color w:val="auto"/>
            </w:rPr>
            <w:fldChar w:fldCharType="end"/>
          </w:r>
          <w:r>
            <w:rPr>
              <w:color w:val="auto"/>
            </w:rPr>
            <w:fldChar w:fldCharType="end"/>
          </w:r>
        </w:p>
        <w:p w14:paraId="68C60AC4">
          <w:pPr>
            <w:pStyle w:val="11"/>
            <w:tabs>
              <w:tab w:val="right" w:leader="dot" w:pos="8844"/>
            </w:tabs>
            <w:rPr>
              <w:color w:val="auto"/>
            </w:rPr>
          </w:pPr>
          <w:r>
            <w:rPr>
              <w:color w:val="auto"/>
            </w:rPr>
            <w:fldChar w:fldCharType="begin"/>
          </w:r>
          <w:r>
            <w:rPr>
              <w:color w:val="auto"/>
            </w:rPr>
            <w:instrText xml:space="preserve"> HYPERLINK \l _Toc27386 </w:instrText>
          </w:r>
          <w:r>
            <w:rPr>
              <w:color w:val="auto"/>
            </w:rPr>
            <w:fldChar w:fldCharType="separate"/>
          </w:r>
          <w:r>
            <w:rPr>
              <w:rFonts w:hint="eastAsia" w:ascii="Times New Roman" w:hAnsi="Times New Roman"/>
              <w:color w:val="auto"/>
            </w:rPr>
            <w:t>3.8.2废气总量</w:t>
          </w:r>
          <w:r>
            <w:rPr>
              <w:color w:val="auto"/>
            </w:rPr>
            <w:tab/>
          </w:r>
          <w:r>
            <w:rPr>
              <w:color w:val="auto"/>
            </w:rPr>
            <w:fldChar w:fldCharType="begin"/>
          </w:r>
          <w:r>
            <w:rPr>
              <w:color w:val="auto"/>
            </w:rPr>
            <w:instrText xml:space="preserve"> PAGEREF _Toc27386 \h </w:instrText>
          </w:r>
          <w:r>
            <w:rPr>
              <w:color w:val="auto"/>
            </w:rPr>
            <w:fldChar w:fldCharType="separate"/>
          </w:r>
          <w:r>
            <w:rPr>
              <w:color w:val="auto"/>
            </w:rPr>
            <w:t>41</w:t>
          </w:r>
          <w:r>
            <w:rPr>
              <w:color w:val="auto"/>
            </w:rPr>
            <w:fldChar w:fldCharType="end"/>
          </w:r>
          <w:r>
            <w:rPr>
              <w:color w:val="auto"/>
            </w:rPr>
            <w:fldChar w:fldCharType="end"/>
          </w:r>
        </w:p>
        <w:p w14:paraId="15A47FED">
          <w:pPr>
            <w:pStyle w:val="16"/>
            <w:tabs>
              <w:tab w:val="right" w:leader="dot" w:pos="8844"/>
            </w:tabs>
            <w:rPr>
              <w:color w:val="auto"/>
            </w:rPr>
          </w:pPr>
          <w:r>
            <w:rPr>
              <w:color w:val="auto"/>
            </w:rPr>
            <w:fldChar w:fldCharType="begin"/>
          </w:r>
          <w:r>
            <w:rPr>
              <w:color w:val="auto"/>
            </w:rPr>
            <w:instrText xml:space="preserve"> HYPERLINK \l _Toc30318 </w:instrText>
          </w:r>
          <w:r>
            <w:rPr>
              <w:color w:val="auto"/>
            </w:rPr>
            <w:fldChar w:fldCharType="separate"/>
          </w:r>
          <w:r>
            <w:rPr>
              <w:rFonts w:hint="eastAsia" w:ascii="Times New Roman" w:hAnsi="Times New Roman" w:eastAsia="宋体" w:cs="Times New Roman"/>
              <w:color w:val="auto"/>
              <w:kern w:val="2"/>
              <w:szCs w:val="24"/>
              <w:lang w:val="en-US" w:eastAsia="zh-CN" w:bidi="ar-SA"/>
            </w:rPr>
            <w:t>4.1运营期水环境影响分析和污染防治措施</w:t>
          </w:r>
          <w:r>
            <w:rPr>
              <w:color w:val="auto"/>
            </w:rPr>
            <w:tab/>
          </w:r>
          <w:r>
            <w:rPr>
              <w:color w:val="auto"/>
            </w:rPr>
            <w:fldChar w:fldCharType="begin"/>
          </w:r>
          <w:r>
            <w:rPr>
              <w:color w:val="auto"/>
            </w:rPr>
            <w:instrText xml:space="preserve"> PAGEREF _Toc30318 \h </w:instrText>
          </w:r>
          <w:r>
            <w:rPr>
              <w:color w:val="auto"/>
            </w:rPr>
            <w:fldChar w:fldCharType="separate"/>
          </w:r>
          <w:r>
            <w:rPr>
              <w:color w:val="auto"/>
            </w:rPr>
            <w:t>42</w:t>
          </w:r>
          <w:r>
            <w:rPr>
              <w:color w:val="auto"/>
            </w:rPr>
            <w:fldChar w:fldCharType="end"/>
          </w:r>
          <w:r>
            <w:rPr>
              <w:color w:val="auto"/>
            </w:rPr>
            <w:fldChar w:fldCharType="end"/>
          </w:r>
        </w:p>
        <w:p w14:paraId="6D01790D">
          <w:pPr>
            <w:pStyle w:val="11"/>
            <w:tabs>
              <w:tab w:val="right" w:leader="dot" w:pos="8844"/>
            </w:tabs>
            <w:rPr>
              <w:color w:val="auto"/>
            </w:rPr>
          </w:pPr>
          <w:r>
            <w:rPr>
              <w:color w:val="auto"/>
            </w:rPr>
            <w:fldChar w:fldCharType="begin"/>
          </w:r>
          <w:r>
            <w:rPr>
              <w:color w:val="auto"/>
            </w:rPr>
            <w:instrText xml:space="preserve"> HYPERLINK \l _Toc5354 </w:instrText>
          </w:r>
          <w:r>
            <w:rPr>
              <w:color w:val="auto"/>
            </w:rPr>
            <w:fldChar w:fldCharType="separate"/>
          </w:r>
          <w:r>
            <w:rPr>
              <w:rFonts w:hint="eastAsia" w:ascii="Times New Roman" w:hAnsi="Times New Roman" w:eastAsia="宋体" w:cs="Times New Roman"/>
              <w:color w:val="auto"/>
              <w:kern w:val="2"/>
              <w:szCs w:val="24"/>
              <w:lang w:val="en-US" w:eastAsia="zh-CN" w:bidi="ar-SA"/>
            </w:rPr>
            <w:t>4.1.1运营期废水源强核算</w:t>
          </w:r>
          <w:r>
            <w:rPr>
              <w:color w:val="auto"/>
            </w:rPr>
            <w:tab/>
          </w:r>
          <w:r>
            <w:rPr>
              <w:color w:val="auto"/>
            </w:rPr>
            <w:fldChar w:fldCharType="begin"/>
          </w:r>
          <w:r>
            <w:rPr>
              <w:color w:val="auto"/>
            </w:rPr>
            <w:instrText xml:space="preserve"> PAGEREF _Toc5354 \h </w:instrText>
          </w:r>
          <w:r>
            <w:rPr>
              <w:color w:val="auto"/>
            </w:rPr>
            <w:fldChar w:fldCharType="separate"/>
          </w:r>
          <w:r>
            <w:rPr>
              <w:color w:val="auto"/>
            </w:rPr>
            <w:t>42</w:t>
          </w:r>
          <w:r>
            <w:rPr>
              <w:color w:val="auto"/>
            </w:rPr>
            <w:fldChar w:fldCharType="end"/>
          </w:r>
          <w:r>
            <w:rPr>
              <w:color w:val="auto"/>
            </w:rPr>
            <w:fldChar w:fldCharType="end"/>
          </w:r>
        </w:p>
        <w:p w14:paraId="1EBDFB70">
          <w:pPr>
            <w:pStyle w:val="11"/>
            <w:tabs>
              <w:tab w:val="right" w:leader="dot" w:pos="8844"/>
            </w:tabs>
            <w:rPr>
              <w:color w:val="auto"/>
            </w:rPr>
          </w:pPr>
          <w:r>
            <w:rPr>
              <w:color w:val="auto"/>
            </w:rPr>
            <w:fldChar w:fldCharType="begin"/>
          </w:r>
          <w:r>
            <w:rPr>
              <w:color w:val="auto"/>
            </w:rPr>
            <w:instrText xml:space="preserve"> HYPERLINK \l _Toc25625 </w:instrText>
          </w:r>
          <w:r>
            <w:rPr>
              <w:color w:val="auto"/>
            </w:rPr>
            <w:fldChar w:fldCharType="separate"/>
          </w:r>
          <w:r>
            <w:rPr>
              <w:rFonts w:hint="eastAsia" w:ascii="Times New Roman" w:hAnsi="Times New Roman" w:eastAsia="宋体" w:cs="Times New Roman"/>
              <w:color w:val="auto"/>
              <w:kern w:val="2"/>
              <w:szCs w:val="24"/>
              <w:lang w:val="en-US" w:eastAsia="zh-CN" w:bidi="ar-SA"/>
            </w:rPr>
            <w:t>4.1.2运营期水环境影响及污染防治措施可行性分析</w:t>
          </w:r>
          <w:r>
            <w:rPr>
              <w:color w:val="auto"/>
            </w:rPr>
            <w:tab/>
          </w:r>
          <w:r>
            <w:rPr>
              <w:color w:val="auto"/>
            </w:rPr>
            <w:fldChar w:fldCharType="begin"/>
          </w:r>
          <w:r>
            <w:rPr>
              <w:color w:val="auto"/>
            </w:rPr>
            <w:instrText xml:space="preserve"> PAGEREF _Toc25625 \h </w:instrText>
          </w:r>
          <w:r>
            <w:rPr>
              <w:color w:val="auto"/>
            </w:rPr>
            <w:fldChar w:fldCharType="separate"/>
          </w:r>
          <w:r>
            <w:rPr>
              <w:color w:val="auto"/>
            </w:rPr>
            <w:t>45</w:t>
          </w:r>
          <w:r>
            <w:rPr>
              <w:color w:val="auto"/>
            </w:rPr>
            <w:fldChar w:fldCharType="end"/>
          </w:r>
          <w:r>
            <w:rPr>
              <w:color w:val="auto"/>
            </w:rPr>
            <w:fldChar w:fldCharType="end"/>
          </w:r>
        </w:p>
        <w:p w14:paraId="44C5E52E">
          <w:pPr>
            <w:pStyle w:val="11"/>
            <w:tabs>
              <w:tab w:val="right" w:leader="dot" w:pos="8844"/>
            </w:tabs>
            <w:rPr>
              <w:color w:val="auto"/>
            </w:rPr>
          </w:pPr>
          <w:r>
            <w:rPr>
              <w:color w:val="auto"/>
            </w:rPr>
            <w:fldChar w:fldCharType="begin"/>
          </w:r>
          <w:r>
            <w:rPr>
              <w:color w:val="auto"/>
            </w:rPr>
            <w:instrText xml:space="preserve"> HYPERLINK \l _Toc28435 </w:instrText>
          </w:r>
          <w:r>
            <w:rPr>
              <w:color w:val="auto"/>
            </w:rPr>
            <w:fldChar w:fldCharType="separate"/>
          </w:r>
          <w:r>
            <w:rPr>
              <w:rFonts w:hint="eastAsia" w:ascii="Times New Roman" w:hAnsi="Times New Roman" w:eastAsia="宋体" w:cs="Times New Roman"/>
              <w:color w:val="auto"/>
              <w:kern w:val="2"/>
              <w:szCs w:val="24"/>
              <w:lang w:val="en-US" w:eastAsia="zh-CN" w:bidi="ar-SA"/>
            </w:rPr>
            <w:t>4.1.3废水自行监测计划</w:t>
          </w:r>
          <w:r>
            <w:rPr>
              <w:color w:val="auto"/>
            </w:rPr>
            <w:tab/>
          </w:r>
          <w:r>
            <w:rPr>
              <w:color w:val="auto"/>
            </w:rPr>
            <w:fldChar w:fldCharType="begin"/>
          </w:r>
          <w:r>
            <w:rPr>
              <w:color w:val="auto"/>
            </w:rPr>
            <w:instrText xml:space="preserve"> PAGEREF _Toc28435 \h </w:instrText>
          </w:r>
          <w:r>
            <w:rPr>
              <w:color w:val="auto"/>
            </w:rPr>
            <w:fldChar w:fldCharType="separate"/>
          </w:r>
          <w:r>
            <w:rPr>
              <w:color w:val="auto"/>
            </w:rPr>
            <w:t>49</w:t>
          </w:r>
          <w:r>
            <w:rPr>
              <w:color w:val="auto"/>
            </w:rPr>
            <w:fldChar w:fldCharType="end"/>
          </w:r>
          <w:r>
            <w:rPr>
              <w:color w:val="auto"/>
            </w:rPr>
            <w:fldChar w:fldCharType="end"/>
          </w:r>
        </w:p>
        <w:p w14:paraId="1825EA17">
          <w:pPr>
            <w:pStyle w:val="16"/>
            <w:tabs>
              <w:tab w:val="right" w:leader="dot" w:pos="8844"/>
            </w:tabs>
            <w:rPr>
              <w:color w:val="auto"/>
            </w:rPr>
          </w:pPr>
          <w:r>
            <w:rPr>
              <w:color w:val="auto"/>
            </w:rPr>
            <w:fldChar w:fldCharType="begin"/>
          </w:r>
          <w:r>
            <w:rPr>
              <w:color w:val="auto"/>
            </w:rPr>
            <w:instrText xml:space="preserve"> HYPERLINK \l _Toc15172 </w:instrText>
          </w:r>
          <w:r>
            <w:rPr>
              <w:color w:val="auto"/>
            </w:rPr>
            <w:fldChar w:fldCharType="separate"/>
          </w:r>
          <w:r>
            <w:rPr>
              <w:rFonts w:hint="eastAsia" w:ascii="Times New Roman" w:hAnsi="Times New Roman" w:eastAsia="宋体" w:cs="Times New Roman"/>
              <w:color w:val="auto"/>
              <w:kern w:val="2"/>
              <w:szCs w:val="24"/>
              <w:lang w:val="en-US" w:eastAsia="zh-CN" w:bidi="ar-SA"/>
            </w:rPr>
            <w:t>4.2运营期大气环境影响分析和污染防控措施</w:t>
          </w:r>
          <w:r>
            <w:rPr>
              <w:color w:val="auto"/>
            </w:rPr>
            <w:tab/>
          </w:r>
          <w:r>
            <w:rPr>
              <w:color w:val="auto"/>
            </w:rPr>
            <w:fldChar w:fldCharType="begin"/>
          </w:r>
          <w:r>
            <w:rPr>
              <w:color w:val="auto"/>
            </w:rPr>
            <w:instrText xml:space="preserve"> PAGEREF _Toc15172 \h </w:instrText>
          </w:r>
          <w:r>
            <w:rPr>
              <w:color w:val="auto"/>
            </w:rPr>
            <w:fldChar w:fldCharType="separate"/>
          </w:r>
          <w:r>
            <w:rPr>
              <w:color w:val="auto"/>
            </w:rPr>
            <w:t>49</w:t>
          </w:r>
          <w:r>
            <w:rPr>
              <w:color w:val="auto"/>
            </w:rPr>
            <w:fldChar w:fldCharType="end"/>
          </w:r>
          <w:r>
            <w:rPr>
              <w:color w:val="auto"/>
            </w:rPr>
            <w:fldChar w:fldCharType="end"/>
          </w:r>
        </w:p>
        <w:p w14:paraId="05848074">
          <w:pPr>
            <w:pStyle w:val="11"/>
            <w:tabs>
              <w:tab w:val="right" w:leader="dot" w:pos="8844"/>
            </w:tabs>
            <w:rPr>
              <w:color w:val="auto"/>
            </w:rPr>
          </w:pPr>
          <w:r>
            <w:rPr>
              <w:color w:val="auto"/>
            </w:rPr>
            <w:fldChar w:fldCharType="begin"/>
          </w:r>
          <w:r>
            <w:rPr>
              <w:color w:val="auto"/>
            </w:rPr>
            <w:instrText xml:space="preserve"> HYPERLINK \l _Toc19271 </w:instrText>
          </w:r>
          <w:r>
            <w:rPr>
              <w:color w:val="auto"/>
            </w:rPr>
            <w:fldChar w:fldCharType="separate"/>
          </w:r>
          <w:r>
            <w:rPr>
              <w:rFonts w:hint="eastAsia" w:ascii="Times New Roman" w:hAnsi="Times New Roman" w:eastAsia="宋体" w:cs="Times New Roman"/>
              <w:color w:val="auto"/>
              <w:kern w:val="2"/>
              <w:szCs w:val="24"/>
              <w:lang w:val="en-US" w:eastAsia="zh-CN" w:bidi="ar-SA"/>
            </w:rPr>
            <w:t>4.2.1运营期废气源强核算</w:t>
          </w:r>
          <w:r>
            <w:rPr>
              <w:color w:val="auto"/>
            </w:rPr>
            <w:tab/>
          </w:r>
          <w:r>
            <w:rPr>
              <w:color w:val="auto"/>
            </w:rPr>
            <w:fldChar w:fldCharType="begin"/>
          </w:r>
          <w:r>
            <w:rPr>
              <w:color w:val="auto"/>
            </w:rPr>
            <w:instrText xml:space="preserve"> PAGEREF _Toc19271 \h </w:instrText>
          </w:r>
          <w:r>
            <w:rPr>
              <w:color w:val="auto"/>
            </w:rPr>
            <w:fldChar w:fldCharType="separate"/>
          </w:r>
          <w:r>
            <w:rPr>
              <w:color w:val="auto"/>
            </w:rPr>
            <w:t>50</w:t>
          </w:r>
          <w:r>
            <w:rPr>
              <w:color w:val="auto"/>
            </w:rPr>
            <w:fldChar w:fldCharType="end"/>
          </w:r>
          <w:r>
            <w:rPr>
              <w:color w:val="auto"/>
            </w:rPr>
            <w:fldChar w:fldCharType="end"/>
          </w:r>
        </w:p>
        <w:p w14:paraId="3B62917A">
          <w:pPr>
            <w:pStyle w:val="11"/>
            <w:tabs>
              <w:tab w:val="right" w:leader="dot" w:pos="8844"/>
            </w:tabs>
            <w:rPr>
              <w:color w:val="auto"/>
            </w:rPr>
          </w:pPr>
          <w:r>
            <w:rPr>
              <w:color w:val="auto"/>
            </w:rPr>
            <w:fldChar w:fldCharType="begin"/>
          </w:r>
          <w:r>
            <w:rPr>
              <w:color w:val="auto"/>
            </w:rPr>
            <w:instrText xml:space="preserve"> HYPERLINK \l _Toc18861 </w:instrText>
          </w:r>
          <w:r>
            <w:rPr>
              <w:color w:val="auto"/>
            </w:rPr>
            <w:fldChar w:fldCharType="separate"/>
          </w:r>
          <w:r>
            <w:rPr>
              <w:rFonts w:hint="eastAsia" w:ascii="Times New Roman" w:hAnsi="Times New Roman" w:eastAsia="宋体" w:cs="Times New Roman"/>
              <w:color w:val="auto"/>
              <w:kern w:val="2"/>
              <w:szCs w:val="24"/>
              <w:lang w:val="en-US" w:eastAsia="zh-CN" w:bidi="ar-SA"/>
            </w:rPr>
            <w:t>4.2.2运营期废气治理措施及达标分析</w:t>
          </w:r>
          <w:r>
            <w:rPr>
              <w:color w:val="auto"/>
            </w:rPr>
            <w:tab/>
          </w:r>
          <w:r>
            <w:rPr>
              <w:color w:val="auto"/>
            </w:rPr>
            <w:fldChar w:fldCharType="begin"/>
          </w:r>
          <w:r>
            <w:rPr>
              <w:color w:val="auto"/>
            </w:rPr>
            <w:instrText xml:space="preserve"> PAGEREF _Toc18861 \h </w:instrText>
          </w:r>
          <w:r>
            <w:rPr>
              <w:color w:val="auto"/>
            </w:rPr>
            <w:fldChar w:fldCharType="separate"/>
          </w:r>
          <w:r>
            <w:rPr>
              <w:color w:val="auto"/>
            </w:rPr>
            <w:t>55</w:t>
          </w:r>
          <w:r>
            <w:rPr>
              <w:color w:val="auto"/>
            </w:rPr>
            <w:fldChar w:fldCharType="end"/>
          </w:r>
          <w:r>
            <w:rPr>
              <w:color w:val="auto"/>
            </w:rPr>
            <w:fldChar w:fldCharType="end"/>
          </w:r>
        </w:p>
        <w:p w14:paraId="233599E0">
          <w:pPr>
            <w:pStyle w:val="11"/>
            <w:tabs>
              <w:tab w:val="right" w:leader="dot" w:pos="8844"/>
            </w:tabs>
            <w:rPr>
              <w:color w:val="auto"/>
            </w:rPr>
          </w:pPr>
          <w:r>
            <w:rPr>
              <w:color w:val="auto"/>
            </w:rPr>
            <w:fldChar w:fldCharType="begin"/>
          </w:r>
          <w:r>
            <w:rPr>
              <w:color w:val="auto"/>
            </w:rPr>
            <w:instrText xml:space="preserve"> HYPERLINK \l _Toc24218 </w:instrText>
          </w:r>
          <w:r>
            <w:rPr>
              <w:color w:val="auto"/>
            </w:rPr>
            <w:fldChar w:fldCharType="separate"/>
          </w:r>
          <w:r>
            <w:rPr>
              <w:rFonts w:hint="default" w:ascii="Times New Roman" w:hAnsi="Times New Roman" w:eastAsia="宋体" w:cs="Times New Roman"/>
              <w:color w:val="auto"/>
              <w:kern w:val="2"/>
              <w:szCs w:val="24"/>
              <w:lang w:val="en-US" w:eastAsia="zh-CN" w:bidi="ar-SA"/>
            </w:rPr>
            <w:t>4.2.3非正常工况排放量核算</w:t>
          </w:r>
          <w:r>
            <w:rPr>
              <w:color w:val="auto"/>
            </w:rPr>
            <w:tab/>
          </w:r>
          <w:r>
            <w:rPr>
              <w:color w:val="auto"/>
            </w:rPr>
            <w:fldChar w:fldCharType="begin"/>
          </w:r>
          <w:r>
            <w:rPr>
              <w:color w:val="auto"/>
            </w:rPr>
            <w:instrText xml:space="preserve"> PAGEREF _Toc24218 \h </w:instrText>
          </w:r>
          <w:r>
            <w:rPr>
              <w:color w:val="auto"/>
            </w:rPr>
            <w:fldChar w:fldCharType="separate"/>
          </w:r>
          <w:r>
            <w:rPr>
              <w:color w:val="auto"/>
            </w:rPr>
            <w:t>57</w:t>
          </w:r>
          <w:r>
            <w:rPr>
              <w:color w:val="auto"/>
            </w:rPr>
            <w:fldChar w:fldCharType="end"/>
          </w:r>
          <w:r>
            <w:rPr>
              <w:color w:val="auto"/>
            </w:rPr>
            <w:fldChar w:fldCharType="end"/>
          </w:r>
        </w:p>
        <w:p w14:paraId="6EA43941">
          <w:pPr>
            <w:pStyle w:val="11"/>
            <w:tabs>
              <w:tab w:val="right" w:leader="dot" w:pos="8844"/>
            </w:tabs>
            <w:rPr>
              <w:color w:val="auto"/>
            </w:rPr>
          </w:pPr>
          <w:r>
            <w:rPr>
              <w:color w:val="auto"/>
            </w:rPr>
            <w:fldChar w:fldCharType="begin"/>
          </w:r>
          <w:r>
            <w:rPr>
              <w:color w:val="auto"/>
            </w:rPr>
            <w:instrText xml:space="preserve"> HYPERLINK \l _Toc23845 </w:instrText>
          </w:r>
          <w:r>
            <w:rPr>
              <w:color w:val="auto"/>
            </w:rPr>
            <w:fldChar w:fldCharType="separate"/>
          </w:r>
          <w:r>
            <w:rPr>
              <w:rFonts w:hint="eastAsia" w:ascii="Times New Roman" w:hAnsi="Times New Roman" w:eastAsia="宋体" w:cs="Times New Roman"/>
              <w:color w:val="auto"/>
              <w:kern w:val="2"/>
              <w:szCs w:val="24"/>
              <w:lang w:val="en-US" w:eastAsia="zh-CN" w:bidi="ar-SA"/>
            </w:rPr>
            <w:t>4.2.4运营期废气自行监测计划</w:t>
          </w:r>
          <w:r>
            <w:rPr>
              <w:color w:val="auto"/>
            </w:rPr>
            <w:tab/>
          </w:r>
          <w:r>
            <w:rPr>
              <w:color w:val="auto"/>
            </w:rPr>
            <w:fldChar w:fldCharType="begin"/>
          </w:r>
          <w:r>
            <w:rPr>
              <w:color w:val="auto"/>
            </w:rPr>
            <w:instrText xml:space="preserve"> PAGEREF _Toc23845 \h </w:instrText>
          </w:r>
          <w:r>
            <w:rPr>
              <w:color w:val="auto"/>
            </w:rPr>
            <w:fldChar w:fldCharType="separate"/>
          </w:r>
          <w:r>
            <w:rPr>
              <w:color w:val="auto"/>
            </w:rPr>
            <w:t>58</w:t>
          </w:r>
          <w:r>
            <w:rPr>
              <w:color w:val="auto"/>
            </w:rPr>
            <w:fldChar w:fldCharType="end"/>
          </w:r>
          <w:r>
            <w:rPr>
              <w:color w:val="auto"/>
            </w:rPr>
            <w:fldChar w:fldCharType="end"/>
          </w:r>
        </w:p>
        <w:p w14:paraId="55C8F0D7">
          <w:pPr>
            <w:pStyle w:val="16"/>
            <w:tabs>
              <w:tab w:val="right" w:leader="dot" w:pos="8844"/>
            </w:tabs>
            <w:rPr>
              <w:color w:val="auto"/>
            </w:rPr>
          </w:pPr>
          <w:r>
            <w:rPr>
              <w:color w:val="auto"/>
            </w:rPr>
            <w:fldChar w:fldCharType="begin"/>
          </w:r>
          <w:r>
            <w:rPr>
              <w:color w:val="auto"/>
            </w:rPr>
            <w:instrText xml:space="preserve"> HYPERLINK \l _Toc8322 </w:instrText>
          </w:r>
          <w:r>
            <w:rPr>
              <w:color w:val="auto"/>
            </w:rPr>
            <w:fldChar w:fldCharType="separate"/>
          </w:r>
          <w:r>
            <w:rPr>
              <w:rFonts w:hint="eastAsia" w:ascii="Times New Roman" w:hAnsi="Times New Roman" w:eastAsia="宋体" w:cs="Times New Roman"/>
              <w:color w:val="auto"/>
              <w:kern w:val="2"/>
              <w:szCs w:val="24"/>
              <w:lang w:val="en-US" w:eastAsia="zh-CN" w:bidi="ar-SA"/>
            </w:rPr>
            <w:t>4.3运营期声环境影响分析和污染防控措施</w:t>
          </w:r>
          <w:r>
            <w:rPr>
              <w:color w:val="auto"/>
            </w:rPr>
            <w:tab/>
          </w:r>
          <w:r>
            <w:rPr>
              <w:color w:val="auto"/>
            </w:rPr>
            <w:fldChar w:fldCharType="begin"/>
          </w:r>
          <w:r>
            <w:rPr>
              <w:color w:val="auto"/>
            </w:rPr>
            <w:instrText xml:space="preserve"> PAGEREF _Toc8322 \h </w:instrText>
          </w:r>
          <w:r>
            <w:rPr>
              <w:color w:val="auto"/>
            </w:rPr>
            <w:fldChar w:fldCharType="separate"/>
          </w:r>
          <w:r>
            <w:rPr>
              <w:color w:val="auto"/>
            </w:rPr>
            <w:t>58</w:t>
          </w:r>
          <w:r>
            <w:rPr>
              <w:color w:val="auto"/>
            </w:rPr>
            <w:fldChar w:fldCharType="end"/>
          </w:r>
          <w:r>
            <w:rPr>
              <w:color w:val="auto"/>
            </w:rPr>
            <w:fldChar w:fldCharType="end"/>
          </w:r>
        </w:p>
        <w:p w14:paraId="00038F7B">
          <w:pPr>
            <w:pStyle w:val="11"/>
            <w:tabs>
              <w:tab w:val="right" w:leader="dot" w:pos="8844"/>
            </w:tabs>
            <w:rPr>
              <w:color w:val="auto"/>
            </w:rPr>
          </w:pPr>
          <w:r>
            <w:rPr>
              <w:color w:val="auto"/>
            </w:rPr>
            <w:fldChar w:fldCharType="begin"/>
          </w:r>
          <w:r>
            <w:rPr>
              <w:color w:val="auto"/>
            </w:rPr>
            <w:instrText xml:space="preserve"> HYPERLINK \l _Toc29859 </w:instrText>
          </w:r>
          <w:r>
            <w:rPr>
              <w:color w:val="auto"/>
            </w:rPr>
            <w:fldChar w:fldCharType="separate"/>
          </w:r>
          <w:r>
            <w:rPr>
              <w:rFonts w:hint="eastAsia" w:ascii="Times New Roman" w:hAnsi="Times New Roman" w:eastAsia="宋体" w:cs="Times New Roman"/>
              <w:color w:val="auto"/>
              <w:kern w:val="2"/>
              <w:szCs w:val="24"/>
              <w:lang w:val="en-US" w:eastAsia="zh-CN" w:bidi="ar-SA"/>
            </w:rPr>
            <w:t>4.3.1声环境污染源分析</w:t>
          </w:r>
          <w:r>
            <w:rPr>
              <w:color w:val="auto"/>
            </w:rPr>
            <w:tab/>
          </w:r>
          <w:r>
            <w:rPr>
              <w:color w:val="auto"/>
            </w:rPr>
            <w:fldChar w:fldCharType="begin"/>
          </w:r>
          <w:r>
            <w:rPr>
              <w:color w:val="auto"/>
            </w:rPr>
            <w:instrText xml:space="preserve"> PAGEREF _Toc29859 \h </w:instrText>
          </w:r>
          <w:r>
            <w:rPr>
              <w:color w:val="auto"/>
            </w:rPr>
            <w:fldChar w:fldCharType="separate"/>
          </w:r>
          <w:r>
            <w:rPr>
              <w:color w:val="auto"/>
            </w:rPr>
            <w:t>58</w:t>
          </w:r>
          <w:r>
            <w:rPr>
              <w:color w:val="auto"/>
            </w:rPr>
            <w:fldChar w:fldCharType="end"/>
          </w:r>
          <w:r>
            <w:rPr>
              <w:color w:val="auto"/>
            </w:rPr>
            <w:fldChar w:fldCharType="end"/>
          </w:r>
        </w:p>
        <w:p w14:paraId="717DC517">
          <w:pPr>
            <w:pStyle w:val="11"/>
            <w:tabs>
              <w:tab w:val="right" w:leader="dot" w:pos="8844"/>
            </w:tabs>
            <w:rPr>
              <w:color w:val="auto"/>
            </w:rPr>
          </w:pPr>
          <w:r>
            <w:rPr>
              <w:color w:val="auto"/>
            </w:rPr>
            <w:fldChar w:fldCharType="begin"/>
          </w:r>
          <w:r>
            <w:rPr>
              <w:color w:val="auto"/>
            </w:rPr>
            <w:instrText xml:space="preserve"> HYPERLINK \l _Toc19460 </w:instrText>
          </w:r>
          <w:r>
            <w:rPr>
              <w:color w:val="auto"/>
            </w:rPr>
            <w:fldChar w:fldCharType="separate"/>
          </w:r>
          <w:r>
            <w:rPr>
              <w:rFonts w:hint="eastAsia" w:ascii="Times New Roman" w:hAnsi="Times New Roman" w:eastAsia="宋体" w:cs="Times New Roman"/>
              <w:color w:val="auto"/>
              <w:kern w:val="2"/>
              <w:szCs w:val="24"/>
              <w:lang w:val="en-US" w:eastAsia="zh-CN" w:bidi="ar-SA"/>
            </w:rPr>
            <w:t>4.3.2声环境影响分析</w:t>
          </w:r>
          <w:r>
            <w:rPr>
              <w:color w:val="auto"/>
            </w:rPr>
            <w:tab/>
          </w:r>
          <w:r>
            <w:rPr>
              <w:color w:val="auto"/>
            </w:rPr>
            <w:fldChar w:fldCharType="begin"/>
          </w:r>
          <w:r>
            <w:rPr>
              <w:color w:val="auto"/>
            </w:rPr>
            <w:instrText xml:space="preserve"> PAGEREF _Toc19460 \h </w:instrText>
          </w:r>
          <w:r>
            <w:rPr>
              <w:color w:val="auto"/>
            </w:rPr>
            <w:fldChar w:fldCharType="separate"/>
          </w:r>
          <w:r>
            <w:rPr>
              <w:color w:val="auto"/>
            </w:rPr>
            <w:t>59</w:t>
          </w:r>
          <w:r>
            <w:rPr>
              <w:color w:val="auto"/>
            </w:rPr>
            <w:fldChar w:fldCharType="end"/>
          </w:r>
          <w:r>
            <w:rPr>
              <w:color w:val="auto"/>
            </w:rPr>
            <w:fldChar w:fldCharType="end"/>
          </w:r>
        </w:p>
        <w:p w14:paraId="02C605B7">
          <w:pPr>
            <w:pStyle w:val="11"/>
            <w:tabs>
              <w:tab w:val="right" w:leader="dot" w:pos="8844"/>
            </w:tabs>
            <w:rPr>
              <w:color w:val="auto"/>
            </w:rPr>
          </w:pPr>
          <w:r>
            <w:rPr>
              <w:color w:val="auto"/>
            </w:rPr>
            <w:fldChar w:fldCharType="begin"/>
          </w:r>
          <w:r>
            <w:rPr>
              <w:color w:val="auto"/>
            </w:rPr>
            <w:instrText xml:space="preserve"> HYPERLINK \l _Toc32577 </w:instrText>
          </w:r>
          <w:r>
            <w:rPr>
              <w:color w:val="auto"/>
            </w:rPr>
            <w:fldChar w:fldCharType="separate"/>
          </w:r>
          <w:r>
            <w:rPr>
              <w:rFonts w:hint="eastAsia" w:ascii="Times New Roman" w:hAnsi="Times New Roman"/>
              <w:color w:val="auto"/>
              <w:lang w:val="en-US" w:eastAsia="zh-CN"/>
            </w:rPr>
            <w:t>4.3.3声环境预测结果分析</w:t>
          </w:r>
          <w:r>
            <w:rPr>
              <w:color w:val="auto"/>
            </w:rPr>
            <w:tab/>
          </w:r>
          <w:r>
            <w:rPr>
              <w:color w:val="auto"/>
            </w:rPr>
            <w:fldChar w:fldCharType="begin"/>
          </w:r>
          <w:r>
            <w:rPr>
              <w:color w:val="auto"/>
            </w:rPr>
            <w:instrText xml:space="preserve"> PAGEREF _Toc32577 \h </w:instrText>
          </w:r>
          <w:r>
            <w:rPr>
              <w:color w:val="auto"/>
            </w:rPr>
            <w:fldChar w:fldCharType="separate"/>
          </w:r>
          <w:r>
            <w:rPr>
              <w:color w:val="auto"/>
            </w:rPr>
            <w:t>64</w:t>
          </w:r>
          <w:r>
            <w:rPr>
              <w:color w:val="auto"/>
            </w:rPr>
            <w:fldChar w:fldCharType="end"/>
          </w:r>
          <w:r>
            <w:rPr>
              <w:color w:val="auto"/>
            </w:rPr>
            <w:fldChar w:fldCharType="end"/>
          </w:r>
        </w:p>
        <w:p w14:paraId="39D8C1B8">
          <w:pPr>
            <w:pStyle w:val="11"/>
            <w:tabs>
              <w:tab w:val="right" w:leader="dot" w:pos="8844"/>
            </w:tabs>
            <w:rPr>
              <w:color w:val="auto"/>
            </w:rPr>
          </w:pPr>
          <w:r>
            <w:rPr>
              <w:color w:val="auto"/>
            </w:rPr>
            <w:fldChar w:fldCharType="begin"/>
          </w:r>
          <w:r>
            <w:rPr>
              <w:color w:val="auto"/>
            </w:rPr>
            <w:instrText xml:space="preserve"> HYPERLINK \l _Toc23387 </w:instrText>
          </w:r>
          <w:r>
            <w:rPr>
              <w:color w:val="auto"/>
            </w:rPr>
            <w:fldChar w:fldCharType="separate"/>
          </w:r>
          <w:r>
            <w:rPr>
              <w:rFonts w:hint="eastAsia" w:ascii="Times New Roman" w:hAnsi="Times New Roman"/>
              <w:color w:val="auto"/>
              <w:lang w:val="en-US" w:eastAsia="zh-CN"/>
            </w:rPr>
            <w:t>4.3.4声环境防治措施</w:t>
          </w:r>
          <w:r>
            <w:rPr>
              <w:color w:val="auto"/>
            </w:rPr>
            <w:tab/>
          </w:r>
          <w:r>
            <w:rPr>
              <w:color w:val="auto"/>
            </w:rPr>
            <w:fldChar w:fldCharType="begin"/>
          </w:r>
          <w:r>
            <w:rPr>
              <w:color w:val="auto"/>
            </w:rPr>
            <w:instrText xml:space="preserve"> PAGEREF _Toc23387 \h </w:instrText>
          </w:r>
          <w:r>
            <w:rPr>
              <w:color w:val="auto"/>
            </w:rPr>
            <w:fldChar w:fldCharType="separate"/>
          </w:r>
          <w:r>
            <w:rPr>
              <w:color w:val="auto"/>
            </w:rPr>
            <w:t>64</w:t>
          </w:r>
          <w:r>
            <w:rPr>
              <w:color w:val="auto"/>
            </w:rPr>
            <w:fldChar w:fldCharType="end"/>
          </w:r>
          <w:r>
            <w:rPr>
              <w:color w:val="auto"/>
            </w:rPr>
            <w:fldChar w:fldCharType="end"/>
          </w:r>
        </w:p>
        <w:p w14:paraId="7F6784DB">
          <w:pPr>
            <w:pStyle w:val="11"/>
            <w:tabs>
              <w:tab w:val="right" w:leader="dot" w:pos="8844"/>
            </w:tabs>
            <w:rPr>
              <w:color w:val="auto"/>
            </w:rPr>
          </w:pPr>
          <w:r>
            <w:rPr>
              <w:color w:val="auto"/>
            </w:rPr>
            <w:fldChar w:fldCharType="begin"/>
          </w:r>
          <w:r>
            <w:rPr>
              <w:color w:val="auto"/>
            </w:rPr>
            <w:instrText xml:space="preserve"> HYPERLINK \l _Toc16330 </w:instrText>
          </w:r>
          <w:r>
            <w:rPr>
              <w:color w:val="auto"/>
            </w:rPr>
            <w:fldChar w:fldCharType="separate"/>
          </w:r>
          <w:r>
            <w:rPr>
              <w:rFonts w:hint="eastAsia" w:ascii="Times New Roman" w:hAnsi="Times New Roman" w:eastAsia="宋体" w:cs="Times New Roman"/>
              <w:color w:val="auto"/>
              <w:kern w:val="2"/>
              <w:szCs w:val="24"/>
              <w:lang w:val="en-US" w:eastAsia="zh-CN" w:bidi="ar-SA"/>
            </w:rPr>
            <w:t>4.3.5噪声自行监测计划</w:t>
          </w:r>
          <w:r>
            <w:rPr>
              <w:color w:val="auto"/>
            </w:rPr>
            <w:tab/>
          </w:r>
          <w:r>
            <w:rPr>
              <w:color w:val="auto"/>
            </w:rPr>
            <w:fldChar w:fldCharType="begin"/>
          </w:r>
          <w:r>
            <w:rPr>
              <w:color w:val="auto"/>
            </w:rPr>
            <w:instrText xml:space="preserve"> PAGEREF _Toc16330 \h </w:instrText>
          </w:r>
          <w:r>
            <w:rPr>
              <w:color w:val="auto"/>
            </w:rPr>
            <w:fldChar w:fldCharType="separate"/>
          </w:r>
          <w:r>
            <w:rPr>
              <w:color w:val="auto"/>
            </w:rPr>
            <w:t>64</w:t>
          </w:r>
          <w:r>
            <w:rPr>
              <w:color w:val="auto"/>
            </w:rPr>
            <w:fldChar w:fldCharType="end"/>
          </w:r>
          <w:r>
            <w:rPr>
              <w:color w:val="auto"/>
            </w:rPr>
            <w:fldChar w:fldCharType="end"/>
          </w:r>
        </w:p>
        <w:p w14:paraId="507D5E81">
          <w:pPr>
            <w:pStyle w:val="16"/>
            <w:tabs>
              <w:tab w:val="right" w:leader="dot" w:pos="8844"/>
            </w:tabs>
            <w:rPr>
              <w:color w:val="auto"/>
            </w:rPr>
          </w:pPr>
          <w:r>
            <w:rPr>
              <w:color w:val="auto"/>
            </w:rPr>
            <w:fldChar w:fldCharType="begin"/>
          </w:r>
          <w:r>
            <w:rPr>
              <w:color w:val="auto"/>
            </w:rPr>
            <w:instrText xml:space="preserve"> HYPERLINK \l _Toc22966 </w:instrText>
          </w:r>
          <w:r>
            <w:rPr>
              <w:color w:val="auto"/>
            </w:rPr>
            <w:fldChar w:fldCharType="separate"/>
          </w:r>
          <w:r>
            <w:rPr>
              <w:rFonts w:hint="eastAsia" w:ascii="Times New Roman" w:hAnsi="Times New Roman" w:eastAsia="宋体" w:cs="Times New Roman"/>
              <w:color w:val="auto"/>
              <w:kern w:val="2"/>
              <w:szCs w:val="24"/>
              <w:lang w:val="en-US" w:eastAsia="zh-CN" w:bidi="ar-SA"/>
            </w:rPr>
            <w:t>4.4运营期固体废物影响分析和污染防治措施</w:t>
          </w:r>
          <w:r>
            <w:rPr>
              <w:color w:val="auto"/>
            </w:rPr>
            <w:tab/>
          </w:r>
          <w:r>
            <w:rPr>
              <w:color w:val="auto"/>
            </w:rPr>
            <w:fldChar w:fldCharType="begin"/>
          </w:r>
          <w:r>
            <w:rPr>
              <w:color w:val="auto"/>
            </w:rPr>
            <w:instrText xml:space="preserve"> PAGEREF _Toc22966 \h </w:instrText>
          </w:r>
          <w:r>
            <w:rPr>
              <w:color w:val="auto"/>
            </w:rPr>
            <w:fldChar w:fldCharType="separate"/>
          </w:r>
          <w:r>
            <w:rPr>
              <w:color w:val="auto"/>
            </w:rPr>
            <w:t>64</w:t>
          </w:r>
          <w:r>
            <w:rPr>
              <w:color w:val="auto"/>
            </w:rPr>
            <w:fldChar w:fldCharType="end"/>
          </w:r>
          <w:r>
            <w:rPr>
              <w:color w:val="auto"/>
            </w:rPr>
            <w:fldChar w:fldCharType="end"/>
          </w:r>
        </w:p>
        <w:p w14:paraId="08F1C7FF">
          <w:pPr>
            <w:pStyle w:val="11"/>
            <w:tabs>
              <w:tab w:val="right" w:leader="dot" w:pos="8844"/>
            </w:tabs>
            <w:rPr>
              <w:color w:val="auto"/>
            </w:rPr>
          </w:pPr>
          <w:r>
            <w:rPr>
              <w:color w:val="auto"/>
            </w:rPr>
            <w:fldChar w:fldCharType="begin"/>
          </w:r>
          <w:r>
            <w:rPr>
              <w:color w:val="auto"/>
            </w:rPr>
            <w:instrText xml:space="preserve"> HYPERLINK \l _Toc25083 </w:instrText>
          </w:r>
          <w:r>
            <w:rPr>
              <w:color w:val="auto"/>
            </w:rPr>
            <w:fldChar w:fldCharType="separate"/>
          </w:r>
          <w:r>
            <w:rPr>
              <w:rFonts w:hint="eastAsia" w:ascii="Times New Roman" w:hAnsi="Times New Roman" w:eastAsia="宋体" w:cs="Times New Roman"/>
              <w:color w:val="auto"/>
              <w:kern w:val="2"/>
              <w:szCs w:val="24"/>
              <w:lang w:val="en-US" w:eastAsia="zh-CN" w:bidi="ar-SA"/>
            </w:rPr>
            <w:t>4.4.1固体废物产生情况</w:t>
          </w:r>
          <w:r>
            <w:rPr>
              <w:color w:val="auto"/>
            </w:rPr>
            <w:tab/>
          </w:r>
          <w:r>
            <w:rPr>
              <w:color w:val="auto"/>
            </w:rPr>
            <w:fldChar w:fldCharType="begin"/>
          </w:r>
          <w:r>
            <w:rPr>
              <w:color w:val="auto"/>
            </w:rPr>
            <w:instrText xml:space="preserve"> PAGEREF _Toc25083 \h </w:instrText>
          </w:r>
          <w:r>
            <w:rPr>
              <w:color w:val="auto"/>
            </w:rPr>
            <w:fldChar w:fldCharType="separate"/>
          </w:r>
          <w:r>
            <w:rPr>
              <w:color w:val="auto"/>
            </w:rPr>
            <w:t>65</w:t>
          </w:r>
          <w:r>
            <w:rPr>
              <w:color w:val="auto"/>
            </w:rPr>
            <w:fldChar w:fldCharType="end"/>
          </w:r>
          <w:r>
            <w:rPr>
              <w:color w:val="auto"/>
            </w:rPr>
            <w:fldChar w:fldCharType="end"/>
          </w:r>
        </w:p>
        <w:p w14:paraId="564AECC7">
          <w:pPr>
            <w:pStyle w:val="11"/>
            <w:tabs>
              <w:tab w:val="right" w:leader="dot" w:pos="8844"/>
            </w:tabs>
            <w:rPr>
              <w:color w:val="auto"/>
            </w:rPr>
          </w:pPr>
          <w:r>
            <w:rPr>
              <w:color w:val="auto"/>
            </w:rPr>
            <w:fldChar w:fldCharType="begin"/>
          </w:r>
          <w:r>
            <w:rPr>
              <w:color w:val="auto"/>
            </w:rPr>
            <w:instrText xml:space="preserve"> HYPERLINK \l _Toc1022 </w:instrText>
          </w:r>
          <w:r>
            <w:rPr>
              <w:color w:val="auto"/>
            </w:rPr>
            <w:fldChar w:fldCharType="separate"/>
          </w:r>
          <w:r>
            <w:rPr>
              <w:rFonts w:hint="eastAsia" w:ascii="Times New Roman" w:hAnsi="Times New Roman" w:eastAsia="宋体" w:cs="Times New Roman"/>
              <w:color w:val="auto"/>
              <w:kern w:val="2"/>
              <w:szCs w:val="24"/>
              <w:lang w:val="en-US" w:eastAsia="zh-CN" w:bidi="ar-SA"/>
            </w:rPr>
            <w:t>4.4.2固体废物源强核算</w:t>
          </w:r>
          <w:r>
            <w:rPr>
              <w:color w:val="auto"/>
            </w:rPr>
            <w:tab/>
          </w:r>
          <w:r>
            <w:rPr>
              <w:color w:val="auto"/>
            </w:rPr>
            <w:fldChar w:fldCharType="begin"/>
          </w:r>
          <w:r>
            <w:rPr>
              <w:color w:val="auto"/>
            </w:rPr>
            <w:instrText xml:space="preserve"> PAGEREF _Toc1022 \h </w:instrText>
          </w:r>
          <w:r>
            <w:rPr>
              <w:color w:val="auto"/>
            </w:rPr>
            <w:fldChar w:fldCharType="separate"/>
          </w:r>
          <w:r>
            <w:rPr>
              <w:color w:val="auto"/>
            </w:rPr>
            <w:t>65</w:t>
          </w:r>
          <w:r>
            <w:rPr>
              <w:color w:val="auto"/>
            </w:rPr>
            <w:fldChar w:fldCharType="end"/>
          </w:r>
          <w:r>
            <w:rPr>
              <w:color w:val="auto"/>
            </w:rPr>
            <w:fldChar w:fldCharType="end"/>
          </w:r>
        </w:p>
        <w:p w14:paraId="1280BC46">
          <w:pPr>
            <w:pStyle w:val="11"/>
            <w:tabs>
              <w:tab w:val="right" w:leader="dot" w:pos="8844"/>
            </w:tabs>
            <w:rPr>
              <w:color w:val="auto"/>
            </w:rPr>
          </w:pPr>
          <w:r>
            <w:rPr>
              <w:color w:val="auto"/>
            </w:rPr>
            <w:fldChar w:fldCharType="begin"/>
          </w:r>
          <w:r>
            <w:rPr>
              <w:color w:val="auto"/>
            </w:rPr>
            <w:instrText xml:space="preserve"> HYPERLINK \l _Toc30387 </w:instrText>
          </w:r>
          <w:r>
            <w:rPr>
              <w:color w:val="auto"/>
            </w:rPr>
            <w:fldChar w:fldCharType="separate"/>
          </w:r>
          <w:r>
            <w:rPr>
              <w:rFonts w:hint="eastAsia" w:ascii="Times New Roman" w:hAnsi="Times New Roman" w:eastAsia="宋体" w:cs="Times New Roman"/>
              <w:color w:val="auto"/>
              <w:kern w:val="2"/>
              <w:szCs w:val="24"/>
              <w:lang w:val="en-US" w:eastAsia="zh-CN" w:bidi="ar-SA"/>
            </w:rPr>
            <w:t>4.4.3固体废物管理措施及环境影响分析</w:t>
          </w:r>
          <w:r>
            <w:rPr>
              <w:color w:val="auto"/>
            </w:rPr>
            <w:tab/>
          </w:r>
          <w:r>
            <w:rPr>
              <w:color w:val="auto"/>
            </w:rPr>
            <w:fldChar w:fldCharType="begin"/>
          </w:r>
          <w:r>
            <w:rPr>
              <w:color w:val="auto"/>
            </w:rPr>
            <w:instrText xml:space="preserve"> PAGEREF _Toc30387 \h </w:instrText>
          </w:r>
          <w:r>
            <w:rPr>
              <w:color w:val="auto"/>
            </w:rPr>
            <w:fldChar w:fldCharType="separate"/>
          </w:r>
          <w:r>
            <w:rPr>
              <w:color w:val="auto"/>
            </w:rPr>
            <w:t>68</w:t>
          </w:r>
          <w:r>
            <w:rPr>
              <w:color w:val="auto"/>
            </w:rPr>
            <w:fldChar w:fldCharType="end"/>
          </w:r>
          <w:r>
            <w:rPr>
              <w:color w:val="auto"/>
            </w:rPr>
            <w:fldChar w:fldCharType="end"/>
          </w:r>
        </w:p>
        <w:p w14:paraId="091F01B7">
          <w:pPr>
            <w:pStyle w:val="16"/>
            <w:tabs>
              <w:tab w:val="right" w:leader="dot" w:pos="8844"/>
            </w:tabs>
            <w:rPr>
              <w:color w:val="auto"/>
            </w:rPr>
          </w:pPr>
          <w:r>
            <w:rPr>
              <w:color w:val="auto"/>
            </w:rPr>
            <w:fldChar w:fldCharType="begin"/>
          </w:r>
          <w:r>
            <w:rPr>
              <w:color w:val="auto"/>
            </w:rPr>
            <w:instrText xml:space="preserve"> HYPERLINK \l _Toc14536 </w:instrText>
          </w:r>
          <w:r>
            <w:rPr>
              <w:color w:val="auto"/>
            </w:rPr>
            <w:fldChar w:fldCharType="separate"/>
          </w:r>
          <w:r>
            <w:rPr>
              <w:rFonts w:hint="eastAsia" w:ascii="Times New Roman" w:hAnsi="Times New Roman" w:eastAsia="宋体" w:cs="Times New Roman"/>
              <w:color w:val="auto"/>
              <w:kern w:val="2"/>
              <w:szCs w:val="24"/>
              <w:lang w:val="en-US" w:eastAsia="zh-CN" w:bidi="ar-SA"/>
            </w:rPr>
            <w:t>4.5运营期地下水、土壤环境影响和保护措施</w:t>
          </w:r>
          <w:r>
            <w:rPr>
              <w:color w:val="auto"/>
            </w:rPr>
            <w:tab/>
          </w:r>
          <w:r>
            <w:rPr>
              <w:color w:val="auto"/>
            </w:rPr>
            <w:fldChar w:fldCharType="begin"/>
          </w:r>
          <w:r>
            <w:rPr>
              <w:color w:val="auto"/>
            </w:rPr>
            <w:instrText xml:space="preserve"> PAGEREF _Toc14536 \h </w:instrText>
          </w:r>
          <w:r>
            <w:rPr>
              <w:color w:val="auto"/>
            </w:rPr>
            <w:fldChar w:fldCharType="separate"/>
          </w:r>
          <w:r>
            <w:rPr>
              <w:color w:val="auto"/>
            </w:rPr>
            <w:t>72</w:t>
          </w:r>
          <w:r>
            <w:rPr>
              <w:color w:val="auto"/>
            </w:rPr>
            <w:fldChar w:fldCharType="end"/>
          </w:r>
          <w:r>
            <w:rPr>
              <w:color w:val="auto"/>
            </w:rPr>
            <w:fldChar w:fldCharType="end"/>
          </w:r>
        </w:p>
        <w:p w14:paraId="1E611423">
          <w:pPr>
            <w:pStyle w:val="11"/>
            <w:tabs>
              <w:tab w:val="right" w:leader="dot" w:pos="8844"/>
            </w:tabs>
            <w:rPr>
              <w:color w:val="auto"/>
            </w:rPr>
          </w:pPr>
          <w:r>
            <w:rPr>
              <w:color w:val="auto"/>
            </w:rPr>
            <w:fldChar w:fldCharType="begin"/>
          </w:r>
          <w:r>
            <w:rPr>
              <w:color w:val="auto"/>
            </w:rPr>
            <w:instrText xml:space="preserve"> HYPERLINK \l _Toc30362 </w:instrText>
          </w:r>
          <w:r>
            <w:rPr>
              <w:color w:val="auto"/>
            </w:rPr>
            <w:fldChar w:fldCharType="separate"/>
          </w:r>
          <w:r>
            <w:rPr>
              <w:rFonts w:hint="eastAsia" w:ascii="Times New Roman" w:hAnsi="Times New Roman" w:eastAsia="宋体" w:cs="Times New Roman"/>
              <w:color w:val="auto"/>
              <w:kern w:val="2"/>
              <w:szCs w:val="24"/>
              <w:lang w:val="en-US" w:eastAsia="zh-CN" w:bidi="ar-SA"/>
            </w:rPr>
            <w:t>4.5.1</w:t>
          </w:r>
          <w:r>
            <w:rPr>
              <w:rFonts w:ascii="Times New Roman" w:hAnsi="Times New Roman" w:eastAsia="宋体" w:cs="Times New Roman"/>
              <w:color w:val="auto"/>
              <w:kern w:val="2"/>
              <w:szCs w:val="24"/>
              <w:lang w:val="en-US" w:eastAsia="zh-CN" w:bidi="ar-SA"/>
            </w:rPr>
            <w:t>地下水、土壤环境影响分析</w:t>
          </w:r>
          <w:r>
            <w:rPr>
              <w:color w:val="auto"/>
            </w:rPr>
            <w:tab/>
          </w:r>
          <w:r>
            <w:rPr>
              <w:color w:val="auto"/>
            </w:rPr>
            <w:fldChar w:fldCharType="begin"/>
          </w:r>
          <w:r>
            <w:rPr>
              <w:color w:val="auto"/>
            </w:rPr>
            <w:instrText xml:space="preserve"> PAGEREF _Toc30362 \h </w:instrText>
          </w:r>
          <w:r>
            <w:rPr>
              <w:color w:val="auto"/>
            </w:rPr>
            <w:fldChar w:fldCharType="separate"/>
          </w:r>
          <w:r>
            <w:rPr>
              <w:color w:val="auto"/>
            </w:rPr>
            <w:t>72</w:t>
          </w:r>
          <w:r>
            <w:rPr>
              <w:color w:val="auto"/>
            </w:rPr>
            <w:fldChar w:fldCharType="end"/>
          </w:r>
          <w:r>
            <w:rPr>
              <w:color w:val="auto"/>
            </w:rPr>
            <w:fldChar w:fldCharType="end"/>
          </w:r>
        </w:p>
        <w:p w14:paraId="569CBB11">
          <w:pPr>
            <w:pStyle w:val="11"/>
            <w:tabs>
              <w:tab w:val="right" w:leader="dot" w:pos="8844"/>
            </w:tabs>
            <w:rPr>
              <w:color w:val="auto"/>
            </w:rPr>
          </w:pPr>
          <w:r>
            <w:rPr>
              <w:color w:val="auto"/>
            </w:rPr>
            <w:fldChar w:fldCharType="begin"/>
          </w:r>
          <w:r>
            <w:rPr>
              <w:color w:val="auto"/>
            </w:rPr>
            <w:instrText xml:space="preserve"> HYPERLINK \l _Toc30944 </w:instrText>
          </w:r>
          <w:r>
            <w:rPr>
              <w:color w:val="auto"/>
            </w:rPr>
            <w:fldChar w:fldCharType="separate"/>
          </w:r>
          <w:r>
            <w:rPr>
              <w:rFonts w:ascii="Times New Roman" w:hAnsi="Times New Roman" w:eastAsia="宋体" w:cs="Times New Roman"/>
              <w:color w:val="auto"/>
              <w:kern w:val="2"/>
              <w:szCs w:val="24"/>
              <w:lang w:val="en-US" w:eastAsia="zh-CN" w:bidi="ar-SA"/>
            </w:rPr>
            <w:t>4.</w:t>
          </w:r>
          <w:r>
            <w:rPr>
              <w:rFonts w:hint="eastAsia" w:ascii="Times New Roman" w:hAnsi="Times New Roman" w:eastAsia="宋体" w:cs="Times New Roman"/>
              <w:color w:val="auto"/>
              <w:kern w:val="2"/>
              <w:szCs w:val="24"/>
              <w:lang w:val="en-US" w:eastAsia="zh-CN" w:bidi="ar-SA"/>
            </w:rPr>
            <w:t>5</w:t>
          </w:r>
          <w:r>
            <w:rPr>
              <w:rFonts w:ascii="Times New Roman" w:hAnsi="Times New Roman" w:eastAsia="宋体" w:cs="Times New Roman"/>
              <w:color w:val="auto"/>
              <w:kern w:val="2"/>
              <w:szCs w:val="24"/>
              <w:lang w:val="en-US" w:eastAsia="zh-CN" w:bidi="ar-SA"/>
            </w:rPr>
            <w:t>.2地下水、土壤环境防控措施</w:t>
          </w:r>
          <w:r>
            <w:rPr>
              <w:color w:val="auto"/>
            </w:rPr>
            <w:tab/>
          </w:r>
          <w:r>
            <w:rPr>
              <w:color w:val="auto"/>
            </w:rPr>
            <w:fldChar w:fldCharType="begin"/>
          </w:r>
          <w:r>
            <w:rPr>
              <w:color w:val="auto"/>
            </w:rPr>
            <w:instrText xml:space="preserve"> PAGEREF _Toc30944 \h </w:instrText>
          </w:r>
          <w:r>
            <w:rPr>
              <w:color w:val="auto"/>
            </w:rPr>
            <w:fldChar w:fldCharType="separate"/>
          </w:r>
          <w:r>
            <w:rPr>
              <w:color w:val="auto"/>
            </w:rPr>
            <w:t>73</w:t>
          </w:r>
          <w:r>
            <w:rPr>
              <w:color w:val="auto"/>
            </w:rPr>
            <w:fldChar w:fldCharType="end"/>
          </w:r>
          <w:r>
            <w:rPr>
              <w:color w:val="auto"/>
            </w:rPr>
            <w:fldChar w:fldCharType="end"/>
          </w:r>
        </w:p>
        <w:p w14:paraId="37E0B2FF">
          <w:pPr>
            <w:pStyle w:val="11"/>
            <w:tabs>
              <w:tab w:val="right" w:leader="dot" w:pos="8844"/>
            </w:tabs>
            <w:rPr>
              <w:color w:val="auto"/>
            </w:rPr>
          </w:pPr>
          <w:r>
            <w:rPr>
              <w:color w:val="auto"/>
            </w:rPr>
            <w:fldChar w:fldCharType="begin"/>
          </w:r>
          <w:r>
            <w:rPr>
              <w:color w:val="auto"/>
            </w:rPr>
            <w:instrText xml:space="preserve"> HYPERLINK \l _Toc9995 </w:instrText>
          </w:r>
          <w:r>
            <w:rPr>
              <w:color w:val="auto"/>
            </w:rPr>
            <w:fldChar w:fldCharType="separate"/>
          </w:r>
          <w:r>
            <w:rPr>
              <w:rFonts w:ascii="Times New Roman" w:hAnsi="Times New Roman"/>
              <w:color w:val="auto"/>
              <w:lang w:val="en-US" w:eastAsia="zh-CN"/>
            </w:rPr>
            <w:t>4.</w:t>
          </w:r>
          <w:r>
            <w:rPr>
              <w:rFonts w:hint="eastAsia" w:ascii="Times New Roman" w:hAnsi="Times New Roman"/>
              <w:color w:val="auto"/>
              <w:lang w:val="en-US" w:eastAsia="zh-CN"/>
            </w:rPr>
            <w:t>5</w:t>
          </w:r>
          <w:r>
            <w:rPr>
              <w:rFonts w:ascii="Times New Roman" w:hAnsi="Times New Roman"/>
              <w:color w:val="auto"/>
              <w:lang w:val="en-US" w:eastAsia="zh-CN"/>
            </w:rPr>
            <w:t>.3跟踪监测要求</w:t>
          </w:r>
          <w:r>
            <w:rPr>
              <w:color w:val="auto"/>
            </w:rPr>
            <w:tab/>
          </w:r>
          <w:r>
            <w:rPr>
              <w:color w:val="auto"/>
            </w:rPr>
            <w:fldChar w:fldCharType="begin"/>
          </w:r>
          <w:r>
            <w:rPr>
              <w:color w:val="auto"/>
            </w:rPr>
            <w:instrText xml:space="preserve"> PAGEREF _Toc9995 \h </w:instrText>
          </w:r>
          <w:r>
            <w:rPr>
              <w:color w:val="auto"/>
            </w:rPr>
            <w:fldChar w:fldCharType="separate"/>
          </w:r>
          <w:r>
            <w:rPr>
              <w:color w:val="auto"/>
            </w:rPr>
            <w:t>74</w:t>
          </w:r>
          <w:r>
            <w:rPr>
              <w:color w:val="auto"/>
            </w:rPr>
            <w:fldChar w:fldCharType="end"/>
          </w:r>
          <w:r>
            <w:rPr>
              <w:color w:val="auto"/>
            </w:rPr>
            <w:fldChar w:fldCharType="end"/>
          </w:r>
        </w:p>
        <w:p w14:paraId="662EB351">
          <w:pPr>
            <w:pStyle w:val="16"/>
            <w:tabs>
              <w:tab w:val="right" w:leader="dot" w:pos="8844"/>
            </w:tabs>
            <w:rPr>
              <w:color w:val="auto"/>
            </w:rPr>
          </w:pPr>
          <w:r>
            <w:rPr>
              <w:color w:val="auto"/>
            </w:rPr>
            <w:fldChar w:fldCharType="begin"/>
          </w:r>
          <w:r>
            <w:rPr>
              <w:color w:val="auto"/>
            </w:rPr>
            <w:instrText xml:space="preserve"> HYPERLINK \l _Toc1289 </w:instrText>
          </w:r>
          <w:r>
            <w:rPr>
              <w:color w:val="auto"/>
            </w:rPr>
            <w:fldChar w:fldCharType="separate"/>
          </w:r>
          <w:r>
            <w:rPr>
              <w:rFonts w:hint="eastAsia" w:ascii="Times New Roman" w:hAnsi="Times New Roman" w:eastAsia="宋体" w:cs="Times New Roman"/>
              <w:color w:val="auto"/>
              <w:kern w:val="2"/>
              <w:szCs w:val="24"/>
              <w:lang w:val="en-US" w:eastAsia="zh-CN" w:bidi="ar-SA"/>
            </w:rPr>
            <w:t>4.6运营期环境风险影响和保护措施</w:t>
          </w:r>
          <w:r>
            <w:rPr>
              <w:color w:val="auto"/>
            </w:rPr>
            <w:tab/>
          </w:r>
          <w:r>
            <w:rPr>
              <w:color w:val="auto"/>
            </w:rPr>
            <w:fldChar w:fldCharType="begin"/>
          </w:r>
          <w:r>
            <w:rPr>
              <w:color w:val="auto"/>
            </w:rPr>
            <w:instrText xml:space="preserve"> PAGEREF _Toc1289 \h </w:instrText>
          </w:r>
          <w:r>
            <w:rPr>
              <w:color w:val="auto"/>
            </w:rPr>
            <w:fldChar w:fldCharType="separate"/>
          </w:r>
          <w:r>
            <w:rPr>
              <w:color w:val="auto"/>
            </w:rPr>
            <w:t>74</w:t>
          </w:r>
          <w:r>
            <w:rPr>
              <w:color w:val="auto"/>
            </w:rPr>
            <w:fldChar w:fldCharType="end"/>
          </w:r>
          <w:r>
            <w:rPr>
              <w:color w:val="auto"/>
            </w:rPr>
            <w:fldChar w:fldCharType="end"/>
          </w:r>
        </w:p>
        <w:p w14:paraId="4EEBFF30">
          <w:pPr>
            <w:pStyle w:val="11"/>
            <w:tabs>
              <w:tab w:val="right" w:leader="dot" w:pos="8844"/>
            </w:tabs>
            <w:rPr>
              <w:color w:val="auto"/>
            </w:rPr>
          </w:pPr>
          <w:r>
            <w:rPr>
              <w:color w:val="auto"/>
            </w:rPr>
            <w:fldChar w:fldCharType="begin"/>
          </w:r>
          <w:r>
            <w:rPr>
              <w:color w:val="auto"/>
            </w:rPr>
            <w:instrText xml:space="preserve"> HYPERLINK \l _Toc23362 </w:instrText>
          </w:r>
          <w:r>
            <w:rPr>
              <w:color w:val="auto"/>
            </w:rPr>
            <w:fldChar w:fldCharType="separate"/>
          </w:r>
          <w:r>
            <w:rPr>
              <w:rFonts w:hint="eastAsia" w:ascii="Times New Roman" w:hAnsi="Times New Roman" w:eastAsia="宋体" w:cs="Times New Roman"/>
              <w:color w:val="auto"/>
              <w:kern w:val="2"/>
              <w:szCs w:val="24"/>
              <w:lang w:val="en-US" w:eastAsia="zh-CN" w:bidi="ar-SA"/>
            </w:rPr>
            <w:t>4.6.1风险调查</w:t>
          </w:r>
          <w:r>
            <w:rPr>
              <w:color w:val="auto"/>
            </w:rPr>
            <w:tab/>
          </w:r>
          <w:r>
            <w:rPr>
              <w:color w:val="auto"/>
            </w:rPr>
            <w:fldChar w:fldCharType="begin"/>
          </w:r>
          <w:r>
            <w:rPr>
              <w:color w:val="auto"/>
            </w:rPr>
            <w:instrText xml:space="preserve"> PAGEREF _Toc23362 \h </w:instrText>
          </w:r>
          <w:r>
            <w:rPr>
              <w:color w:val="auto"/>
            </w:rPr>
            <w:fldChar w:fldCharType="separate"/>
          </w:r>
          <w:r>
            <w:rPr>
              <w:color w:val="auto"/>
            </w:rPr>
            <w:t>74</w:t>
          </w:r>
          <w:r>
            <w:rPr>
              <w:color w:val="auto"/>
            </w:rPr>
            <w:fldChar w:fldCharType="end"/>
          </w:r>
          <w:r>
            <w:rPr>
              <w:color w:val="auto"/>
            </w:rPr>
            <w:fldChar w:fldCharType="end"/>
          </w:r>
        </w:p>
        <w:p w14:paraId="09B56B3E">
          <w:pPr>
            <w:pStyle w:val="11"/>
            <w:tabs>
              <w:tab w:val="right" w:leader="dot" w:pos="8844"/>
            </w:tabs>
            <w:rPr>
              <w:color w:val="auto"/>
            </w:rPr>
          </w:pPr>
          <w:r>
            <w:rPr>
              <w:color w:val="auto"/>
            </w:rPr>
            <w:fldChar w:fldCharType="begin"/>
          </w:r>
          <w:r>
            <w:rPr>
              <w:color w:val="auto"/>
            </w:rPr>
            <w:instrText xml:space="preserve"> HYPERLINK \l _Toc19178 </w:instrText>
          </w:r>
          <w:r>
            <w:rPr>
              <w:color w:val="auto"/>
            </w:rPr>
            <w:fldChar w:fldCharType="separate"/>
          </w:r>
          <w:r>
            <w:rPr>
              <w:rFonts w:hint="eastAsia" w:ascii="Times New Roman" w:hAnsi="Times New Roman" w:eastAsia="宋体" w:cs="Times New Roman"/>
              <w:color w:val="auto"/>
              <w:kern w:val="2"/>
              <w:szCs w:val="24"/>
              <w:lang w:val="en-US" w:eastAsia="zh-CN" w:bidi="ar-SA"/>
            </w:rPr>
            <w:t>4.6.2环境风险潜势初判</w:t>
          </w:r>
          <w:r>
            <w:rPr>
              <w:color w:val="auto"/>
            </w:rPr>
            <w:tab/>
          </w:r>
          <w:r>
            <w:rPr>
              <w:color w:val="auto"/>
            </w:rPr>
            <w:fldChar w:fldCharType="begin"/>
          </w:r>
          <w:r>
            <w:rPr>
              <w:color w:val="auto"/>
            </w:rPr>
            <w:instrText xml:space="preserve"> PAGEREF _Toc19178 \h </w:instrText>
          </w:r>
          <w:r>
            <w:rPr>
              <w:color w:val="auto"/>
            </w:rPr>
            <w:fldChar w:fldCharType="separate"/>
          </w:r>
          <w:r>
            <w:rPr>
              <w:color w:val="auto"/>
            </w:rPr>
            <w:t>75</w:t>
          </w:r>
          <w:r>
            <w:rPr>
              <w:color w:val="auto"/>
            </w:rPr>
            <w:fldChar w:fldCharType="end"/>
          </w:r>
          <w:r>
            <w:rPr>
              <w:color w:val="auto"/>
            </w:rPr>
            <w:fldChar w:fldCharType="end"/>
          </w:r>
        </w:p>
        <w:p w14:paraId="4FC352A5">
          <w:pPr>
            <w:pStyle w:val="11"/>
            <w:tabs>
              <w:tab w:val="right" w:leader="dot" w:pos="8844"/>
            </w:tabs>
            <w:rPr>
              <w:color w:val="auto"/>
            </w:rPr>
          </w:pPr>
          <w:r>
            <w:rPr>
              <w:color w:val="auto"/>
            </w:rPr>
            <w:fldChar w:fldCharType="begin"/>
          </w:r>
          <w:r>
            <w:rPr>
              <w:color w:val="auto"/>
            </w:rPr>
            <w:instrText xml:space="preserve"> HYPERLINK \l _Toc7207 </w:instrText>
          </w:r>
          <w:r>
            <w:rPr>
              <w:color w:val="auto"/>
            </w:rPr>
            <w:fldChar w:fldCharType="separate"/>
          </w:r>
          <w:r>
            <w:rPr>
              <w:rFonts w:hint="eastAsia" w:ascii="Times New Roman" w:hAnsi="Times New Roman" w:eastAsia="宋体" w:cs="Times New Roman"/>
              <w:color w:val="auto"/>
              <w:kern w:val="2"/>
              <w:szCs w:val="24"/>
              <w:lang w:val="en-US" w:eastAsia="zh-CN" w:bidi="ar-SA"/>
            </w:rPr>
            <w:t>4.6.3环境风险识别</w:t>
          </w:r>
          <w:r>
            <w:rPr>
              <w:color w:val="auto"/>
            </w:rPr>
            <w:tab/>
          </w:r>
          <w:r>
            <w:rPr>
              <w:color w:val="auto"/>
            </w:rPr>
            <w:fldChar w:fldCharType="begin"/>
          </w:r>
          <w:r>
            <w:rPr>
              <w:color w:val="auto"/>
            </w:rPr>
            <w:instrText xml:space="preserve"> PAGEREF _Toc7207 \h </w:instrText>
          </w:r>
          <w:r>
            <w:rPr>
              <w:color w:val="auto"/>
            </w:rPr>
            <w:fldChar w:fldCharType="separate"/>
          </w:r>
          <w:r>
            <w:rPr>
              <w:color w:val="auto"/>
            </w:rPr>
            <w:t>76</w:t>
          </w:r>
          <w:r>
            <w:rPr>
              <w:color w:val="auto"/>
            </w:rPr>
            <w:fldChar w:fldCharType="end"/>
          </w:r>
          <w:r>
            <w:rPr>
              <w:color w:val="auto"/>
            </w:rPr>
            <w:fldChar w:fldCharType="end"/>
          </w:r>
        </w:p>
        <w:p w14:paraId="69A3D2EE">
          <w:pPr>
            <w:pStyle w:val="11"/>
            <w:tabs>
              <w:tab w:val="right" w:leader="dot" w:pos="8844"/>
            </w:tabs>
            <w:rPr>
              <w:color w:val="auto"/>
            </w:rPr>
          </w:pPr>
          <w:r>
            <w:rPr>
              <w:color w:val="auto"/>
            </w:rPr>
            <w:fldChar w:fldCharType="begin"/>
          </w:r>
          <w:r>
            <w:rPr>
              <w:color w:val="auto"/>
            </w:rPr>
            <w:instrText xml:space="preserve"> HYPERLINK \l _Toc8771 </w:instrText>
          </w:r>
          <w:r>
            <w:rPr>
              <w:color w:val="auto"/>
            </w:rPr>
            <w:fldChar w:fldCharType="separate"/>
          </w:r>
          <w:r>
            <w:rPr>
              <w:rFonts w:hint="eastAsia" w:ascii="Times New Roman" w:hAnsi="Times New Roman" w:eastAsia="宋体" w:cs="Times New Roman"/>
              <w:color w:val="auto"/>
              <w:kern w:val="2"/>
              <w:szCs w:val="24"/>
              <w:lang w:val="en-US" w:eastAsia="zh-CN" w:bidi="ar-SA"/>
            </w:rPr>
            <w:t>4.6.4环境风险分析</w:t>
          </w:r>
          <w:r>
            <w:rPr>
              <w:color w:val="auto"/>
            </w:rPr>
            <w:tab/>
          </w:r>
          <w:r>
            <w:rPr>
              <w:color w:val="auto"/>
            </w:rPr>
            <w:fldChar w:fldCharType="begin"/>
          </w:r>
          <w:r>
            <w:rPr>
              <w:color w:val="auto"/>
            </w:rPr>
            <w:instrText xml:space="preserve"> PAGEREF _Toc8771 \h </w:instrText>
          </w:r>
          <w:r>
            <w:rPr>
              <w:color w:val="auto"/>
            </w:rPr>
            <w:fldChar w:fldCharType="separate"/>
          </w:r>
          <w:r>
            <w:rPr>
              <w:color w:val="auto"/>
            </w:rPr>
            <w:t>76</w:t>
          </w:r>
          <w:r>
            <w:rPr>
              <w:color w:val="auto"/>
            </w:rPr>
            <w:fldChar w:fldCharType="end"/>
          </w:r>
          <w:r>
            <w:rPr>
              <w:color w:val="auto"/>
            </w:rPr>
            <w:fldChar w:fldCharType="end"/>
          </w:r>
        </w:p>
        <w:p w14:paraId="777B660B">
          <w:pPr>
            <w:pStyle w:val="11"/>
            <w:tabs>
              <w:tab w:val="right" w:leader="dot" w:pos="8844"/>
            </w:tabs>
            <w:rPr>
              <w:color w:val="auto"/>
            </w:rPr>
          </w:pPr>
          <w:r>
            <w:rPr>
              <w:color w:val="auto"/>
            </w:rPr>
            <w:fldChar w:fldCharType="begin"/>
          </w:r>
          <w:r>
            <w:rPr>
              <w:color w:val="auto"/>
            </w:rPr>
            <w:instrText xml:space="preserve"> HYPERLINK \l _Toc21284 </w:instrText>
          </w:r>
          <w:r>
            <w:rPr>
              <w:color w:val="auto"/>
            </w:rPr>
            <w:fldChar w:fldCharType="separate"/>
          </w:r>
          <w:r>
            <w:rPr>
              <w:rFonts w:hint="default" w:ascii="Times New Roman" w:hAnsi="Times New Roman" w:eastAsia="宋体" w:cs="Times New Roman"/>
              <w:color w:val="auto"/>
              <w:kern w:val="2"/>
              <w:szCs w:val="24"/>
              <w:lang w:val="en-US" w:eastAsia="zh-CN" w:bidi="ar-SA"/>
            </w:rPr>
            <w:t>4.6.</w:t>
          </w:r>
          <w:r>
            <w:rPr>
              <w:rFonts w:hint="eastAsia" w:ascii="Times New Roman" w:hAnsi="Times New Roman" w:eastAsia="宋体" w:cs="Times New Roman"/>
              <w:color w:val="auto"/>
              <w:kern w:val="2"/>
              <w:szCs w:val="24"/>
              <w:lang w:val="en-US" w:eastAsia="zh-CN" w:bidi="ar-SA"/>
            </w:rPr>
            <w:t>5</w:t>
          </w:r>
          <w:r>
            <w:rPr>
              <w:rFonts w:hint="default" w:ascii="Times New Roman" w:hAnsi="Times New Roman" w:eastAsia="宋体" w:cs="Times New Roman"/>
              <w:color w:val="auto"/>
              <w:kern w:val="2"/>
              <w:szCs w:val="24"/>
              <w:lang w:val="en-US" w:eastAsia="zh-CN" w:bidi="ar-SA"/>
            </w:rPr>
            <w:t>环境风险防范措施和事故应急措施</w:t>
          </w:r>
          <w:r>
            <w:rPr>
              <w:color w:val="auto"/>
            </w:rPr>
            <w:tab/>
          </w:r>
          <w:r>
            <w:rPr>
              <w:color w:val="auto"/>
            </w:rPr>
            <w:fldChar w:fldCharType="begin"/>
          </w:r>
          <w:r>
            <w:rPr>
              <w:color w:val="auto"/>
            </w:rPr>
            <w:instrText xml:space="preserve"> PAGEREF _Toc21284 \h </w:instrText>
          </w:r>
          <w:r>
            <w:rPr>
              <w:color w:val="auto"/>
            </w:rPr>
            <w:fldChar w:fldCharType="separate"/>
          </w:r>
          <w:r>
            <w:rPr>
              <w:color w:val="auto"/>
            </w:rPr>
            <w:t>77</w:t>
          </w:r>
          <w:r>
            <w:rPr>
              <w:color w:val="auto"/>
            </w:rPr>
            <w:fldChar w:fldCharType="end"/>
          </w:r>
          <w:r>
            <w:rPr>
              <w:color w:val="auto"/>
            </w:rPr>
            <w:fldChar w:fldCharType="end"/>
          </w:r>
        </w:p>
        <w:p w14:paraId="4C90FB17">
          <w:pPr>
            <w:pStyle w:val="16"/>
            <w:tabs>
              <w:tab w:val="right" w:leader="dot" w:pos="8844"/>
            </w:tabs>
            <w:rPr>
              <w:color w:val="auto"/>
            </w:rPr>
          </w:pPr>
          <w:r>
            <w:rPr>
              <w:color w:val="auto"/>
            </w:rPr>
            <w:fldChar w:fldCharType="begin"/>
          </w:r>
          <w:r>
            <w:rPr>
              <w:color w:val="auto"/>
            </w:rPr>
            <w:instrText xml:space="preserve"> HYPERLINK \l _Toc9433 </w:instrText>
          </w:r>
          <w:r>
            <w:rPr>
              <w:color w:val="auto"/>
            </w:rPr>
            <w:fldChar w:fldCharType="separate"/>
          </w:r>
          <w:r>
            <w:rPr>
              <w:rFonts w:hint="eastAsia" w:ascii="Times New Roman" w:hAnsi="Times New Roman" w:eastAsia="宋体" w:cs="Times New Roman"/>
              <w:color w:val="auto"/>
              <w:kern w:val="2"/>
              <w:szCs w:val="24"/>
              <w:lang w:val="en-US" w:eastAsia="zh-CN" w:bidi="ar-SA"/>
            </w:rPr>
            <w:t>4.</w:t>
          </w:r>
          <w:r>
            <w:rPr>
              <w:rFonts w:hint="eastAsia" w:cs="Times New Roman"/>
              <w:color w:val="auto"/>
              <w:kern w:val="2"/>
              <w:szCs w:val="24"/>
              <w:lang w:val="en-US" w:eastAsia="zh-CN" w:bidi="ar-SA"/>
            </w:rPr>
            <w:t>7</w:t>
          </w:r>
          <w:r>
            <w:rPr>
              <w:rFonts w:hint="eastAsia" w:ascii="Times New Roman" w:hAnsi="Times New Roman" w:eastAsia="宋体" w:cs="Times New Roman"/>
              <w:color w:val="auto"/>
              <w:kern w:val="2"/>
              <w:szCs w:val="24"/>
              <w:lang w:val="en-US" w:eastAsia="zh-CN" w:bidi="ar-SA"/>
            </w:rPr>
            <w:t>环保投资估算</w:t>
          </w:r>
          <w:r>
            <w:rPr>
              <w:color w:val="auto"/>
            </w:rPr>
            <w:tab/>
          </w:r>
          <w:r>
            <w:rPr>
              <w:color w:val="auto"/>
            </w:rPr>
            <w:fldChar w:fldCharType="begin"/>
          </w:r>
          <w:r>
            <w:rPr>
              <w:color w:val="auto"/>
            </w:rPr>
            <w:instrText xml:space="preserve"> PAGEREF _Toc9433 \h </w:instrText>
          </w:r>
          <w:r>
            <w:rPr>
              <w:color w:val="auto"/>
            </w:rPr>
            <w:fldChar w:fldCharType="separate"/>
          </w:r>
          <w:r>
            <w:rPr>
              <w:color w:val="auto"/>
            </w:rPr>
            <w:t>78</w:t>
          </w:r>
          <w:r>
            <w:rPr>
              <w:color w:val="auto"/>
            </w:rPr>
            <w:fldChar w:fldCharType="end"/>
          </w:r>
          <w:r>
            <w:rPr>
              <w:color w:val="auto"/>
            </w:rPr>
            <w:fldChar w:fldCharType="end"/>
          </w:r>
        </w:p>
        <w:p w14:paraId="409194D0">
          <w:pPr>
            <w:pStyle w:val="16"/>
            <w:tabs>
              <w:tab w:val="right" w:leader="dot" w:pos="8844"/>
            </w:tabs>
            <w:rPr>
              <w:color w:val="auto"/>
            </w:rPr>
          </w:pPr>
          <w:r>
            <w:rPr>
              <w:color w:val="auto"/>
            </w:rPr>
            <w:fldChar w:fldCharType="begin"/>
          </w:r>
          <w:r>
            <w:rPr>
              <w:color w:val="auto"/>
            </w:rPr>
            <w:instrText xml:space="preserve"> HYPERLINK \l _Toc14561 </w:instrText>
          </w:r>
          <w:r>
            <w:rPr>
              <w:color w:val="auto"/>
            </w:rPr>
            <w:fldChar w:fldCharType="separate"/>
          </w:r>
          <w:r>
            <w:rPr>
              <w:rFonts w:hint="eastAsia" w:ascii="Times New Roman" w:hAnsi="Times New Roman" w:eastAsia="宋体" w:cs="Times New Roman"/>
              <w:color w:val="auto"/>
              <w:kern w:val="2"/>
              <w:szCs w:val="28"/>
              <w:lang w:val="en-US" w:eastAsia="zh-CN" w:bidi="ar-SA"/>
            </w:rPr>
            <w:t>5.1环境管理</w:t>
          </w:r>
          <w:r>
            <w:rPr>
              <w:color w:val="auto"/>
            </w:rPr>
            <w:tab/>
          </w:r>
          <w:r>
            <w:rPr>
              <w:color w:val="auto"/>
            </w:rPr>
            <w:fldChar w:fldCharType="begin"/>
          </w:r>
          <w:r>
            <w:rPr>
              <w:color w:val="auto"/>
            </w:rPr>
            <w:instrText xml:space="preserve"> PAGEREF _Toc14561 \h </w:instrText>
          </w:r>
          <w:r>
            <w:rPr>
              <w:color w:val="auto"/>
            </w:rPr>
            <w:fldChar w:fldCharType="separate"/>
          </w:r>
          <w:r>
            <w:rPr>
              <w:color w:val="auto"/>
            </w:rPr>
            <w:t>82</w:t>
          </w:r>
          <w:r>
            <w:rPr>
              <w:color w:val="auto"/>
            </w:rPr>
            <w:fldChar w:fldCharType="end"/>
          </w:r>
          <w:r>
            <w:rPr>
              <w:color w:val="auto"/>
            </w:rPr>
            <w:fldChar w:fldCharType="end"/>
          </w:r>
        </w:p>
        <w:p w14:paraId="1F8CF55E">
          <w:pPr>
            <w:pStyle w:val="11"/>
            <w:tabs>
              <w:tab w:val="right" w:leader="dot" w:pos="8844"/>
            </w:tabs>
            <w:rPr>
              <w:color w:val="auto"/>
            </w:rPr>
          </w:pPr>
          <w:r>
            <w:rPr>
              <w:color w:val="auto"/>
            </w:rPr>
            <w:fldChar w:fldCharType="begin"/>
          </w:r>
          <w:r>
            <w:rPr>
              <w:color w:val="auto"/>
            </w:rPr>
            <w:instrText xml:space="preserve"> HYPERLINK \l _Toc32448 </w:instrText>
          </w:r>
          <w:r>
            <w:rPr>
              <w:color w:val="auto"/>
            </w:rPr>
            <w:fldChar w:fldCharType="separate"/>
          </w:r>
          <w:r>
            <w:rPr>
              <w:rFonts w:hint="eastAsia" w:ascii="Times New Roman" w:hAnsi="Times New Roman"/>
              <w:color w:val="auto"/>
              <w:lang w:val="en-US" w:eastAsia="zh-CN"/>
            </w:rPr>
            <w:t>5.1.1环境管理制度</w:t>
          </w:r>
          <w:r>
            <w:rPr>
              <w:color w:val="auto"/>
            </w:rPr>
            <w:tab/>
          </w:r>
          <w:r>
            <w:rPr>
              <w:color w:val="auto"/>
            </w:rPr>
            <w:fldChar w:fldCharType="begin"/>
          </w:r>
          <w:r>
            <w:rPr>
              <w:color w:val="auto"/>
            </w:rPr>
            <w:instrText xml:space="preserve"> PAGEREF _Toc32448 \h </w:instrText>
          </w:r>
          <w:r>
            <w:rPr>
              <w:color w:val="auto"/>
            </w:rPr>
            <w:fldChar w:fldCharType="separate"/>
          </w:r>
          <w:r>
            <w:rPr>
              <w:color w:val="auto"/>
            </w:rPr>
            <w:t>82</w:t>
          </w:r>
          <w:r>
            <w:rPr>
              <w:color w:val="auto"/>
            </w:rPr>
            <w:fldChar w:fldCharType="end"/>
          </w:r>
          <w:r>
            <w:rPr>
              <w:color w:val="auto"/>
            </w:rPr>
            <w:fldChar w:fldCharType="end"/>
          </w:r>
        </w:p>
        <w:p w14:paraId="029C04D0">
          <w:pPr>
            <w:pStyle w:val="11"/>
            <w:tabs>
              <w:tab w:val="right" w:leader="dot" w:pos="8844"/>
            </w:tabs>
            <w:rPr>
              <w:color w:val="auto"/>
            </w:rPr>
          </w:pPr>
          <w:r>
            <w:rPr>
              <w:color w:val="auto"/>
            </w:rPr>
            <w:fldChar w:fldCharType="begin"/>
          </w:r>
          <w:r>
            <w:rPr>
              <w:color w:val="auto"/>
            </w:rPr>
            <w:instrText xml:space="preserve"> HYPERLINK \l _Toc3825 </w:instrText>
          </w:r>
          <w:r>
            <w:rPr>
              <w:color w:val="auto"/>
            </w:rPr>
            <w:fldChar w:fldCharType="separate"/>
          </w:r>
          <w:r>
            <w:rPr>
              <w:rFonts w:hint="eastAsia" w:ascii="Times New Roman" w:hAnsi="Times New Roman"/>
              <w:color w:val="auto"/>
              <w:lang w:val="en-US" w:eastAsia="zh-CN"/>
            </w:rPr>
            <w:t>5.1.2排污口规范化管理</w:t>
          </w:r>
          <w:r>
            <w:rPr>
              <w:color w:val="auto"/>
            </w:rPr>
            <w:tab/>
          </w:r>
          <w:r>
            <w:rPr>
              <w:color w:val="auto"/>
            </w:rPr>
            <w:fldChar w:fldCharType="begin"/>
          </w:r>
          <w:r>
            <w:rPr>
              <w:color w:val="auto"/>
            </w:rPr>
            <w:instrText xml:space="preserve"> PAGEREF _Toc3825 \h </w:instrText>
          </w:r>
          <w:r>
            <w:rPr>
              <w:color w:val="auto"/>
            </w:rPr>
            <w:fldChar w:fldCharType="separate"/>
          </w:r>
          <w:r>
            <w:rPr>
              <w:color w:val="auto"/>
            </w:rPr>
            <w:t>83</w:t>
          </w:r>
          <w:r>
            <w:rPr>
              <w:color w:val="auto"/>
            </w:rPr>
            <w:fldChar w:fldCharType="end"/>
          </w:r>
          <w:r>
            <w:rPr>
              <w:color w:val="auto"/>
            </w:rPr>
            <w:fldChar w:fldCharType="end"/>
          </w:r>
        </w:p>
        <w:p w14:paraId="7337BD44">
          <w:pPr>
            <w:pStyle w:val="14"/>
            <w:tabs>
              <w:tab w:val="right" w:leader="dot" w:pos="8844"/>
            </w:tabs>
            <w:rPr>
              <w:color w:val="auto"/>
            </w:rPr>
          </w:pPr>
          <w:r>
            <w:rPr>
              <w:color w:val="auto"/>
            </w:rPr>
            <w:fldChar w:fldCharType="begin"/>
          </w:r>
          <w:r>
            <w:rPr>
              <w:color w:val="auto"/>
            </w:rPr>
            <w:instrText xml:space="preserve"> HYPERLINK \l _Toc16869 </w:instrText>
          </w:r>
          <w:r>
            <w:rPr>
              <w:color w:val="auto"/>
            </w:rPr>
            <w:fldChar w:fldCharType="separate"/>
          </w:r>
          <w:r>
            <w:rPr>
              <w:rFonts w:hint="eastAsia" w:ascii="Times New Roman" w:hAnsi="Times New Roman"/>
              <w:color w:val="auto"/>
              <w:lang w:val="en-US" w:eastAsia="zh-CN"/>
            </w:rPr>
            <w:t>附图一：项目地理位置图</w:t>
          </w:r>
          <w:r>
            <w:rPr>
              <w:color w:val="auto"/>
            </w:rPr>
            <w:tab/>
          </w:r>
          <w:r>
            <w:rPr>
              <w:color w:val="auto"/>
            </w:rPr>
            <w:fldChar w:fldCharType="begin"/>
          </w:r>
          <w:r>
            <w:rPr>
              <w:color w:val="auto"/>
            </w:rPr>
            <w:instrText xml:space="preserve"> PAGEREF _Toc16869 \h </w:instrText>
          </w:r>
          <w:r>
            <w:rPr>
              <w:color w:val="auto"/>
            </w:rPr>
            <w:fldChar w:fldCharType="separate"/>
          </w:r>
          <w:r>
            <w:rPr>
              <w:color w:val="auto"/>
            </w:rPr>
            <w:t>88</w:t>
          </w:r>
          <w:r>
            <w:rPr>
              <w:color w:val="auto"/>
            </w:rPr>
            <w:fldChar w:fldCharType="end"/>
          </w:r>
          <w:r>
            <w:rPr>
              <w:color w:val="auto"/>
            </w:rPr>
            <w:fldChar w:fldCharType="end"/>
          </w:r>
        </w:p>
        <w:p w14:paraId="587510D6">
          <w:pPr>
            <w:pStyle w:val="14"/>
            <w:tabs>
              <w:tab w:val="right" w:leader="dot" w:pos="8844"/>
            </w:tabs>
            <w:rPr>
              <w:color w:val="auto"/>
            </w:rPr>
          </w:pPr>
          <w:r>
            <w:rPr>
              <w:color w:val="auto"/>
            </w:rPr>
            <w:fldChar w:fldCharType="begin"/>
          </w:r>
          <w:r>
            <w:rPr>
              <w:color w:val="auto"/>
            </w:rPr>
            <w:instrText xml:space="preserve"> HYPERLINK \l _Toc9123 </w:instrText>
          </w:r>
          <w:r>
            <w:rPr>
              <w:color w:val="auto"/>
            </w:rPr>
            <w:fldChar w:fldCharType="separate"/>
          </w:r>
          <w:r>
            <w:rPr>
              <w:rFonts w:hint="eastAsia" w:ascii="Times New Roman" w:hAnsi="Times New Roman"/>
              <w:color w:val="auto"/>
              <w:lang w:val="en-US" w:eastAsia="zh-CN"/>
            </w:rPr>
            <w:t>附图二：项目周边环境示意图</w:t>
          </w:r>
          <w:r>
            <w:rPr>
              <w:color w:val="auto"/>
            </w:rPr>
            <w:tab/>
          </w:r>
          <w:r>
            <w:rPr>
              <w:color w:val="auto"/>
            </w:rPr>
            <w:fldChar w:fldCharType="begin"/>
          </w:r>
          <w:r>
            <w:rPr>
              <w:color w:val="auto"/>
            </w:rPr>
            <w:instrText xml:space="preserve"> PAGEREF _Toc9123 \h </w:instrText>
          </w:r>
          <w:r>
            <w:rPr>
              <w:color w:val="auto"/>
            </w:rPr>
            <w:fldChar w:fldCharType="separate"/>
          </w:r>
          <w:r>
            <w:rPr>
              <w:color w:val="auto"/>
            </w:rPr>
            <w:t>89</w:t>
          </w:r>
          <w:r>
            <w:rPr>
              <w:color w:val="auto"/>
            </w:rPr>
            <w:fldChar w:fldCharType="end"/>
          </w:r>
          <w:r>
            <w:rPr>
              <w:color w:val="auto"/>
            </w:rPr>
            <w:fldChar w:fldCharType="end"/>
          </w:r>
        </w:p>
        <w:p w14:paraId="502FA3D7">
          <w:pPr>
            <w:pStyle w:val="14"/>
            <w:tabs>
              <w:tab w:val="right" w:leader="dot" w:pos="8844"/>
            </w:tabs>
            <w:rPr>
              <w:color w:val="auto"/>
            </w:rPr>
          </w:pPr>
          <w:r>
            <w:rPr>
              <w:color w:val="auto"/>
            </w:rPr>
            <w:fldChar w:fldCharType="begin"/>
          </w:r>
          <w:r>
            <w:rPr>
              <w:color w:val="auto"/>
            </w:rPr>
            <w:instrText xml:space="preserve"> HYPERLINK \l _Toc24332 </w:instrText>
          </w:r>
          <w:r>
            <w:rPr>
              <w:color w:val="auto"/>
            </w:rPr>
            <w:fldChar w:fldCharType="separate"/>
          </w:r>
          <w:r>
            <w:rPr>
              <w:rFonts w:hint="eastAsia" w:ascii="Times New Roman" w:hAnsi="Times New Roman"/>
              <w:color w:val="auto"/>
              <w:lang w:val="en-US" w:eastAsia="zh-CN"/>
            </w:rPr>
            <w:t>附图三：项目周边环境现状图</w:t>
          </w:r>
          <w:r>
            <w:rPr>
              <w:color w:val="auto"/>
            </w:rPr>
            <w:tab/>
          </w:r>
          <w:r>
            <w:rPr>
              <w:color w:val="auto"/>
            </w:rPr>
            <w:fldChar w:fldCharType="begin"/>
          </w:r>
          <w:r>
            <w:rPr>
              <w:color w:val="auto"/>
            </w:rPr>
            <w:instrText xml:space="preserve"> PAGEREF _Toc24332 \h </w:instrText>
          </w:r>
          <w:r>
            <w:rPr>
              <w:color w:val="auto"/>
            </w:rPr>
            <w:fldChar w:fldCharType="separate"/>
          </w:r>
          <w:r>
            <w:rPr>
              <w:color w:val="auto"/>
            </w:rPr>
            <w:t>90</w:t>
          </w:r>
          <w:r>
            <w:rPr>
              <w:color w:val="auto"/>
            </w:rPr>
            <w:fldChar w:fldCharType="end"/>
          </w:r>
          <w:r>
            <w:rPr>
              <w:color w:val="auto"/>
            </w:rPr>
            <w:fldChar w:fldCharType="end"/>
          </w:r>
        </w:p>
        <w:p w14:paraId="05EB0CD5">
          <w:pPr>
            <w:pStyle w:val="14"/>
            <w:tabs>
              <w:tab w:val="right" w:leader="dot" w:pos="8844"/>
            </w:tabs>
            <w:rPr>
              <w:color w:val="auto"/>
            </w:rPr>
          </w:pPr>
          <w:r>
            <w:rPr>
              <w:color w:val="auto"/>
            </w:rPr>
            <w:fldChar w:fldCharType="begin"/>
          </w:r>
          <w:r>
            <w:rPr>
              <w:color w:val="auto"/>
            </w:rPr>
            <w:instrText xml:space="preserve"> HYPERLINK \l _Toc22932 </w:instrText>
          </w:r>
          <w:r>
            <w:rPr>
              <w:color w:val="auto"/>
            </w:rPr>
            <w:fldChar w:fldCharType="separate"/>
          </w:r>
          <w:r>
            <w:rPr>
              <w:rFonts w:hint="eastAsia" w:ascii="Times New Roman" w:hAnsi="Times New Roman"/>
              <w:color w:val="auto"/>
              <w:lang w:val="en-US" w:eastAsia="zh-CN"/>
            </w:rPr>
            <w:t>附图</w:t>
          </w:r>
          <w:r>
            <w:rPr>
              <w:rFonts w:hint="eastAsia"/>
              <w:color w:val="auto"/>
              <w:lang w:val="en-US" w:eastAsia="zh-CN"/>
            </w:rPr>
            <w:t>四</w:t>
          </w:r>
          <w:r>
            <w:rPr>
              <w:rFonts w:hint="eastAsia" w:ascii="Times New Roman" w:hAnsi="Times New Roman"/>
              <w:color w:val="auto"/>
              <w:lang w:val="en-US" w:eastAsia="zh-CN"/>
            </w:rPr>
            <w:t>：厂区</w:t>
          </w:r>
          <w:r>
            <w:rPr>
              <w:rFonts w:hint="eastAsia"/>
              <w:color w:val="auto"/>
              <w:lang w:val="en-US" w:eastAsia="zh-CN"/>
            </w:rPr>
            <w:t>总</w:t>
          </w:r>
          <w:r>
            <w:rPr>
              <w:rFonts w:hint="eastAsia" w:ascii="Times New Roman" w:hAnsi="Times New Roman"/>
              <w:color w:val="auto"/>
              <w:lang w:val="en-US" w:eastAsia="zh-CN"/>
            </w:rPr>
            <w:t>平面布置图</w:t>
          </w:r>
          <w:r>
            <w:rPr>
              <w:color w:val="auto"/>
            </w:rPr>
            <w:tab/>
          </w:r>
          <w:r>
            <w:rPr>
              <w:color w:val="auto"/>
            </w:rPr>
            <w:fldChar w:fldCharType="begin"/>
          </w:r>
          <w:r>
            <w:rPr>
              <w:color w:val="auto"/>
            </w:rPr>
            <w:instrText xml:space="preserve"> PAGEREF _Toc22932 \h </w:instrText>
          </w:r>
          <w:r>
            <w:rPr>
              <w:color w:val="auto"/>
            </w:rPr>
            <w:fldChar w:fldCharType="separate"/>
          </w:r>
          <w:r>
            <w:rPr>
              <w:color w:val="auto"/>
            </w:rPr>
            <w:t>91</w:t>
          </w:r>
          <w:r>
            <w:rPr>
              <w:color w:val="auto"/>
            </w:rPr>
            <w:fldChar w:fldCharType="end"/>
          </w:r>
          <w:r>
            <w:rPr>
              <w:color w:val="auto"/>
            </w:rPr>
            <w:fldChar w:fldCharType="end"/>
          </w:r>
        </w:p>
        <w:p w14:paraId="5DF8ECE1">
          <w:pPr>
            <w:pStyle w:val="14"/>
            <w:tabs>
              <w:tab w:val="right" w:leader="dot" w:pos="8844"/>
            </w:tabs>
            <w:rPr>
              <w:color w:val="auto"/>
            </w:rPr>
          </w:pPr>
          <w:r>
            <w:rPr>
              <w:color w:val="auto"/>
            </w:rPr>
            <w:fldChar w:fldCharType="begin"/>
          </w:r>
          <w:r>
            <w:rPr>
              <w:color w:val="auto"/>
            </w:rPr>
            <w:instrText xml:space="preserve"> HYPERLINK \l _Toc14240 </w:instrText>
          </w:r>
          <w:r>
            <w:rPr>
              <w:color w:val="auto"/>
            </w:rPr>
            <w:fldChar w:fldCharType="separate"/>
          </w:r>
          <w:r>
            <w:rPr>
              <w:rFonts w:hint="eastAsia"/>
              <w:color w:val="auto"/>
              <w:lang w:val="en-US" w:eastAsia="zh-CN"/>
            </w:rPr>
            <w:t>附图五：车间平面布置图</w:t>
          </w:r>
          <w:r>
            <w:rPr>
              <w:color w:val="auto"/>
            </w:rPr>
            <w:tab/>
          </w:r>
          <w:r>
            <w:rPr>
              <w:color w:val="auto"/>
            </w:rPr>
            <w:fldChar w:fldCharType="begin"/>
          </w:r>
          <w:r>
            <w:rPr>
              <w:color w:val="auto"/>
            </w:rPr>
            <w:instrText xml:space="preserve"> PAGEREF _Toc14240 \h </w:instrText>
          </w:r>
          <w:r>
            <w:rPr>
              <w:color w:val="auto"/>
            </w:rPr>
            <w:fldChar w:fldCharType="separate"/>
          </w:r>
          <w:r>
            <w:rPr>
              <w:color w:val="auto"/>
            </w:rPr>
            <w:t>92</w:t>
          </w:r>
          <w:r>
            <w:rPr>
              <w:color w:val="auto"/>
            </w:rPr>
            <w:fldChar w:fldCharType="end"/>
          </w:r>
          <w:r>
            <w:rPr>
              <w:color w:val="auto"/>
            </w:rPr>
            <w:fldChar w:fldCharType="end"/>
          </w:r>
        </w:p>
        <w:p w14:paraId="5B9F26BB">
          <w:pPr>
            <w:pStyle w:val="14"/>
            <w:tabs>
              <w:tab w:val="right" w:leader="dot" w:pos="8844"/>
            </w:tabs>
            <w:rPr>
              <w:color w:val="auto"/>
            </w:rPr>
          </w:pPr>
          <w:r>
            <w:rPr>
              <w:color w:val="auto"/>
            </w:rPr>
            <w:fldChar w:fldCharType="begin"/>
          </w:r>
          <w:r>
            <w:rPr>
              <w:color w:val="auto"/>
            </w:rPr>
            <w:instrText xml:space="preserve"> HYPERLINK \l _Toc5885 </w:instrText>
          </w:r>
          <w:r>
            <w:rPr>
              <w:color w:val="auto"/>
            </w:rPr>
            <w:fldChar w:fldCharType="separate"/>
          </w:r>
          <w:r>
            <w:rPr>
              <w:rFonts w:hint="eastAsia"/>
              <w:color w:val="auto"/>
              <w:lang w:val="en-US" w:eastAsia="zh-CN"/>
            </w:rPr>
            <w:t>附图六：雨污管网图</w:t>
          </w:r>
          <w:r>
            <w:rPr>
              <w:color w:val="auto"/>
            </w:rPr>
            <w:tab/>
          </w:r>
          <w:r>
            <w:rPr>
              <w:color w:val="auto"/>
            </w:rPr>
            <w:fldChar w:fldCharType="begin"/>
          </w:r>
          <w:r>
            <w:rPr>
              <w:color w:val="auto"/>
            </w:rPr>
            <w:instrText xml:space="preserve"> PAGEREF _Toc5885 \h </w:instrText>
          </w:r>
          <w:r>
            <w:rPr>
              <w:color w:val="auto"/>
            </w:rPr>
            <w:fldChar w:fldCharType="separate"/>
          </w:r>
          <w:r>
            <w:rPr>
              <w:color w:val="auto"/>
            </w:rPr>
            <w:t>93</w:t>
          </w:r>
          <w:r>
            <w:rPr>
              <w:color w:val="auto"/>
            </w:rPr>
            <w:fldChar w:fldCharType="end"/>
          </w:r>
          <w:r>
            <w:rPr>
              <w:color w:val="auto"/>
            </w:rPr>
            <w:fldChar w:fldCharType="end"/>
          </w:r>
        </w:p>
        <w:p w14:paraId="04D9050E">
          <w:pPr>
            <w:pStyle w:val="14"/>
            <w:tabs>
              <w:tab w:val="right" w:leader="dot" w:pos="8844"/>
            </w:tabs>
            <w:rPr>
              <w:color w:val="auto"/>
            </w:rPr>
          </w:pPr>
          <w:r>
            <w:rPr>
              <w:color w:val="auto"/>
            </w:rPr>
            <w:fldChar w:fldCharType="begin"/>
          </w:r>
          <w:r>
            <w:rPr>
              <w:color w:val="auto"/>
            </w:rPr>
            <w:instrText xml:space="preserve"> HYPERLINK \l _Toc5922 </w:instrText>
          </w:r>
          <w:r>
            <w:rPr>
              <w:color w:val="auto"/>
            </w:rPr>
            <w:fldChar w:fldCharType="separate"/>
          </w:r>
          <w:r>
            <w:rPr>
              <w:rFonts w:hint="eastAsia"/>
              <w:color w:val="auto"/>
              <w:lang w:val="en-US" w:eastAsia="zh-CN"/>
            </w:rPr>
            <w:t>附图七：福州市国土空间总体规划图</w:t>
          </w:r>
          <w:r>
            <w:rPr>
              <w:color w:val="auto"/>
            </w:rPr>
            <w:tab/>
          </w:r>
          <w:r>
            <w:rPr>
              <w:color w:val="auto"/>
            </w:rPr>
            <w:fldChar w:fldCharType="begin"/>
          </w:r>
          <w:r>
            <w:rPr>
              <w:color w:val="auto"/>
            </w:rPr>
            <w:instrText xml:space="preserve"> PAGEREF _Toc5922 \h </w:instrText>
          </w:r>
          <w:r>
            <w:rPr>
              <w:color w:val="auto"/>
            </w:rPr>
            <w:fldChar w:fldCharType="separate"/>
          </w:r>
          <w:r>
            <w:rPr>
              <w:color w:val="auto"/>
            </w:rPr>
            <w:t>94</w:t>
          </w:r>
          <w:r>
            <w:rPr>
              <w:color w:val="auto"/>
            </w:rPr>
            <w:fldChar w:fldCharType="end"/>
          </w:r>
          <w:r>
            <w:rPr>
              <w:color w:val="auto"/>
            </w:rPr>
            <w:fldChar w:fldCharType="end"/>
          </w:r>
        </w:p>
        <w:p w14:paraId="4B13BF42">
          <w:pPr>
            <w:pStyle w:val="14"/>
            <w:tabs>
              <w:tab w:val="right" w:leader="dot" w:pos="8844"/>
            </w:tabs>
            <w:rPr>
              <w:color w:val="auto"/>
            </w:rPr>
          </w:pPr>
          <w:r>
            <w:rPr>
              <w:color w:val="auto"/>
            </w:rPr>
            <w:fldChar w:fldCharType="begin"/>
          </w:r>
          <w:r>
            <w:rPr>
              <w:color w:val="auto"/>
            </w:rPr>
            <w:instrText xml:space="preserve"> HYPERLINK \l _Toc30476 </w:instrText>
          </w:r>
          <w:r>
            <w:rPr>
              <w:color w:val="auto"/>
            </w:rPr>
            <w:fldChar w:fldCharType="separate"/>
          </w:r>
          <w:r>
            <w:rPr>
              <w:rFonts w:hint="default" w:ascii="Times New Roman" w:hAnsi="Times New Roman"/>
              <w:color w:val="auto"/>
              <w:lang w:val="en-US" w:eastAsia="zh-CN"/>
            </w:rPr>
            <w:t>附件一：建设项目环境影响评价委托书</w:t>
          </w:r>
          <w:r>
            <w:rPr>
              <w:color w:val="auto"/>
            </w:rPr>
            <w:tab/>
          </w:r>
          <w:r>
            <w:rPr>
              <w:color w:val="auto"/>
            </w:rPr>
            <w:fldChar w:fldCharType="begin"/>
          </w:r>
          <w:r>
            <w:rPr>
              <w:color w:val="auto"/>
            </w:rPr>
            <w:instrText xml:space="preserve"> PAGEREF _Toc30476 \h </w:instrText>
          </w:r>
          <w:r>
            <w:rPr>
              <w:color w:val="auto"/>
            </w:rPr>
            <w:fldChar w:fldCharType="separate"/>
          </w:r>
          <w:r>
            <w:rPr>
              <w:color w:val="auto"/>
            </w:rPr>
            <w:t>95</w:t>
          </w:r>
          <w:r>
            <w:rPr>
              <w:color w:val="auto"/>
            </w:rPr>
            <w:fldChar w:fldCharType="end"/>
          </w:r>
          <w:r>
            <w:rPr>
              <w:color w:val="auto"/>
            </w:rPr>
            <w:fldChar w:fldCharType="end"/>
          </w:r>
        </w:p>
        <w:p w14:paraId="116A92BB">
          <w:pPr>
            <w:pStyle w:val="14"/>
            <w:tabs>
              <w:tab w:val="right" w:leader="dot" w:pos="8844"/>
            </w:tabs>
            <w:rPr>
              <w:color w:val="auto"/>
            </w:rPr>
          </w:pPr>
          <w:r>
            <w:rPr>
              <w:color w:val="auto"/>
            </w:rPr>
            <w:fldChar w:fldCharType="begin"/>
          </w:r>
          <w:r>
            <w:rPr>
              <w:color w:val="auto"/>
            </w:rPr>
            <w:instrText xml:space="preserve"> HYPERLINK \l _Toc21489 </w:instrText>
          </w:r>
          <w:r>
            <w:rPr>
              <w:color w:val="auto"/>
            </w:rPr>
            <w:fldChar w:fldCharType="separate"/>
          </w:r>
          <w:r>
            <w:rPr>
              <w:rFonts w:hint="default" w:ascii="Times New Roman" w:hAnsi="Times New Roman"/>
              <w:color w:val="auto"/>
              <w:lang w:val="en-US" w:eastAsia="zh-CN"/>
            </w:rPr>
            <w:t>附件二：投资项目备案证明</w:t>
          </w:r>
          <w:r>
            <w:rPr>
              <w:color w:val="auto"/>
            </w:rPr>
            <w:tab/>
          </w:r>
          <w:r>
            <w:rPr>
              <w:color w:val="auto"/>
            </w:rPr>
            <w:fldChar w:fldCharType="begin"/>
          </w:r>
          <w:r>
            <w:rPr>
              <w:color w:val="auto"/>
            </w:rPr>
            <w:instrText xml:space="preserve"> PAGEREF _Toc21489 \h </w:instrText>
          </w:r>
          <w:r>
            <w:rPr>
              <w:color w:val="auto"/>
            </w:rPr>
            <w:fldChar w:fldCharType="separate"/>
          </w:r>
          <w:r>
            <w:rPr>
              <w:color w:val="auto"/>
            </w:rPr>
            <w:t>96</w:t>
          </w:r>
          <w:r>
            <w:rPr>
              <w:color w:val="auto"/>
            </w:rPr>
            <w:fldChar w:fldCharType="end"/>
          </w:r>
          <w:r>
            <w:rPr>
              <w:color w:val="auto"/>
            </w:rPr>
            <w:fldChar w:fldCharType="end"/>
          </w:r>
        </w:p>
        <w:p w14:paraId="10FF42C8">
          <w:pPr>
            <w:pStyle w:val="14"/>
            <w:tabs>
              <w:tab w:val="right" w:leader="dot" w:pos="8844"/>
            </w:tabs>
            <w:rPr>
              <w:color w:val="auto"/>
            </w:rPr>
          </w:pPr>
          <w:r>
            <w:rPr>
              <w:color w:val="auto"/>
            </w:rPr>
            <w:fldChar w:fldCharType="begin"/>
          </w:r>
          <w:r>
            <w:rPr>
              <w:color w:val="auto"/>
            </w:rPr>
            <w:instrText xml:space="preserve"> HYPERLINK \l _Toc29703 </w:instrText>
          </w:r>
          <w:r>
            <w:rPr>
              <w:color w:val="auto"/>
            </w:rPr>
            <w:fldChar w:fldCharType="separate"/>
          </w:r>
          <w:r>
            <w:rPr>
              <w:rFonts w:hint="default" w:ascii="Times New Roman" w:hAnsi="Times New Roman"/>
              <w:color w:val="auto"/>
              <w:lang w:val="en-US" w:eastAsia="zh-CN"/>
            </w:rPr>
            <w:t>附件三：建设单位营业执照</w:t>
          </w:r>
          <w:r>
            <w:rPr>
              <w:color w:val="auto"/>
            </w:rPr>
            <w:tab/>
          </w:r>
          <w:r>
            <w:rPr>
              <w:color w:val="auto"/>
            </w:rPr>
            <w:fldChar w:fldCharType="begin"/>
          </w:r>
          <w:r>
            <w:rPr>
              <w:color w:val="auto"/>
            </w:rPr>
            <w:instrText xml:space="preserve"> PAGEREF _Toc29703 \h </w:instrText>
          </w:r>
          <w:r>
            <w:rPr>
              <w:color w:val="auto"/>
            </w:rPr>
            <w:fldChar w:fldCharType="separate"/>
          </w:r>
          <w:r>
            <w:rPr>
              <w:color w:val="auto"/>
            </w:rPr>
            <w:t>97</w:t>
          </w:r>
          <w:r>
            <w:rPr>
              <w:color w:val="auto"/>
            </w:rPr>
            <w:fldChar w:fldCharType="end"/>
          </w:r>
          <w:r>
            <w:rPr>
              <w:color w:val="auto"/>
            </w:rPr>
            <w:fldChar w:fldCharType="end"/>
          </w:r>
        </w:p>
        <w:p w14:paraId="08EC85C5">
          <w:pPr>
            <w:pStyle w:val="14"/>
            <w:tabs>
              <w:tab w:val="right" w:leader="dot" w:pos="8844"/>
            </w:tabs>
            <w:rPr>
              <w:color w:val="auto"/>
            </w:rPr>
          </w:pPr>
          <w:r>
            <w:rPr>
              <w:color w:val="auto"/>
            </w:rPr>
            <w:fldChar w:fldCharType="begin"/>
          </w:r>
          <w:r>
            <w:rPr>
              <w:color w:val="auto"/>
            </w:rPr>
            <w:instrText xml:space="preserve"> HYPERLINK \l _Toc10595 </w:instrText>
          </w:r>
          <w:r>
            <w:rPr>
              <w:color w:val="auto"/>
            </w:rPr>
            <w:fldChar w:fldCharType="separate"/>
          </w:r>
          <w:r>
            <w:rPr>
              <w:rFonts w:hint="eastAsia"/>
              <w:color w:val="auto"/>
              <w:lang w:val="en-US" w:eastAsia="zh-CN"/>
            </w:rPr>
            <w:t>附件四：不动产权证</w:t>
          </w:r>
          <w:r>
            <w:rPr>
              <w:color w:val="auto"/>
            </w:rPr>
            <w:tab/>
          </w:r>
          <w:r>
            <w:rPr>
              <w:color w:val="auto"/>
            </w:rPr>
            <w:fldChar w:fldCharType="begin"/>
          </w:r>
          <w:r>
            <w:rPr>
              <w:color w:val="auto"/>
            </w:rPr>
            <w:instrText xml:space="preserve"> PAGEREF _Toc10595 \h </w:instrText>
          </w:r>
          <w:r>
            <w:rPr>
              <w:color w:val="auto"/>
            </w:rPr>
            <w:fldChar w:fldCharType="separate"/>
          </w:r>
          <w:r>
            <w:rPr>
              <w:color w:val="auto"/>
            </w:rPr>
            <w:t>98</w:t>
          </w:r>
          <w:r>
            <w:rPr>
              <w:color w:val="auto"/>
            </w:rPr>
            <w:fldChar w:fldCharType="end"/>
          </w:r>
          <w:r>
            <w:rPr>
              <w:color w:val="auto"/>
            </w:rPr>
            <w:fldChar w:fldCharType="end"/>
          </w:r>
        </w:p>
        <w:p w14:paraId="4CF04D1B">
          <w:pPr>
            <w:pStyle w:val="14"/>
            <w:tabs>
              <w:tab w:val="right" w:leader="dot" w:pos="8844"/>
            </w:tabs>
            <w:rPr>
              <w:color w:val="auto"/>
            </w:rPr>
          </w:pPr>
          <w:r>
            <w:rPr>
              <w:color w:val="auto"/>
            </w:rPr>
            <w:fldChar w:fldCharType="begin"/>
          </w:r>
          <w:r>
            <w:rPr>
              <w:color w:val="auto"/>
            </w:rPr>
            <w:instrText xml:space="preserve"> HYPERLINK \l _Toc23204 </w:instrText>
          </w:r>
          <w:r>
            <w:rPr>
              <w:color w:val="auto"/>
            </w:rPr>
            <w:fldChar w:fldCharType="separate"/>
          </w:r>
          <w:r>
            <w:rPr>
              <w:rFonts w:hint="eastAsia"/>
              <w:color w:val="auto"/>
              <w:lang w:val="en-US" w:eastAsia="zh-CN"/>
            </w:rPr>
            <w:t>附件五：厂房租赁合同</w:t>
          </w:r>
          <w:r>
            <w:rPr>
              <w:color w:val="auto"/>
            </w:rPr>
            <w:tab/>
          </w:r>
          <w:r>
            <w:rPr>
              <w:color w:val="auto"/>
            </w:rPr>
            <w:fldChar w:fldCharType="begin"/>
          </w:r>
          <w:r>
            <w:rPr>
              <w:color w:val="auto"/>
            </w:rPr>
            <w:instrText xml:space="preserve"> PAGEREF _Toc23204 \h </w:instrText>
          </w:r>
          <w:r>
            <w:rPr>
              <w:color w:val="auto"/>
            </w:rPr>
            <w:fldChar w:fldCharType="separate"/>
          </w:r>
          <w:r>
            <w:rPr>
              <w:color w:val="auto"/>
            </w:rPr>
            <w:t>107</w:t>
          </w:r>
          <w:r>
            <w:rPr>
              <w:color w:val="auto"/>
            </w:rPr>
            <w:fldChar w:fldCharType="end"/>
          </w:r>
          <w:r>
            <w:rPr>
              <w:color w:val="auto"/>
            </w:rPr>
            <w:fldChar w:fldCharType="end"/>
          </w:r>
        </w:p>
        <w:p w14:paraId="2C658E24">
          <w:pPr>
            <w:pStyle w:val="14"/>
            <w:tabs>
              <w:tab w:val="right" w:leader="dot" w:pos="8844"/>
            </w:tabs>
            <w:rPr>
              <w:color w:val="auto"/>
            </w:rPr>
          </w:pPr>
          <w:r>
            <w:rPr>
              <w:color w:val="auto"/>
            </w:rPr>
            <w:fldChar w:fldCharType="begin"/>
          </w:r>
          <w:r>
            <w:rPr>
              <w:color w:val="auto"/>
            </w:rPr>
            <w:instrText xml:space="preserve"> HYPERLINK \l _Toc23639 </w:instrText>
          </w:r>
          <w:r>
            <w:rPr>
              <w:color w:val="auto"/>
            </w:rPr>
            <w:fldChar w:fldCharType="separate"/>
          </w:r>
          <w:r>
            <w:rPr>
              <w:rFonts w:hint="eastAsia" w:ascii="Times New Roman" w:hAnsi="Times New Roman"/>
              <w:color w:val="auto"/>
              <w:lang w:val="en-US" w:eastAsia="zh-CN"/>
            </w:rPr>
            <w:t>附件</w:t>
          </w:r>
          <w:r>
            <w:rPr>
              <w:rFonts w:hint="eastAsia"/>
              <w:color w:val="auto"/>
              <w:lang w:val="en-US" w:eastAsia="zh-CN"/>
            </w:rPr>
            <w:t>六</w:t>
          </w:r>
          <w:r>
            <w:rPr>
              <w:rFonts w:hint="eastAsia" w:ascii="Times New Roman" w:hAnsi="Times New Roman"/>
              <w:color w:val="auto"/>
              <w:lang w:val="en-US" w:eastAsia="zh-CN"/>
            </w:rPr>
            <w:t>：关于公开建设项目环评文件等信息情况的说明</w:t>
          </w:r>
          <w:r>
            <w:rPr>
              <w:color w:val="auto"/>
            </w:rPr>
            <w:tab/>
          </w:r>
          <w:r>
            <w:rPr>
              <w:color w:val="auto"/>
            </w:rPr>
            <w:fldChar w:fldCharType="begin"/>
          </w:r>
          <w:r>
            <w:rPr>
              <w:color w:val="auto"/>
            </w:rPr>
            <w:instrText xml:space="preserve"> PAGEREF _Toc23639 \h </w:instrText>
          </w:r>
          <w:r>
            <w:rPr>
              <w:color w:val="auto"/>
            </w:rPr>
            <w:fldChar w:fldCharType="separate"/>
          </w:r>
          <w:r>
            <w:rPr>
              <w:color w:val="auto"/>
            </w:rPr>
            <w:t>111</w:t>
          </w:r>
          <w:r>
            <w:rPr>
              <w:color w:val="auto"/>
            </w:rPr>
            <w:fldChar w:fldCharType="end"/>
          </w:r>
          <w:r>
            <w:rPr>
              <w:color w:val="auto"/>
            </w:rPr>
            <w:fldChar w:fldCharType="end"/>
          </w:r>
        </w:p>
        <w:p w14:paraId="0E1FC09D">
          <w:pPr>
            <w:pStyle w:val="14"/>
            <w:tabs>
              <w:tab w:val="right" w:leader="dot" w:pos="8844"/>
            </w:tabs>
            <w:rPr>
              <w:color w:val="auto"/>
            </w:rPr>
          </w:pPr>
          <w:r>
            <w:rPr>
              <w:color w:val="auto"/>
            </w:rPr>
            <w:fldChar w:fldCharType="begin"/>
          </w:r>
          <w:r>
            <w:rPr>
              <w:color w:val="auto"/>
            </w:rPr>
            <w:instrText xml:space="preserve"> HYPERLINK \l _Toc14990 </w:instrText>
          </w:r>
          <w:r>
            <w:rPr>
              <w:color w:val="auto"/>
            </w:rPr>
            <w:fldChar w:fldCharType="separate"/>
          </w:r>
          <w:r>
            <w:rPr>
              <w:rFonts w:hint="eastAsia" w:ascii="Times New Roman" w:hAnsi="Times New Roman"/>
              <w:color w:val="auto"/>
              <w:lang w:val="en-US" w:eastAsia="zh-CN"/>
            </w:rPr>
            <w:t>附件</w:t>
          </w:r>
          <w:r>
            <w:rPr>
              <w:rFonts w:hint="eastAsia"/>
              <w:color w:val="auto"/>
              <w:lang w:val="en-US" w:eastAsia="zh-CN"/>
            </w:rPr>
            <w:t>七</w:t>
          </w:r>
          <w:r>
            <w:rPr>
              <w:rFonts w:hint="eastAsia" w:ascii="Times New Roman" w:hAnsi="Times New Roman"/>
              <w:color w:val="auto"/>
              <w:lang w:val="en-US" w:eastAsia="zh-CN"/>
            </w:rPr>
            <w:t>：</w:t>
          </w:r>
          <w:r>
            <w:rPr>
              <w:rFonts w:hint="eastAsia"/>
              <w:color w:val="auto"/>
              <w:lang w:val="en-US" w:eastAsia="zh-CN"/>
            </w:rPr>
            <w:t>关于环评文件未涉及国家秘密、商业秘密等内容的说明</w:t>
          </w:r>
          <w:r>
            <w:rPr>
              <w:color w:val="auto"/>
            </w:rPr>
            <w:tab/>
          </w:r>
          <w:r>
            <w:rPr>
              <w:color w:val="auto"/>
            </w:rPr>
            <w:fldChar w:fldCharType="begin"/>
          </w:r>
          <w:r>
            <w:rPr>
              <w:color w:val="auto"/>
            </w:rPr>
            <w:instrText xml:space="preserve"> PAGEREF _Toc14990 \h </w:instrText>
          </w:r>
          <w:r>
            <w:rPr>
              <w:color w:val="auto"/>
            </w:rPr>
            <w:fldChar w:fldCharType="separate"/>
          </w:r>
          <w:r>
            <w:rPr>
              <w:color w:val="auto"/>
            </w:rPr>
            <w:t>112</w:t>
          </w:r>
          <w:r>
            <w:rPr>
              <w:color w:val="auto"/>
            </w:rPr>
            <w:fldChar w:fldCharType="end"/>
          </w:r>
          <w:r>
            <w:rPr>
              <w:color w:val="auto"/>
            </w:rPr>
            <w:fldChar w:fldCharType="end"/>
          </w:r>
        </w:p>
        <w:p w14:paraId="32350583">
          <w:pPr>
            <w:pStyle w:val="14"/>
            <w:tabs>
              <w:tab w:val="right" w:leader="dot" w:pos="8844"/>
            </w:tabs>
            <w:rPr>
              <w:color w:val="auto"/>
            </w:rPr>
          </w:pPr>
          <w:r>
            <w:rPr>
              <w:color w:val="auto"/>
            </w:rPr>
            <w:fldChar w:fldCharType="begin"/>
          </w:r>
          <w:r>
            <w:rPr>
              <w:color w:val="auto"/>
            </w:rPr>
            <w:instrText xml:space="preserve"> HYPERLINK \l _Toc19176 </w:instrText>
          </w:r>
          <w:r>
            <w:rPr>
              <w:color w:val="auto"/>
            </w:rPr>
            <w:fldChar w:fldCharType="separate"/>
          </w:r>
          <w:r>
            <w:rPr>
              <w:rFonts w:hint="eastAsia" w:ascii="Times New Roman" w:hAnsi="Times New Roman"/>
              <w:color w:val="auto"/>
              <w:lang w:val="en-US" w:eastAsia="zh-CN"/>
            </w:rPr>
            <w:t>附件</w:t>
          </w:r>
          <w:r>
            <w:rPr>
              <w:rFonts w:hint="eastAsia"/>
              <w:color w:val="auto"/>
              <w:lang w:val="en-US" w:eastAsia="zh-CN"/>
            </w:rPr>
            <w:t>八</w:t>
          </w:r>
          <w:r>
            <w:rPr>
              <w:rFonts w:hint="eastAsia" w:ascii="Times New Roman" w:hAnsi="Times New Roman"/>
              <w:color w:val="auto"/>
              <w:lang w:val="en-US" w:eastAsia="zh-CN"/>
            </w:rPr>
            <w:t>：审批申请报告</w:t>
          </w:r>
          <w:r>
            <w:rPr>
              <w:color w:val="auto"/>
            </w:rPr>
            <w:tab/>
          </w:r>
          <w:r>
            <w:rPr>
              <w:color w:val="auto"/>
            </w:rPr>
            <w:fldChar w:fldCharType="begin"/>
          </w:r>
          <w:r>
            <w:rPr>
              <w:color w:val="auto"/>
            </w:rPr>
            <w:instrText xml:space="preserve"> PAGEREF _Toc19176 \h </w:instrText>
          </w:r>
          <w:r>
            <w:rPr>
              <w:color w:val="auto"/>
            </w:rPr>
            <w:fldChar w:fldCharType="separate"/>
          </w:r>
          <w:r>
            <w:rPr>
              <w:color w:val="auto"/>
            </w:rPr>
            <w:t>113</w:t>
          </w:r>
          <w:r>
            <w:rPr>
              <w:color w:val="auto"/>
            </w:rPr>
            <w:fldChar w:fldCharType="end"/>
          </w:r>
          <w:r>
            <w:rPr>
              <w:color w:val="auto"/>
            </w:rPr>
            <w:fldChar w:fldCharType="end"/>
          </w:r>
        </w:p>
        <w:p w14:paraId="31094020">
          <w:pPr>
            <w:pStyle w:val="14"/>
            <w:tabs>
              <w:tab w:val="right" w:leader="dot" w:pos="8844"/>
            </w:tabs>
            <w:rPr>
              <w:color w:val="auto"/>
            </w:rPr>
          </w:pPr>
          <w:r>
            <w:rPr>
              <w:color w:val="auto"/>
            </w:rPr>
            <w:fldChar w:fldCharType="begin"/>
          </w:r>
          <w:r>
            <w:rPr>
              <w:color w:val="auto"/>
            </w:rPr>
            <w:instrText xml:space="preserve"> HYPERLINK \l _Toc23053 </w:instrText>
          </w:r>
          <w:r>
            <w:rPr>
              <w:color w:val="auto"/>
            </w:rPr>
            <w:fldChar w:fldCharType="separate"/>
          </w:r>
          <w:r>
            <w:rPr>
              <w:rFonts w:hint="eastAsia" w:ascii="Times New Roman" w:hAnsi="Times New Roman"/>
              <w:color w:val="auto"/>
              <w:lang w:val="en-US" w:eastAsia="zh-CN"/>
            </w:rPr>
            <w:t>附件</w:t>
          </w:r>
          <w:r>
            <w:rPr>
              <w:rFonts w:hint="eastAsia"/>
              <w:color w:val="auto"/>
              <w:lang w:val="en-US" w:eastAsia="zh-CN"/>
            </w:rPr>
            <w:t>九</w:t>
          </w:r>
          <w:r>
            <w:rPr>
              <w:rFonts w:hint="eastAsia" w:ascii="Times New Roman" w:hAnsi="Times New Roman"/>
              <w:color w:val="auto"/>
              <w:lang w:val="en-US" w:eastAsia="zh-CN"/>
            </w:rPr>
            <w:t>：申请环评批复报告</w:t>
          </w:r>
          <w:r>
            <w:rPr>
              <w:color w:val="auto"/>
            </w:rPr>
            <w:tab/>
          </w:r>
          <w:r>
            <w:rPr>
              <w:color w:val="auto"/>
            </w:rPr>
            <w:fldChar w:fldCharType="begin"/>
          </w:r>
          <w:r>
            <w:rPr>
              <w:color w:val="auto"/>
            </w:rPr>
            <w:instrText xml:space="preserve"> PAGEREF _Toc23053 \h </w:instrText>
          </w:r>
          <w:r>
            <w:rPr>
              <w:color w:val="auto"/>
            </w:rPr>
            <w:fldChar w:fldCharType="separate"/>
          </w:r>
          <w:r>
            <w:rPr>
              <w:color w:val="auto"/>
            </w:rPr>
            <w:t>114</w:t>
          </w:r>
          <w:r>
            <w:rPr>
              <w:color w:val="auto"/>
            </w:rPr>
            <w:fldChar w:fldCharType="end"/>
          </w:r>
          <w:r>
            <w:rPr>
              <w:color w:val="auto"/>
            </w:rPr>
            <w:fldChar w:fldCharType="end"/>
          </w:r>
        </w:p>
        <w:p w14:paraId="530528FA">
          <w:pPr>
            <w:pStyle w:val="14"/>
            <w:tabs>
              <w:tab w:val="right" w:leader="dot" w:pos="8844"/>
            </w:tabs>
            <w:rPr>
              <w:color w:val="auto"/>
            </w:rPr>
          </w:pPr>
          <w:r>
            <w:rPr>
              <w:color w:val="auto"/>
            </w:rPr>
            <w:fldChar w:fldCharType="begin"/>
          </w:r>
          <w:r>
            <w:rPr>
              <w:color w:val="auto"/>
            </w:rPr>
            <w:instrText xml:space="preserve"> HYPERLINK \l _Toc26737 </w:instrText>
          </w:r>
          <w:r>
            <w:rPr>
              <w:color w:val="auto"/>
            </w:rPr>
            <w:fldChar w:fldCharType="separate"/>
          </w:r>
          <w:r>
            <w:rPr>
              <w:rFonts w:hint="eastAsia"/>
              <w:color w:val="auto"/>
              <w:lang w:val="en-US" w:eastAsia="zh-CN"/>
            </w:rPr>
            <w:t>附件十：</w:t>
          </w:r>
          <w:r>
            <w:rPr>
              <w:rFonts w:hint="eastAsia" w:ascii="Times New Roman" w:hAnsi="Times New Roman"/>
              <w:color w:val="auto"/>
              <w:lang w:val="en-US" w:eastAsia="zh-CN"/>
            </w:rPr>
            <w:t>关于环评文件公开文本删除涉密内容依据和说明</w:t>
          </w:r>
          <w:r>
            <w:rPr>
              <w:color w:val="auto"/>
            </w:rPr>
            <w:tab/>
          </w:r>
          <w:r>
            <w:rPr>
              <w:color w:val="auto"/>
            </w:rPr>
            <w:fldChar w:fldCharType="begin"/>
          </w:r>
          <w:r>
            <w:rPr>
              <w:color w:val="auto"/>
            </w:rPr>
            <w:instrText xml:space="preserve"> PAGEREF _Toc26737 \h </w:instrText>
          </w:r>
          <w:r>
            <w:rPr>
              <w:color w:val="auto"/>
            </w:rPr>
            <w:fldChar w:fldCharType="separate"/>
          </w:r>
          <w:r>
            <w:rPr>
              <w:color w:val="auto"/>
            </w:rPr>
            <w:t>115</w:t>
          </w:r>
          <w:r>
            <w:rPr>
              <w:color w:val="auto"/>
            </w:rPr>
            <w:fldChar w:fldCharType="end"/>
          </w:r>
          <w:r>
            <w:rPr>
              <w:color w:val="auto"/>
            </w:rPr>
            <w:fldChar w:fldCharType="end"/>
          </w:r>
        </w:p>
        <w:p w14:paraId="3CB71B08">
          <w:pPr>
            <w:pStyle w:val="14"/>
            <w:tabs>
              <w:tab w:val="right" w:leader="dot" w:pos="8844"/>
            </w:tabs>
            <w:rPr>
              <w:color w:val="auto"/>
            </w:rPr>
          </w:pPr>
          <w:r>
            <w:rPr>
              <w:color w:val="auto"/>
            </w:rPr>
            <w:fldChar w:fldCharType="begin"/>
          </w:r>
          <w:r>
            <w:rPr>
              <w:color w:val="auto"/>
            </w:rPr>
            <w:instrText xml:space="preserve"> HYPERLINK \l _Toc10914 </w:instrText>
          </w:r>
          <w:r>
            <w:rPr>
              <w:color w:val="auto"/>
            </w:rPr>
            <w:fldChar w:fldCharType="separate"/>
          </w:r>
          <w:r>
            <w:rPr>
              <w:rFonts w:hint="eastAsia" w:ascii="Times New Roman" w:hAnsi="Times New Roman"/>
              <w:color w:val="auto"/>
              <w:lang w:val="en-US" w:eastAsia="zh-CN"/>
            </w:rPr>
            <w:t>附件</w:t>
          </w:r>
          <w:r>
            <w:rPr>
              <w:rFonts w:hint="eastAsia"/>
              <w:color w:val="auto"/>
              <w:lang w:val="en-US" w:eastAsia="zh-CN"/>
            </w:rPr>
            <w:t>十一</w:t>
          </w:r>
          <w:r>
            <w:rPr>
              <w:rFonts w:hint="eastAsia" w:ascii="Times New Roman" w:hAnsi="Times New Roman"/>
              <w:color w:val="auto"/>
              <w:lang w:val="en-US" w:eastAsia="zh-CN"/>
            </w:rPr>
            <w:t>：关于主要污染物排污权指标的承诺函</w:t>
          </w:r>
          <w:r>
            <w:rPr>
              <w:color w:val="auto"/>
            </w:rPr>
            <w:tab/>
          </w:r>
          <w:r>
            <w:rPr>
              <w:color w:val="auto"/>
            </w:rPr>
            <w:fldChar w:fldCharType="begin"/>
          </w:r>
          <w:r>
            <w:rPr>
              <w:color w:val="auto"/>
            </w:rPr>
            <w:instrText xml:space="preserve"> PAGEREF _Toc10914 \h </w:instrText>
          </w:r>
          <w:r>
            <w:rPr>
              <w:color w:val="auto"/>
            </w:rPr>
            <w:fldChar w:fldCharType="separate"/>
          </w:r>
          <w:r>
            <w:rPr>
              <w:color w:val="auto"/>
            </w:rPr>
            <w:t>117</w:t>
          </w:r>
          <w:r>
            <w:rPr>
              <w:color w:val="auto"/>
            </w:rPr>
            <w:fldChar w:fldCharType="end"/>
          </w:r>
          <w:r>
            <w:rPr>
              <w:color w:val="auto"/>
            </w:rPr>
            <w:fldChar w:fldCharType="end"/>
          </w:r>
        </w:p>
        <w:p w14:paraId="6CC03EC1">
          <w:pPr>
            <w:pStyle w:val="14"/>
            <w:tabs>
              <w:tab w:val="right" w:leader="dot" w:pos="8844"/>
            </w:tabs>
            <w:rPr>
              <w:color w:val="auto"/>
            </w:rPr>
          </w:pPr>
          <w:r>
            <w:rPr>
              <w:color w:val="auto"/>
            </w:rPr>
            <w:fldChar w:fldCharType="begin"/>
          </w:r>
          <w:r>
            <w:rPr>
              <w:color w:val="auto"/>
            </w:rPr>
            <w:instrText xml:space="preserve"> HYPERLINK \l _Toc31109 </w:instrText>
          </w:r>
          <w:r>
            <w:rPr>
              <w:color w:val="auto"/>
            </w:rPr>
            <w:fldChar w:fldCharType="separate"/>
          </w:r>
          <w:r>
            <w:rPr>
              <w:rFonts w:hint="eastAsia" w:ascii="Times New Roman" w:hAnsi="Times New Roman"/>
              <w:color w:val="auto"/>
              <w:lang w:val="en-US" w:eastAsia="zh-CN"/>
            </w:rPr>
            <w:t>附件十</w:t>
          </w:r>
          <w:r>
            <w:rPr>
              <w:rFonts w:hint="eastAsia"/>
              <w:color w:val="auto"/>
              <w:lang w:val="en-US" w:eastAsia="zh-CN"/>
            </w:rPr>
            <w:t>二</w:t>
          </w:r>
          <w:r>
            <w:rPr>
              <w:rFonts w:hint="eastAsia" w:ascii="Times New Roman" w:hAnsi="Times New Roman"/>
              <w:color w:val="auto"/>
              <w:lang w:val="en-US" w:eastAsia="zh-CN"/>
            </w:rPr>
            <w:t>：法人身份证</w:t>
          </w:r>
          <w:r>
            <w:rPr>
              <w:color w:val="auto"/>
            </w:rPr>
            <w:tab/>
          </w:r>
          <w:r>
            <w:rPr>
              <w:color w:val="auto"/>
            </w:rPr>
            <w:fldChar w:fldCharType="begin"/>
          </w:r>
          <w:r>
            <w:rPr>
              <w:color w:val="auto"/>
            </w:rPr>
            <w:instrText xml:space="preserve"> PAGEREF _Toc31109 \h </w:instrText>
          </w:r>
          <w:r>
            <w:rPr>
              <w:color w:val="auto"/>
            </w:rPr>
            <w:fldChar w:fldCharType="separate"/>
          </w:r>
          <w:r>
            <w:rPr>
              <w:color w:val="auto"/>
            </w:rPr>
            <w:t>118</w:t>
          </w:r>
          <w:r>
            <w:rPr>
              <w:color w:val="auto"/>
            </w:rPr>
            <w:fldChar w:fldCharType="end"/>
          </w:r>
          <w:r>
            <w:rPr>
              <w:color w:val="auto"/>
            </w:rPr>
            <w:fldChar w:fldCharType="end"/>
          </w:r>
        </w:p>
        <w:p w14:paraId="67D3A6AC">
          <w:pPr>
            <w:pStyle w:val="14"/>
            <w:tabs>
              <w:tab w:val="right" w:leader="dot" w:pos="8844"/>
            </w:tabs>
            <w:rPr>
              <w:color w:val="auto"/>
            </w:rPr>
          </w:pPr>
          <w:r>
            <w:rPr>
              <w:color w:val="auto"/>
            </w:rPr>
            <w:fldChar w:fldCharType="begin"/>
          </w:r>
          <w:r>
            <w:rPr>
              <w:color w:val="auto"/>
            </w:rPr>
            <w:instrText xml:space="preserve"> HYPERLINK \l _Toc30807 </w:instrText>
          </w:r>
          <w:r>
            <w:rPr>
              <w:color w:val="auto"/>
            </w:rPr>
            <w:fldChar w:fldCharType="separate"/>
          </w:r>
          <w:r>
            <w:rPr>
              <w:rFonts w:hint="eastAsia" w:ascii="Times New Roman" w:hAnsi="Times New Roman"/>
              <w:color w:val="auto"/>
              <w:lang w:val="en-US" w:eastAsia="zh-CN"/>
            </w:rPr>
            <w:t>附件十</w:t>
          </w:r>
          <w:r>
            <w:rPr>
              <w:rFonts w:hint="eastAsia"/>
              <w:color w:val="auto"/>
              <w:lang w:val="en-US" w:eastAsia="zh-CN"/>
            </w:rPr>
            <w:t>三</w:t>
          </w:r>
          <w:r>
            <w:rPr>
              <w:rFonts w:hint="eastAsia" w:ascii="Times New Roman" w:hAnsi="Times New Roman"/>
              <w:color w:val="auto"/>
              <w:lang w:val="en-US" w:eastAsia="zh-CN"/>
            </w:rPr>
            <w:t>：受委托代理人身份证</w:t>
          </w:r>
          <w:r>
            <w:rPr>
              <w:color w:val="auto"/>
            </w:rPr>
            <w:tab/>
          </w:r>
          <w:r>
            <w:rPr>
              <w:color w:val="auto"/>
            </w:rPr>
            <w:fldChar w:fldCharType="begin"/>
          </w:r>
          <w:r>
            <w:rPr>
              <w:color w:val="auto"/>
            </w:rPr>
            <w:instrText xml:space="preserve"> PAGEREF _Toc30807 \h </w:instrText>
          </w:r>
          <w:r>
            <w:rPr>
              <w:color w:val="auto"/>
            </w:rPr>
            <w:fldChar w:fldCharType="separate"/>
          </w:r>
          <w:r>
            <w:rPr>
              <w:color w:val="auto"/>
            </w:rPr>
            <w:t>119</w:t>
          </w:r>
          <w:r>
            <w:rPr>
              <w:color w:val="auto"/>
            </w:rPr>
            <w:fldChar w:fldCharType="end"/>
          </w:r>
          <w:r>
            <w:rPr>
              <w:color w:val="auto"/>
            </w:rPr>
            <w:fldChar w:fldCharType="end"/>
          </w:r>
        </w:p>
        <w:p w14:paraId="48F70B35">
          <w:pPr>
            <w:pStyle w:val="14"/>
            <w:tabs>
              <w:tab w:val="right" w:leader="dot" w:pos="8844"/>
            </w:tabs>
            <w:rPr>
              <w:color w:val="auto"/>
            </w:rPr>
          </w:pPr>
          <w:r>
            <w:rPr>
              <w:color w:val="auto"/>
            </w:rPr>
            <w:fldChar w:fldCharType="begin"/>
          </w:r>
          <w:r>
            <w:rPr>
              <w:color w:val="auto"/>
            </w:rPr>
            <w:instrText xml:space="preserve"> HYPERLINK \l _Toc23323 </w:instrText>
          </w:r>
          <w:r>
            <w:rPr>
              <w:color w:val="auto"/>
            </w:rPr>
            <w:fldChar w:fldCharType="separate"/>
          </w:r>
          <w:r>
            <w:rPr>
              <w:rFonts w:hint="eastAsia" w:ascii="Times New Roman" w:hAnsi="Times New Roman"/>
              <w:color w:val="auto"/>
              <w:lang w:val="en-US" w:eastAsia="zh-CN"/>
            </w:rPr>
            <w:t>附件十</w:t>
          </w:r>
          <w:r>
            <w:rPr>
              <w:rFonts w:hint="eastAsia"/>
              <w:color w:val="auto"/>
              <w:lang w:val="en-US" w:eastAsia="zh-CN"/>
            </w:rPr>
            <w:t>四</w:t>
          </w:r>
          <w:r>
            <w:rPr>
              <w:rFonts w:hint="eastAsia" w:ascii="Times New Roman" w:hAnsi="Times New Roman"/>
              <w:color w:val="auto"/>
              <w:lang w:val="en-US" w:eastAsia="zh-CN"/>
            </w:rPr>
            <w:t>：授权委托书</w:t>
          </w:r>
          <w:r>
            <w:rPr>
              <w:color w:val="auto"/>
            </w:rPr>
            <w:tab/>
          </w:r>
          <w:r>
            <w:rPr>
              <w:color w:val="auto"/>
            </w:rPr>
            <w:fldChar w:fldCharType="begin"/>
          </w:r>
          <w:r>
            <w:rPr>
              <w:color w:val="auto"/>
            </w:rPr>
            <w:instrText xml:space="preserve"> PAGEREF _Toc23323 \h </w:instrText>
          </w:r>
          <w:r>
            <w:rPr>
              <w:color w:val="auto"/>
            </w:rPr>
            <w:fldChar w:fldCharType="separate"/>
          </w:r>
          <w:r>
            <w:rPr>
              <w:color w:val="auto"/>
            </w:rPr>
            <w:t>120</w:t>
          </w:r>
          <w:r>
            <w:rPr>
              <w:color w:val="auto"/>
            </w:rPr>
            <w:fldChar w:fldCharType="end"/>
          </w:r>
          <w:r>
            <w:rPr>
              <w:color w:val="auto"/>
            </w:rPr>
            <w:fldChar w:fldCharType="end"/>
          </w:r>
        </w:p>
        <w:p w14:paraId="21AA35D7">
          <w:pPr>
            <w:pStyle w:val="14"/>
            <w:tabs>
              <w:tab w:val="right" w:leader="dot" w:pos="8844"/>
            </w:tabs>
            <w:rPr>
              <w:color w:val="auto"/>
            </w:rPr>
          </w:pPr>
          <w:r>
            <w:rPr>
              <w:color w:val="auto"/>
            </w:rPr>
            <w:fldChar w:fldCharType="begin"/>
          </w:r>
          <w:r>
            <w:rPr>
              <w:color w:val="auto"/>
            </w:rPr>
            <w:instrText xml:space="preserve"> HYPERLINK \l _Toc28691 </w:instrText>
          </w:r>
          <w:r>
            <w:rPr>
              <w:color w:val="auto"/>
            </w:rPr>
            <w:fldChar w:fldCharType="separate"/>
          </w:r>
          <w:r>
            <w:rPr>
              <w:rFonts w:hint="eastAsia" w:ascii="Times New Roman" w:hAnsi="Times New Roman" w:eastAsia="宋体"/>
              <w:color w:val="auto"/>
              <w:lang w:val="en-US" w:eastAsia="zh-CN"/>
            </w:rPr>
            <w:t>附件十</w:t>
          </w:r>
          <w:r>
            <w:rPr>
              <w:rFonts w:hint="eastAsia"/>
              <w:color w:val="auto"/>
              <w:lang w:val="en-US" w:eastAsia="zh-CN"/>
            </w:rPr>
            <w:t>五</w:t>
          </w:r>
          <w:r>
            <w:rPr>
              <w:rFonts w:hint="eastAsia" w:ascii="Times New Roman" w:hAnsi="Times New Roman" w:eastAsia="宋体"/>
              <w:color w:val="auto"/>
              <w:lang w:val="en-US" w:eastAsia="zh-CN"/>
            </w:rPr>
            <w:t>：（MSDS）磨削液</w:t>
          </w:r>
          <w:r>
            <w:rPr>
              <w:color w:val="auto"/>
            </w:rPr>
            <w:tab/>
          </w:r>
          <w:r>
            <w:rPr>
              <w:color w:val="auto"/>
            </w:rPr>
            <w:fldChar w:fldCharType="begin"/>
          </w:r>
          <w:r>
            <w:rPr>
              <w:color w:val="auto"/>
            </w:rPr>
            <w:instrText xml:space="preserve"> PAGEREF _Toc28691 \h </w:instrText>
          </w:r>
          <w:r>
            <w:rPr>
              <w:color w:val="auto"/>
            </w:rPr>
            <w:fldChar w:fldCharType="separate"/>
          </w:r>
          <w:r>
            <w:rPr>
              <w:color w:val="auto"/>
            </w:rPr>
            <w:t>121</w:t>
          </w:r>
          <w:r>
            <w:rPr>
              <w:color w:val="auto"/>
            </w:rPr>
            <w:fldChar w:fldCharType="end"/>
          </w:r>
          <w:r>
            <w:rPr>
              <w:color w:val="auto"/>
            </w:rPr>
            <w:fldChar w:fldCharType="end"/>
          </w:r>
        </w:p>
        <w:p w14:paraId="3BB51050">
          <w:pPr>
            <w:pStyle w:val="14"/>
            <w:tabs>
              <w:tab w:val="right" w:leader="dot" w:pos="8844"/>
            </w:tabs>
            <w:rPr>
              <w:color w:val="auto"/>
            </w:rPr>
          </w:pPr>
          <w:r>
            <w:rPr>
              <w:color w:val="auto"/>
            </w:rPr>
            <w:fldChar w:fldCharType="begin"/>
          </w:r>
          <w:r>
            <w:rPr>
              <w:color w:val="auto"/>
            </w:rPr>
            <w:instrText xml:space="preserve"> HYPERLINK \l _Toc10389 </w:instrText>
          </w:r>
          <w:r>
            <w:rPr>
              <w:color w:val="auto"/>
            </w:rPr>
            <w:fldChar w:fldCharType="separate"/>
          </w:r>
          <w:r>
            <w:rPr>
              <w:rFonts w:hint="eastAsia" w:ascii="Times New Roman" w:hAnsi="Times New Roman"/>
              <w:color w:val="auto"/>
              <w:lang w:val="en-US" w:eastAsia="zh-CN"/>
            </w:rPr>
            <w:t>附件十</w:t>
          </w:r>
          <w:r>
            <w:rPr>
              <w:rFonts w:hint="eastAsia"/>
              <w:color w:val="auto"/>
              <w:lang w:val="en-US" w:eastAsia="zh-CN"/>
            </w:rPr>
            <w:t>六</w:t>
          </w:r>
          <w:r>
            <w:rPr>
              <w:rFonts w:hint="eastAsia" w:ascii="Times New Roman" w:hAnsi="Times New Roman"/>
              <w:color w:val="auto"/>
              <w:lang w:val="en-US" w:eastAsia="zh-CN"/>
            </w:rPr>
            <w:t>：</w:t>
          </w:r>
          <w:r>
            <w:rPr>
              <w:rFonts w:hint="eastAsia"/>
              <w:color w:val="auto"/>
              <w:lang w:val="en-US" w:eastAsia="zh-CN"/>
            </w:rPr>
            <w:t>（MSDS）清洗剂</w:t>
          </w:r>
          <w:r>
            <w:rPr>
              <w:color w:val="auto"/>
            </w:rPr>
            <w:tab/>
          </w:r>
          <w:r>
            <w:rPr>
              <w:color w:val="auto"/>
            </w:rPr>
            <w:fldChar w:fldCharType="begin"/>
          </w:r>
          <w:r>
            <w:rPr>
              <w:color w:val="auto"/>
            </w:rPr>
            <w:instrText xml:space="preserve"> PAGEREF _Toc10389 \h </w:instrText>
          </w:r>
          <w:r>
            <w:rPr>
              <w:color w:val="auto"/>
            </w:rPr>
            <w:fldChar w:fldCharType="separate"/>
          </w:r>
          <w:r>
            <w:rPr>
              <w:color w:val="auto"/>
            </w:rPr>
            <w:t>128</w:t>
          </w:r>
          <w:r>
            <w:rPr>
              <w:color w:val="auto"/>
            </w:rPr>
            <w:fldChar w:fldCharType="end"/>
          </w:r>
          <w:r>
            <w:rPr>
              <w:color w:val="auto"/>
            </w:rPr>
            <w:fldChar w:fldCharType="end"/>
          </w:r>
        </w:p>
        <w:p w14:paraId="4818FF32">
          <w:pPr>
            <w:pStyle w:val="14"/>
            <w:tabs>
              <w:tab w:val="right" w:leader="dot" w:pos="8844"/>
            </w:tabs>
            <w:rPr>
              <w:color w:val="auto"/>
            </w:rPr>
          </w:pPr>
          <w:r>
            <w:rPr>
              <w:color w:val="auto"/>
            </w:rPr>
            <w:fldChar w:fldCharType="begin"/>
          </w:r>
          <w:r>
            <w:rPr>
              <w:color w:val="auto"/>
            </w:rPr>
            <w:instrText xml:space="preserve"> HYPERLINK \l _Toc10073 </w:instrText>
          </w:r>
          <w:r>
            <w:rPr>
              <w:color w:val="auto"/>
            </w:rPr>
            <w:fldChar w:fldCharType="separate"/>
          </w:r>
          <w:r>
            <w:rPr>
              <w:rFonts w:hint="eastAsia"/>
              <w:color w:val="auto"/>
              <w:lang w:val="en-US" w:eastAsia="zh-CN"/>
            </w:rPr>
            <w:t>附件十七：（MSDS）除油剂</w:t>
          </w:r>
          <w:r>
            <w:rPr>
              <w:color w:val="auto"/>
            </w:rPr>
            <w:tab/>
          </w:r>
          <w:r>
            <w:rPr>
              <w:color w:val="auto"/>
            </w:rPr>
            <w:fldChar w:fldCharType="begin"/>
          </w:r>
          <w:r>
            <w:rPr>
              <w:color w:val="auto"/>
            </w:rPr>
            <w:instrText xml:space="preserve"> PAGEREF _Toc10073 \h </w:instrText>
          </w:r>
          <w:r>
            <w:rPr>
              <w:color w:val="auto"/>
            </w:rPr>
            <w:fldChar w:fldCharType="separate"/>
          </w:r>
          <w:r>
            <w:rPr>
              <w:color w:val="auto"/>
            </w:rPr>
            <w:t>156</w:t>
          </w:r>
          <w:r>
            <w:rPr>
              <w:color w:val="auto"/>
            </w:rPr>
            <w:fldChar w:fldCharType="end"/>
          </w:r>
          <w:r>
            <w:rPr>
              <w:color w:val="auto"/>
            </w:rPr>
            <w:fldChar w:fldCharType="end"/>
          </w:r>
        </w:p>
        <w:p w14:paraId="6C513FC4">
          <w:pPr>
            <w:pStyle w:val="14"/>
            <w:tabs>
              <w:tab w:val="right" w:leader="dot" w:pos="8844"/>
            </w:tabs>
            <w:rPr>
              <w:color w:val="auto"/>
            </w:rPr>
          </w:pPr>
          <w:r>
            <w:rPr>
              <w:color w:val="auto"/>
            </w:rPr>
            <w:fldChar w:fldCharType="begin"/>
          </w:r>
          <w:r>
            <w:rPr>
              <w:color w:val="auto"/>
            </w:rPr>
            <w:instrText xml:space="preserve"> HYPERLINK \l _Toc3250 </w:instrText>
          </w:r>
          <w:r>
            <w:rPr>
              <w:color w:val="auto"/>
            </w:rPr>
            <w:fldChar w:fldCharType="separate"/>
          </w:r>
          <w:r>
            <w:rPr>
              <w:rFonts w:hint="eastAsia"/>
              <w:color w:val="auto"/>
              <w:lang w:val="en-US" w:eastAsia="zh-CN"/>
            </w:rPr>
            <w:t>附件十八：福建省生态环境分区管控综合查询报告</w:t>
          </w:r>
          <w:r>
            <w:rPr>
              <w:color w:val="auto"/>
            </w:rPr>
            <w:tab/>
          </w:r>
          <w:r>
            <w:rPr>
              <w:color w:val="auto"/>
            </w:rPr>
            <w:fldChar w:fldCharType="begin"/>
          </w:r>
          <w:r>
            <w:rPr>
              <w:color w:val="auto"/>
            </w:rPr>
            <w:instrText xml:space="preserve"> PAGEREF _Toc3250 \h </w:instrText>
          </w:r>
          <w:r>
            <w:rPr>
              <w:color w:val="auto"/>
            </w:rPr>
            <w:fldChar w:fldCharType="separate"/>
          </w:r>
          <w:r>
            <w:rPr>
              <w:color w:val="auto"/>
            </w:rPr>
            <w:t>162</w:t>
          </w:r>
          <w:r>
            <w:rPr>
              <w:color w:val="auto"/>
            </w:rPr>
            <w:fldChar w:fldCharType="end"/>
          </w:r>
          <w:r>
            <w:rPr>
              <w:color w:val="auto"/>
            </w:rPr>
            <w:fldChar w:fldCharType="end"/>
          </w:r>
        </w:p>
        <w:p w14:paraId="32041C70">
          <w:pPr>
            <w:pStyle w:val="14"/>
            <w:tabs>
              <w:tab w:val="right" w:leader="dot" w:pos="8844"/>
            </w:tabs>
            <w:rPr>
              <w:color w:val="auto"/>
            </w:rPr>
          </w:pPr>
          <w:r>
            <w:rPr>
              <w:color w:val="auto"/>
            </w:rPr>
            <w:fldChar w:fldCharType="begin"/>
          </w:r>
          <w:r>
            <w:rPr>
              <w:color w:val="auto"/>
            </w:rPr>
            <w:instrText xml:space="preserve"> HYPERLINK \l _Toc24039 </w:instrText>
          </w:r>
          <w:r>
            <w:rPr>
              <w:color w:val="auto"/>
            </w:rPr>
            <w:fldChar w:fldCharType="separate"/>
          </w:r>
          <w:r>
            <w:rPr>
              <w:rFonts w:hint="eastAsia" w:ascii="宋体" w:hAnsi="宋体" w:eastAsia="宋体" w:cs="宋体"/>
              <w:bCs/>
              <w:color w:val="auto"/>
              <w:spacing w:val="-6"/>
              <w:kern w:val="0"/>
              <w:szCs w:val="28"/>
              <w:lang w:val="en-US" w:eastAsia="zh-CN" w:bidi="ar-SA"/>
            </w:rPr>
            <w:t>附件</w:t>
          </w:r>
          <w:r>
            <w:rPr>
              <w:rFonts w:hint="eastAsia" w:ascii="宋体" w:hAnsi="宋体" w:cs="宋体"/>
              <w:bCs/>
              <w:color w:val="auto"/>
              <w:spacing w:val="-6"/>
              <w:kern w:val="0"/>
              <w:szCs w:val="28"/>
              <w:lang w:val="en-US" w:eastAsia="zh-CN" w:bidi="ar-SA"/>
            </w:rPr>
            <w:t>十九</w:t>
          </w:r>
          <w:r>
            <w:rPr>
              <w:rFonts w:hint="eastAsia" w:ascii="宋体" w:hAnsi="宋体" w:eastAsia="宋体" w:cs="宋体"/>
              <w:bCs/>
              <w:color w:val="auto"/>
              <w:spacing w:val="-6"/>
              <w:kern w:val="0"/>
              <w:szCs w:val="28"/>
              <w:lang w:val="en-US" w:eastAsia="zh-CN" w:bidi="ar-SA"/>
            </w:rPr>
            <w:t>：纯水制备技术方案及主要参数</w:t>
          </w:r>
          <w:r>
            <w:rPr>
              <w:color w:val="auto"/>
            </w:rPr>
            <w:tab/>
          </w:r>
          <w:r>
            <w:rPr>
              <w:color w:val="auto"/>
            </w:rPr>
            <w:fldChar w:fldCharType="begin"/>
          </w:r>
          <w:r>
            <w:rPr>
              <w:color w:val="auto"/>
            </w:rPr>
            <w:instrText xml:space="preserve"> PAGEREF _Toc24039 \h </w:instrText>
          </w:r>
          <w:r>
            <w:rPr>
              <w:color w:val="auto"/>
            </w:rPr>
            <w:fldChar w:fldCharType="separate"/>
          </w:r>
          <w:r>
            <w:rPr>
              <w:color w:val="auto"/>
            </w:rPr>
            <w:t>168</w:t>
          </w:r>
          <w:r>
            <w:rPr>
              <w:color w:val="auto"/>
            </w:rPr>
            <w:fldChar w:fldCharType="end"/>
          </w:r>
          <w:r>
            <w:rPr>
              <w:color w:val="auto"/>
            </w:rPr>
            <w:fldChar w:fldCharType="end"/>
          </w:r>
        </w:p>
        <w:p w14:paraId="478D78FB">
          <w:pPr>
            <w:pStyle w:val="14"/>
            <w:tabs>
              <w:tab w:val="right" w:leader="dot" w:pos="8844"/>
            </w:tabs>
            <w:rPr>
              <w:rFonts w:hint="default" w:eastAsia="宋体"/>
              <w:color w:val="auto"/>
              <w:lang w:val="en-US" w:eastAsia="zh-CN"/>
            </w:rPr>
          </w:pPr>
          <w:r>
            <w:rPr>
              <w:rFonts w:hint="eastAsia"/>
              <w:color w:val="auto"/>
              <w:lang w:val="en-US" w:eastAsia="zh-CN"/>
            </w:rPr>
            <w:t>附件二十：</w:t>
          </w:r>
          <w:r>
            <w:rPr>
              <w:rFonts w:hint="eastAsia"/>
              <w:color w:val="auto"/>
              <w:highlight w:val="none"/>
              <w:lang w:val="en-US" w:eastAsia="zh-CN"/>
            </w:rPr>
            <w:t>参考同行业的检测报告</w:t>
          </w:r>
          <w:r>
            <w:rPr>
              <w:color w:val="auto"/>
            </w:rPr>
            <w:tab/>
          </w:r>
          <w:r>
            <w:rPr>
              <w:rFonts w:hint="eastAsia"/>
              <w:color w:val="auto"/>
              <w:lang w:val="en-US" w:eastAsia="zh-CN"/>
            </w:rPr>
            <w:t>165</w:t>
          </w:r>
        </w:p>
        <w:p w14:paraId="73951FBA">
          <w:pPr>
            <w:pStyle w:val="14"/>
            <w:tabs>
              <w:tab w:val="right" w:leader="dot" w:pos="8844"/>
            </w:tabs>
            <w:rPr>
              <w:rFonts w:hint="default" w:eastAsia="宋体"/>
              <w:color w:val="auto"/>
              <w:lang w:val="en-US" w:eastAsia="zh-CN"/>
            </w:rPr>
          </w:pPr>
          <w:r>
            <w:rPr>
              <w:color w:val="auto"/>
            </w:rPr>
            <w:fldChar w:fldCharType="begin"/>
          </w:r>
          <w:r>
            <w:rPr>
              <w:color w:val="auto"/>
            </w:rPr>
            <w:instrText xml:space="preserve"> HYPERLINK \l _Toc23549 </w:instrText>
          </w:r>
          <w:r>
            <w:rPr>
              <w:color w:val="auto"/>
            </w:rPr>
            <w:fldChar w:fldCharType="separate"/>
          </w:r>
          <w:r>
            <w:rPr>
              <w:rFonts w:hint="eastAsia" w:ascii="宋体" w:hAnsi="宋体" w:eastAsia="宋体" w:cs="宋体"/>
              <w:bCs/>
              <w:color w:val="auto"/>
              <w:spacing w:val="-6"/>
              <w:kern w:val="0"/>
              <w:szCs w:val="28"/>
              <w:lang w:val="en-US" w:eastAsia="zh-CN" w:bidi="ar-SA"/>
            </w:rPr>
            <w:t>附件二十</w:t>
          </w:r>
          <w:r>
            <w:rPr>
              <w:rFonts w:hint="eastAsia" w:ascii="宋体" w:hAnsi="宋体" w:cs="宋体"/>
              <w:bCs/>
              <w:color w:val="auto"/>
              <w:spacing w:val="-6"/>
              <w:kern w:val="0"/>
              <w:szCs w:val="28"/>
              <w:lang w:val="en-US" w:eastAsia="zh-CN" w:bidi="ar-SA"/>
            </w:rPr>
            <w:t>一</w:t>
          </w:r>
          <w:r>
            <w:rPr>
              <w:rFonts w:hint="eastAsia" w:ascii="宋体" w:hAnsi="宋体" w:eastAsia="宋体" w:cs="宋体"/>
              <w:bCs/>
              <w:color w:val="auto"/>
              <w:spacing w:val="-6"/>
              <w:kern w:val="0"/>
              <w:szCs w:val="28"/>
              <w:lang w:val="en-US" w:eastAsia="zh-CN" w:bidi="ar-SA"/>
            </w:rPr>
            <w:t>：专家评审意见</w:t>
          </w:r>
          <w:r>
            <w:rPr>
              <w:color w:val="auto"/>
            </w:rPr>
            <w:tab/>
          </w:r>
          <w:r>
            <w:rPr>
              <w:rFonts w:hint="eastAsia"/>
              <w:color w:val="auto"/>
              <w:lang w:val="en-US" w:eastAsia="zh-CN"/>
            </w:rPr>
            <w:t>1</w:t>
          </w:r>
          <w:r>
            <w:rPr>
              <w:color w:val="auto"/>
            </w:rPr>
            <w:fldChar w:fldCharType="end"/>
          </w:r>
          <w:r>
            <w:rPr>
              <w:rFonts w:hint="eastAsia"/>
              <w:color w:val="auto"/>
              <w:lang w:val="en-US" w:eastAsia="zh-CN"/>
            </w:rPr>
            <w:t>71</w:t>
          </w:r>
        </w:p>
        <w:p w14:paraId="441F14B0">
          <w:pPr>
            <w:rPr>
              <w:rFonts w:hint="eastAsia" w:ascii="Times New Roman" w:hAnsi="Times New Roman"/>
              <w:color w:val="auto"/>
            </w:rPr>
            <w:sectPr>
              <w:headerReference r:id="rId3" w:type="default"/>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r>
            <w:rPr>
              <w:color w:val="auto"/>
            </w:rPr>
            <w:fldChar w:fldCharType="end"/>
          </w:r>
        </w:p>
      </w:sdtContent>
    </w:sdt>
    <w:p w14:paraId="1EE2120B">
      <w:pPr>
        <w:pStyle w:val="6"/>
        <w:bidi w:val="0"/>
        <w:rPr>
          <w:rFonts w:hint="eastAsia" w:ascii="Times New Roman" w:hAnsi="Times New Roman"/>
          <w:color w:val="auto"/>
        </w:rPr>
      </w:pPr>
      <w:bookmarkStart w:id="136" w:name="_GoBack"/>
      <w:bookmarkEnd w:id="136"/>
      <w:r>
        <w:rPr>
          <w:rFonts w:hint="eastAsia" w:ascii="Times New Roman" w:hAnsi="Times New Roman"/>
          <w:color w:val="auto"/>
        </w:rPr>
        <w:t>一、建设项目基本情况</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983"/>
        <w:gridCol w:w="2612"/>
        <w:gridCol w:w="2508"/>
        <w:gridCol w:w="2767"/>
      </w:tblGrid>
      <w:tr w14:paraId="052BBF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83" w:type="dxa"/>
            <w:noWrap w:val="0"/>
            <w:tcMar>
              <w:top w:w="16" w:type="dxa"/>
              <w:left w:w="16" w:type="dxa"/>
              <w:right w:w="16" w:type="dxa"/>
            </w:tcMar>
            <w:vAlign w:val="center"/>
          </w:tcPr>
          <w:p w14:paraId="1F095E37">
            <w:pPr>
              <w:adjustRightInd w:val="0"/>
              <w:snapToGrid w:val="0"/>
              <w:jc w:val="center"/>
              <w:rPr>
                <w:rFonts w:ascii="Times New Roman" w:hAnsi="Times New Roman" w:cs="宋体"/>
                <w:color w:val="auto"/>
                <w:szCs w:val="21"/>
              </w:rPr>
            </w:pPr>
            <w:r>
              <w:rPr>
                <w:rFonts w:hint="eastAsia" w:ascii="Times New Roman" w:hAnsi="Times New Roman" w:cs="宋体"/>
                <w:color w:val="auto"/>
                <w:szCs w:val="21"/>
              </w:rPr>
              <w:t>建设项目名称</w:t>
            </w:r>
          </w:p>
        </w:tc>
        <w:tc>
          <w:tcPr>
            <w:tcW w:w="7887" w:type="dxa"/>
            <w:gridSpan w:val="3"/>
            <w:noWrap w:val="0"/>
            <w:vAlign w:val="center"/>
          </w:tcPr>
          <w:p w14:paraId="4CCE4460">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lang w:eastAsia="zh-CN"/>
              </w:rPr>
            </w:pPr>
            <w:r>
              <w:rPr>
                <w:rFonts w:hint="eastAsia" w:ascii="Times New Roman" w:hAnsi="Times New Roman"/>
                <w:color w:val="auto"/>
                <w:lang w:eastAsia="zh-CN"/>
              </w:rPr>
              <w:t>创宇光电年产200万片光学元器件项目</w:t>
            </w:r>
          </w:p>
        </w:tc>
      </w:tr>
      <w:tr w14:paraId="631AEC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83" w:type="dxa"/>
            <w:noWrap w:val="0"/>
            <w:tcMar>
              <w:top w:w="16" w:type="dxa"/>
              <w:left w:w="16" w:type="dxa"/>
              <w:right w:w="16" w:type="dxa"/>
            </w:tcMar>
            <w:vAlign w:val="center"/>
          </w:tcPr>
          <w:p w14:paraId="36B09603">
            <w:pPr>
              <w:adjustRightInd w:val="0"/>
              <w:snapToGrid w:val="0"/>
              <w:jc w:val="center"/>
              <w:rPr>
                <w:rFonts w:ascii="Times New Roman" w:hAnsi="Times New Roman" w:cs="宋体"/>
                <w:color w:val="auto"/>
                <w:szCs w:val="21"/>
              </w:rPr>
            </w:pPr>
            <w:r>
              <w:rPr>
                <w:rFonts w:hint="eastAsia" w:ascii="Times New Roman" w:hAnsi="Times New Roman" w:cs="宋体"/>
                <w:color w:val="auto"/>
                <w:szCs w:val="21"/>
              </w:rPr>
              <w:t>项目代码</w:t>
            </w:r>
          </w:p>
        </w:tc>
        <w:tc>
          <w:tcPr>
            <w:tcW w:w="7887" w:type="dxa"/>
            <w:gridSpan w:val="3"/>
            <w:noWrap w:val="0"/>
            <w:vAlign w:val="center"/>
          </w:tcPr>
          <w:p w14:paraId="4BD8C1E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default" w:ascii="Times New Roman" w:hAnsi="Times New Roman"/>
                <w:color w:val="auto"/>
                <w:lang w:val="en-US" w:eastAsia="zh-CN"/>
              </w:rPr>
              <w:t>2605-350121-04-01-679649</w:t>
            </w:r>
          </w:p>
        </w:tc>
      </w:tr>
      <w:tr w14:paraId="734E37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83" w:type="dxa"/>
            <w:noWrap w:val="0"/>
            <w:tcMar>
              <w:top w:w="16" w:type="dxa"/>
              <w:left w:w="16" w:type="dxa"/>
              <w:right w:w="16" w:type="dxa"/>
            </w:tcMar>
            <w:vAlign w:val="center"/>
          </w:tcPr>
          <w:p w14:paraId="14084413">
            <w:pPr>
              <w:adjustRightInd w:val="0"/>
              <w:snapToGrid w:val="0"/>
              <w:jc w:val="center"/>
              <w:rPr>
                <w:rFonts w:hint="eastAsia" w:ascii="Times New Roman" w:hAnsi="Times New Roman" w:cs="宋体"/>
                <w:color w:val="auto"/>
                <w:szCs w:val="21"/>
              </w:rPr>
            </w:pPr>
            <w:r>
              <w:rPr>
                <w:rFonts w:hint="eastAsia" w:ascii="Times New Roman" w:hAnsi="Times New Roman" w:cs="宋体"/>
                <w:color w:val="auto"/>
                <w:szCs w:val="21"/>
              </w:rPr>
              <w:t>建设单位联系人</w:t>
            </w:r>
          </w:p>
        </w:tc>
        <w:tc>
          <w:tcPr>
            <w:tcW w:w="2612" w:type="dxa"/>
            <w:noWrap w:val="0"/>
            <w:vAlign w:val="center"/>
          </w:tcPr>
          <w:p w14:paraId="4D3DA80A">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eastAsia"/>
                <w:color w:val="auto"/>
                <w:lang w:val="en-US" w:eastAsia="zh-CN"/>
              </w:rPr>
              <w:t>*</w:t>
            </w:r>
          </w:p>
        </w:tc>
        <w:tc>
          <w:tcPr>
            <w:tcW w:w="2508" w:type="dxa"/>
            <w:noWrap w:val="0"/>
            <w:vAlign w:val="center"/>
          </w:tcPr>
          <w:p w14:paraId="7AEC6A69">
            <w:pPr>
              <w:pStyle w:val="30"/>
              <w:bidi w:val="0"/>
              <w:rPr>
                <w:rFonts w:ascii="Times New Roman" w:hAnsi="Times New Roman"/>
                <w:color w:val="auto"/>
              </w:rPr>
            </w:pPr>
            <w:r>
              <w:rPr>
                <w:rFonts w:hint="eastAsia" w:ascii="Times New Roman" w:hAnsi="Times New Roman"/>
                <w:color w:val="auto"/>
              </w:rPr>
              <w:t>联系方式</w:t>
            </w:r>
          </w:p>
        </w:tc>
        <w:tc>
          <w:tcPr>
            <w:tcW w:w="2767" w:type="dxa"/>
            <w:noWrap w:val="0"/>
            <w:vAlign w:val="center"/>
          </w:tcPr>
          <w:p w14:paraId="18905037">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eastAsia"/>
                <w:color w:val="auto"/>
                <w:lang w:val="en-US" w:eastAsia="zh-CN"/>
              </w:rPr>
              <w:t>*</w:t>
            </w:r>
          </w:p>
        </w:tc>
      </w:tr>
      <w:tr w14:paraId="5C689D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83" w:type="dxa"/>
            <w:noWrap w:val="0"/>
            <w:tcMar>
              <w:top w:w="16" w:type="dxa"/>
              <w:left w:w="16" w:type="dxa"/>
              <w:right w:w="16" w:type="dxa"/>
            </w:tcMar>
            <w:vAlign w:val="center"/>
          </w:tcPr>
          <w:p w14:paraId="338A9AD2">
            <w:pPr>
              <w:adjustRightInd w:val="0"/>
              <w:snapToGrid w:val="0"/>
              <w:jc w:val="center"/>
              <w:rPr>
                <w:rFonts w:ascii="Times New Roman" w:hAnsi="Times New Roman" w:cs="宋体"/>
                <w:color w:val="auto"/>
                <w:szCs w:val="21"/>
              </w:rPr>
            </w:pPr>
            <w:r>
              <w:rPr>
                <w:rFonts w:hint="eastAsia" w:ascii="Times New Roman" w:hAnsi="Times New Roman" w:cs="宋体"/>
                <w:color w:val="auto"/>
                <w:szCs w:val="21"/>
              </w:rPr>
              <w:t>建设地点</w:t>
            </w:r>
          </w:p>
        </w:tc>
        <w:tc>
          <w:tcPr>
            <w:tcW w:w="7887" w:type="dxa"/>
            <w:gridSpan w:val="3"/>
            <w:noWrap w:val="0"/>
            <w:vAlign w:val="center"/>
          </w:tcPr>
          <w:p w14:paraId="60ED404C">
            <w:pPr>
              <w:pStyle w:val="17"/>
              <w:keepNext w:val="0"/>
              <w:keepLines w:val="0"/>
              <w:widowControl/>
              <w:suppressLineNumbers w:val="0"/>
              <w:jc w:val="center"/>
              <w:rPr>
                <w:rFonts w:hint="default" w:ascii="Times New Roman" w:hAnsi="Times New Roman"/>
                <w:color w:val="auto"/>
                <w:lang w:val="en-US" w:eastAsia="zh-CN"/>
              </w:rPr>
            </w:pPr>
            <w:r>
              <w:rPr>
                <w:rFonts w:hint="eastAsia" w:ascii="Times New Roman" w:hAnsi="Times New Roman" w:eastAsia="宋体" w:cs="Times New Roman"/>
                <w:color w:val="auto"/>
                <w:kern w:val="0"/>
                <w:sz w:val="21"/>
                <w:szCs w:val="20"/>
                <w:lang w:val="en-US" w:eastAsia="zh-CN" w:bidi="ar-SA"/>
              </w:rPr>
              <w:t>福建省福州市闽侯县上街镇马保村后园32号</w:t>
            </w:r>
            <w:r>
              <w:rPr>
                <w:rFonts w:hint="eastAsia" w:ascii="Times New Roman" w:hAnsi="Times New Roman" w:cs="Times New Roman"/>
                <w:color w:val="auto"/>
                <w:kern w:val="0"/>
                <w:sz w:val="21"/>
                <w:szCs w:val="20"/>
                <w:lang w:val="en-US" w:eastAsia="zh-CN" w:bidi="ar-SA"/>
              </w:rPr>
              <w:t>2号楼1层（租赁福州鑫美榕纸业有限公司闲置厂房）</w:t>
            </w:r>
          </w:p>
        </w:tc>
      </w:tr>
      <w:tr w14:paraId="470D34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83" w:type="dxa"/>
            <w:noWrap w:val="0"/>
            <w:tcMar>
              <w:top w:w="16" w:type="dxa"/>
              <w:left w:w="16" w:type="dxa"/>
              <w:right w:w="16" w:type="dxa"/>
            </w:tcMar>
            <w:vAlign w:val="center"/>
          </w:tcPr>
          <w:p w14:paraId="419852E3">
            <w:pPr>
              <w:adjustRightInd w:val="0"/>
              <w:snapToGrid w:val="0"/>
              <w:jc w:val="center"/>
              <w:rPr>
                <w:rFonts w:ascii="Times New Roman" w:hAnsi="Times New Roman" w:cs="宋体"/>
                <w:color w:val="auto"/>
                <w:szCs w:val="21"/>
              </w:rPr>
            </w:pPr>
            <w:r>
              <w:rPr>
                <w:rFonts w:hint="eastAsia" w:ascii="Times New Roman" w:hAnsi="Times New Roman" w:cs="宋体"/>
                <w:color w:val="auto"/>
                <w:szCs w:val="21"/>
              </w:rPr>
              <w:t>地理坐标</w:t>
            </w:r>
          </w:p>
        </w:tc>
        <w:tc>
          <w:tcPr>
            <w:tcW w:w="7887" w:type="dxa"/>
            <w:gridSpan w:val="3"/>
            <w:noWrap w:val="0"/>
            <w:vAlign w:val="center"/>
          </w:tcPr>
          <w:p w14:paraId="587793B8">
            <w:pPr>
              <w:pStyle w:val="30"/>
              <w:bidi w:val="0"/>
              <w:rPr>
                <w:rFonts w:hint="eastAsia" w:ascii="Times New Roman" w:hAnsi="Times New Roman"/>
                <w:color w:val="auto"/>
              </w:rPr>
            </w:pPr>
            <w:r>
              <w:rPr>
                <w:rFonts w:hint="eastAsia" w:ascii="Times New Roman" w:hAnsi="Times New Roman"/>
                <w:color w:val="auto"/>
                <w:lang w:val="en-US" w:eastAsia="zh-CN"/>
              </w:rPr>
              <w:t>（119度12分2</w:t>
            </w:r>
            <w:r>
              <w:rPr>
                <w:rFonts w:hint="eastAsia"/>
                <w:color w:val="auto"/>
                <w:lang w:val="en-US" w:eastAsia="zh-CN"/>
              </w:rPr>
              <w:t>1.2</w:t>
            </w:r>
            <w:r>
              <w:rPr>
                <w:rFonts w:hint="eastAsia" w:ascii="Times New Roman" w:hAnsi="Times New Roman"/>
                <w:color w:val="auto"/>
                <w:lang w:val="en-US" w:eastAsia="zh-CN"/>
              </w:rPr>
              <w:t>44秒</w:t>
            </w:r>
            <w:r>
              <w:rPr>
                <w:rFonts w:hint="eastAsia"/>
                <w:color w:val="auto"/>
                <w:lang w:val="en-US" w:eastAsia="zh-CN"/>
              </w:rPr>
              <w:t>，</w:t>
            </w:r>
            <w:r>
              <w:rPr>
                <w:rFonts w:hint="eastAsia" w:ascii="Times New Roman" w:hAnsi="Times New Roman"/>
                <w:color w:val="auto"/>
                <w:lang w:val="en-US" w:eastAsia="zh-CN"/>
              </w:rPr>
              <w:t>26度00分47.793秒）</w:t>
            </w:r>
          </w:p>
        </w:tc>
      </w:tr>
      <w:tr w14:paraId="22201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983" w:type="dxa"/>
            <w:noWrap w:val="0"/>
            <w:tcMar>
              <w:top w:w="16" w:type="dxa"/>
              <w:left w:w="16" w:type="dxa"/>
              <w:right w:w="16" w:type="dxa"/>
            </w:tcMar>
            <w:vAlign w:val="center"/>
          </w:tcPr>
          <w:p w14:paraId="68084A21">
            <w:pPr>
              <w:adjustRightInd w:val="0"/>
              <w:snapToGrid w:val="0"/>
              <w:jc w:val="center"/>
              <w:rPr>
                <w:rFonts w:hint="eastAsia" w:ascii="Times New Roman" w:hAnsi="Times New Roman" w:cs="宋体"/>
                <w:color w:val="auto"/>
                <w:szCs w:val="21"/>
              </w:rPr>
            </w:pPr>
            <w:r>
              <w:rPr>
                <w:rFonts w:hint="eastAsia" w:ascii="Times New Roman" w:hAnsi="Times New Roman" w:cs="宋体"/>
                <w:color w:val="auto"/>
                <w:szCs w:val="21"/>
              </w:rPr>
              <w:t>国民经济</w:t>
            </w:r>
          </w:p>
          <w:p w14:paraId="1B1D2B7B">
            <w:pPr>
              <w:adjustRightInd w:val="0"/>
              <w:snapToGrid w:val="0"/>
              <w:jc w:val="center"/>
              <w:rPr>
                <w:rFonts w:ascii="Times New Roman" w:hAnsi="Times New Roman" w:cs="宋体"/>
                <w:color w:val="auto"/>
                <w:szCs w:val="21"/>
              </w:rPr>
            </w:pPr>
            <w:r>
              <w:rPr>
                <w:rFonts w:hint="eastAsia" w:ascii="Times New Roman" w:hAnsi="Times New Roman" w:cs="宋体"/>
                <w:color w:val="auto"/>
                <w:szCs w:val="21"/>
              </w:rPr>
              <w:t>行业类别</w:t>
            </w:r>
          </w:p>
        </w:tc>
        <w:tc>
          <w:tcPr>
            <w:tcW w:w="2612" w:type="dxa"/>
            <w:noWrap w:val="0"/>
            <w:vAlign w:val="center"/>
          </w:tcPr>
          <w:p w14:paraId="4C6B691A">
            <w:pPr>
              <w:pStyle w:val="30"/>
              <w:bidi w:val="0"/>
              <w:rPr>
                <w:rFonts w:hint="default" w:ascii="Times New Roman" w:hAnsi="Times New Roman"/>
                <w:color w:val="auto"/>
                <w:lang w:val="en-US" w:eastAsia="zh-CN"/>
              </w:rPr>
            </w:pPr>
            <w:r>
              <w:rPr>
                <w:rFonts w:hint="default" w:ascii="Times New Roman" w:hAnsi="Times New Roman"/>
                <w:color w:val="auto"/>
                <w:lang w:val="en-US" w:eastAsia="zh-CN"/>
              </w:rPr>
              <w:t>C4040光学仪器制造</w:t>
            </w:r>
          </w:p>
        </w:tc>
        <w:tc>
          <w:tcPr>
            <w:tcW w:w="2508" w:type="dxa"/>
            <w:noWrap w:val="0"/>
            <w:vAlign w:val="center"/>
          </w:tcPr>
          <w:p w14:paraId="0E4B58A6">
            <w:pPr>
              <w:pStyle w:val="30"/>
              <w:bidi w:val="0"/>
              <w:rPr>
                <w:rFonts w:ascii="Times New Roman" w:hAnsi="Times New Roman"/>
                <w:color w:val="auto"/>
              </w:rPr>
            </w:pPr>
            <w:bookmarkStart w:id="7" w:name="_Hlk49843745"/>
            <w:r>
              <w:rPr>
                <w:rFonts w:hint="eastAsia" w:ascii="Times New Roman" w:hAnsi="Times New Roman"/>
                <w:color w:val="auto"/>
              </w:rPr>
              <w:t>建设项目</w:t>
            </w:r>
          </w:p>
          <w:p w14:paraId="0F235A10">
            <w:pPr>
              <w:pStyle w:val="30"/>
              <w:bidi w:val="0"/>
              <w:rPr>
                <w:rFonts w:ascii="Times New Roman" w:hAnsi="Times New Roman"/>
                <w:color w:val="auto"/>
              </w:rPr>
            </w:pPr>
            <w:r>
              <w:rPr>
                <w:rFonts w:hint="eastAsia" w:ascii="Times New Roman" w:hAnsi="Times New Roman"/>
                <w:color w:val="auto"/>
              </w:rPr>
              <w:t>行业类别</w:t>
            </w:r>
            <w:bookmarkEnd w:id="7"/>
          </w:p>
        </w:tc>
        <w:tc>
          <w:tcPr>
            <w:tcW w:w="2767" w:type="dxa"/>
            <w:noWrap w:val="0"/>
            <w:vAlign w:val="center"/>
          </w:tcPr>
          <w:p w14:paraId="11210703">
            <w:pPr>
              <w:pStyle w:val="30"/>
              <w:bidi w:val="0"/>
              <w:rPr>
                <w:rFonts w:hint="default" w:ascii="Times New Roman" w:hAnsi="Times New Roman"/>
                <w:color w:val="auto"/>
                <w:lang w:eastAsia="zh-CN"/>
              </w:rPr>
            </w:pPr>
            <w:r>
              <w:rPr>
                <w:rFonts w:hint="default" w:ascii="Times New Roman" w:hAnsi="Times New Roman"/>
                <w:color w:val="auto"/>
                <w:lang w:val="en-US" w:eastAsia="zh-CN"/>
              </w:rPr>
              <w:t>三十七、仪器仪表制造业40光学仪器制造404</w:t>
            </w:r>
          </w:p>
        </w:tc>
      </w:tr>
      <w:tr w14:paraId="25A9B7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983" w:type="dxa"/>
            <w:noWrap w:val="0"/>
            <w:tcMar>
              <w:top w:w="16" w:type="dxa"/>
              <w:left w:w="16" w:type="dxa"/>
              <w:right w:w="16" w:type="dxa"/>
            </w:tcMar>
            <w:vAlign w:val="center"/>
          </w:tcPr>
          <w:p w14:paraId="245BA08A">
            <w:pPr>
              <w:pStyle w:val="30"/>
              <w:bidi w:val="0"/>
              <w:rPr>
                <w:rFonts w:ascii="Times New Roman" w:hAnsi="Times New Roman"/>
                <w:color w:val="auto"/>
              </w:rPr>
            </w:pPr>
            <w:r>
              <w:rPr>
                <w:rFonts w:hint="eastAsia" w:ascii="Times New Roman" w:hAnsi="Times New Roman"/>
                <w:color w:val="auto"/>
              </w:rPr>
              <w:t>建设性质</w:t>
            </w:r>
          </w:p>
        </w:tc>
        <w:tc>
          <w:tcPr>
            <w:tcW w:w="2612" w:type="dxa"/>
            <w:noWrap w:val="0"/>
            <w:vAlign w:val="center"/>
          </w:tcPr>
          <w:p w14:paraId="3D95C62E">
            <w:pPr>
              <w:jc w:val="left"/>
              <w:rPr>
                <w:rFonts w:ascii="Times New Roman" w:hAnsi="Times New Roman" w:cs="宋体"/>
                <w:color w:val="auto"/>
                <w:szCs w:val="21"/>
              </w:rPr>
            </w:pPr>
            <w:r>
              <w:rPr>
                <w:rFonts w:hint="eastAsia" w:ascii="Times New Roman" w:hAnsi="Times New Roman" w:cs="宋体"/>
                <w:color w:val="auto"/>
                <w:szCs w:val="21"/>
                <w:lang w:eastAsia="zh-CN"/>
              </w:rPr>
              <w:t>☑</w:t>
            </w:r>
            <w:r>
              <w:rPr>
                <w:rFonts w:hint="eastAsia" w:ascii="Times New Roman" w:hAnsi="Times New Roman" w:cs="宋体"/>
                <w:color w:val="auto"/>
                <w:szCs w:val="21"/>
              </w:rPr>
              <w:t>新建（</w:t>
            </w:r>
            <w:r>
              <w:rPr>
                <w:rFonts w:hint="eastAsia" w:ascii="Times New Roman" w:hAnsi="Times New Roman" w:cs="宋体"/>
                <w:color w:val="auto"/>
                <w:szCs w:val="21"/>
                <w:lang w:val="en-US" w:eastAsia="zh-CN"/>
              </w:rPr>
              <w:t>迁</w:t>
            </w:r>
            <w:r>
              <w:rPr>
                <w:rFonts w:hint="eastAsia" w:ascii="Times New Roman" w:hAnsi="Times New Roman" w:cs="宋体"/>
                <w:color w:val="auto"/>
                <w:szCs w:val="21"/>
                <w:lang w:eastAsia="zh-CN"/>
              </w:rPr>
              <w:t>建</w:t>
            </w:r>
            <w:r>
              <w:rPr>
                <w:rFonts w:hint="eastAsia" w:ascii="Times New Roman" w:hAnsi="Times New Roman" w:cs="宋体"/>
                <w:color w:val="auto"/>
                <w:szCs w:val="21"/>
              </w:rPr>
              <w:t>）</w:t>
            </w:r>
          </w:p>
          <w:p w14:paraId="49BA8CA7">
            <w:pPr>
              <w:jc w:val="left"/>
              <w:rPr>
                <w:rFonts w:hint="eastAsia" w:ascii="Times New Roman" w:hAnsi="Times New Roman" w:cs="宋体"/>
                <w:color w:val="auto"/>
                <w:szCs w:val="21"/>
              </w:rPr>
            </w:pPr>
            <w:r>
              <w:rPr>
                <w:rFonts w:hint="eastAsia" w:ascii="Times New Roman" w:hAnsi="Times New Roman" w:cs="宋体"/>
                <w:color w:val="auto"/>
                <w:szCs w:val="21"/>
                <w:lang w:eastAsia="zh-CN"/>
              </w:rPr>
              <w:t>□</w:t>
            </w:r>
            <w:r>
              <w:rPr>
                <w:rFonts w:hint="eastAsia" w:ascii="Times New Roman" w:hAnsi="Times New Roman" w:cs="宋体"/>
                <w:color w:val="auto"/>
                <w:szCs w:val="21"/>
              </w:rPr>
              <w:t>改建</w:t>
            </w:r>
          </w:p>
          <w:p w14:paraId="28536173">
            <w:pPr>
              <w:jc w:val="left"/>
              <w:rPr>
                <w:rFonts w:hint="eastAsia" w:ascii="Times New Roman" w:hAnsi="Times New Roman" w:cs="宋体"/>
                <w:color w:val="auto"/>
                <w:szCs w:val="21"/>
              </w:rPr>
            </w:pPr>
            <w:r>
              <w:rPr>
                <w:rFonts w:hint="eastAsia" w:ascii="Times New Roman" w:hAnsi="Times New Roman" w:cs="宋体"/>
                <w:color w:val="auto"/>
                <w:szCs w:val="21"/>
                <w:lang w:eastAsia="zh-CN"/>
              </w:rPr>
              <w:t>□</w:t>
            </w:r>
            <w:r>
              <w:rPr>
                <w:rFonts w:hint="eastAsia" w:ascii="Times New Roman" w:hAnsi="Times New Roman" w:cs="宋体"/>
                <w:color w:val="auto"/>
                <w:szCs w:val="21"/>
              </w:rPr>
              <w:t>扩建</w:t>
            </w:r>
          </w:p>
          <w:p w14:paraId="5AE06977">
            <w:pPr>
              <w:jc w:val="left"/>
              <w:rPr>
                <w:rFonts w:ascii="Times New Roman" w:hAnsi="Times New Roman" w:cs="宋体"/>
                <w:color w:val="auto"/>
                <w:szCs w:val="21"/>
              </w:rPr>
            </w:pPr>
            <w:r>
              <w:rPr>
                <w:rFonts w:hint="eastAsia" w:ascii="Times New Roman" w:hAnsi="Times New Roman" w:cs="宋体"/>
                <w:color w:val="auto"/>
                <w:szCs w:val="21"/>
                <w:lang w:eastAsia="zh-CN"/>
              </w:rPr>
              <w:t>□</w:t>
            </w:r>
            <w:r>
              <w:rPr>
                <w:rFonts w:hint="eastAsia" w:ascii="Times New Roman" w:hAnsi="Times New Roman" w:cs="宋体"/>
                <w:color w:val="auto"/>
                <w:szCs w:val="21"/>
              </w:rPr>
              <w:t>技术改造</w:t>
            </w:r>
          </w:p>
        </w:tc>
        <w:tc>
          <w:tcPr>
            <w:tcW w:w="2508" w:type="dxa"/>
            <w:noWrap w:val="0"/>
            <w:vAlign w:val="center"/>
          </w:tcPr>
          <w:p w14:paraId="3211AE01">
            <w:pPr>
              <w:pStyle w:val="30"/>
              <w:bidi w:val="0"/>
              <w:rPr>
                <w:rFonts w:hint="eastAsia" w:ascii="Times New Roman" w:hAnsi="Times New Roman"/>
                <w:color w:val="auto"/>
              </w:rPr>
            </w:pPr>
            <w:r>
              <w:rPr>
                <w:rFonts w:hint="eastAsia" w:ascii="Times New Roman" w:hAnsi="Times New Roman"/>
                <w:color w:val="auto"/>
              </w:rPr>
              <w:t>建设项目</w:t>
            </w:r>
          </w:p>
          <w:p w14:paraId="59ABC037">
            <w:pPr>
              <w:pStyle w:val="30"/>
              <w:bidi w:val="0"/>
              <w:rPr>
                <w:rFonts w:ascii="Times New Roman" w:hAnsi="Times New Roman"/>
                <w:color w:val="auto"/>
              </w:rPr>
            </w:pPr>
            <w:r>
              <w:rPr>
                <w:rFonts w:hint="eastAsia" w:ascii="Times New Roman" w:hAnsi="Times New Roman"/>
                <w:color w:val="auto"/>
              </w:rPr>
              <w:t>申报情形</w:t>
            </w:r>
          </w:p>
        </w:tc>
        <w:tc>
          <w:tcPr>
            <w:tcW w:w="2767" w:type="dxa"/>
            <w:noWrap w:val="0"/>
            <w:vAlign w:val="center"/>
          </w:tcPr>
          <w:p w14:paraId="480B6CBD">
            <w:pPr>
              <w:jc w:val="left"/>
              <w:rPr>
                <w:rFonts w:ascii="Times New Roman" w:hAnsi="Times New Roman" w:cs="宋体"/>
                <w:color w:val="auto"/>
                <w:szCs w:val="21"/>
              </w:rPr>
            </w:pPr>
            <w:r>
              <w:rPr>
                <w:rFonts w:hint="eastAsia" w:ascii="Times New Roman" w:hAnsi="Times New Roman" w:cs="宋体"/>
                <w:color w:val="auto"/>
                <w:szCs w:val="21"/>
                <w:lang w:eastAsia="zh-CN"/>
              </w:rPr>
              <w:t>☑</w:t>
            </w:r>
            <w:r>
              <w:rPr>
                <w:rFonts w:hint="eastAsia" w:ascii="Times New Roman" w:hAnsi="Times New Roman" w:cs="宋体"/>
                <w:color w:val="auto"/>
                <w:szCs w:val="21"/>
              </w:rPr>
              <w:t>首次申报项目</w:t>
            </w:r>
            <w:r>
              <w:rPr>
                <w:rFonts w:ascii="Times New Roman" w:hAnsi="Times New Roman" w:cs="宋体"/>
                <w:color w:val="auto"/>
                <w:szCs w:val="21"/>
              </w:rPr>
              <w:t xml:space="preserve">             </w:t>
            </w:r>
          </w:p>
          <w:p w14:paraId="587C01B5">
            <w:pPr>
              <w:jc w:val="left"/>
              <w:rPr>
                <w:rFonts w:ascii="Times New Roman" w:hAnsi="Times New Roman" w:cs="宋体"/>
                <w:color w:val="auto"/>
                <w:szCs w:val="21"/>
              </w:rPr>
            </w:pPr>
            <w:r>
              <w:rPr>
                <w:rFonts w:hint="eastAsia" w:ascii="Times New Roman" w:hAnsi="Times New Roman" w:cs="宋体"/>
                <w:color w:val="auto"/>
                <w:szCs w:val="21"/>
              </w:rPr>
              <w:t>□不予批准后再次申报项目</w:t>
            </w:r>
          </w:p>
          <w:p w14:paraId="256B68FF">
            <w:pPr>
              <w:jc w:val="left"/>
              <w:rPr>
                <w:rFonts w:ascii="Times New Roman" w:hAnsi="Times New Roman" w:cs="宋体"/>
                <w:color w:val="auto"/>
                <w:szCs w:val="21"/>
              </w:rPr>
            </w:pPr>
            <w:r>
              <w:rPr>
                <w:rFonts w:hint="eastAsia" w:ascii="Times New Roman" w:hAnsi="Times New Roman" w:cs="宋体"/>
                <w:color w:val="auto"/>
                <w:szCs w:val="21"/>
              </w:rPr>
              <w:t>□超五年重新审核项目</w:t>
            </w:r>
            <w:r>
              <w:rPr>
                <w:rFonts w:ascii="Times New Roman" w:hAnsi="Times New Roman" w:cs="宋体"/>
                <w:color w:val="auto"/>
                <w:szCs w:val="21"/>
              </w:rPr>
              <w:t xml:space="preserve">     </w:t>
            </w:r>
          </w:p>
          <w:p w14:paraId="679D3129">
            <w:pPr>
              <w:jc w:val="left"/>
              <w:rPr>
                <w:rFonts w:ascii="Times New Roman" w:hAnsi="Times New Roman" w:cs="宋体"/>
                <w:color w:val="auto"/>
                <w:szCs w:val="21"/>
              </w:rPr>
            </w:pPr>
            <w:r>
              <w:rPr>
                <w:rFonts w:hint="eastAsia" w:ascii="Times New Roman" w:hAnsi="Times New Roman" w:cs="宋体"/>
                <w:color w:val="auto"/>
                <w:szCs w:val="21"/>
              </w:rPr>
              <w:t>□重大变动重新报批项目</w:t>
            </w:r>
          </w:p>
        </w:tc>
      </w:tr>
      <w:tr w14:paraId="119331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983" w:type="dxa"/>
            <w:noWrap w:val="0"/>
            <w:tcMar>
              <w:top w:w="16" w:type="dxa"/>
              <w:left w:w="16" w:type="dxa"/>
              <w:right w:w="16" w:type="dxa"/>
            </w:tcMar>
            <w:vAlign w:val="center"/>
          </w:tcPr>
          <w:p w14:paraId="73A2E00A">
            <w:pPr>
              <w:pStyle w:val="30"/>
              <w:bidi w:val="0"/>
              <w:rPr>
                <w:rFonts w:hint="eastAsia" w:ascii="Times New Roman" w:hAnsi="Times New Roman"/>
                <w:color w:val="auto"/>
              </w:rPr>
            </w:pPr>
            <w:r>
              <w:rPr>
                <w:rFonts w:hint="eastAsia" w:ascii="Times New Roman" w:hAnsi="Times New Roman"/>
                <w:color w:val="auto"/>
              </w:rPr>
              <w:t>项目审批（核准</w:t>
            </w:r>
            <w:r>
              <w:rPr>
                <w:rFonts w:ascii="Times New Roman" w:hAnsi="Times New Roman"/>
                <w:color w:val="auto"/>
              </w:rPr>
              <w:t>/</w:t>
            </w:r>
          </w:p>
          <w:p w14:paraId="4B788DF1">
            <w:pPr>
              <w:pStyle w:val="30"/>
              <w:bidi w:val="0"/>
              <w:rPr>
                <w:rFonts w:ascii="Times New Roman" w:hAnsi="Times New Roman"/>
                <w:color w:val="auto"/>
              </w:rPr>
            </w:pPr>
            <w:r>
              <w:rPr>
                <w:rFonts w:hint="eastAsia" w:ascii="Times New Roman" w:hAnsi="Times New Roman"/>
                <w:color w:val="auto"/>
              </w:rPr>
              <w:t>备案）部门（选填）</w:t>
            </w:r>
          </w:p>
        </w:tc>
        <w:tc>
          <w:tcPr>
            <w:tcW w:w="2612" w:type="dxa"/>
            <w:noWrap w:val="0"/>
            <w:vAlign w:val="center"/>
          </w:tcPr>
          <w:p w14:paraId="386D0EC1">
            <w:pPr>
              <w:pStyle w:val="30"/>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闽侯县发展和改革局</w:t>
            </w:r>
          </w:p>
        </w:tc>
        <w:tc>
          <w:tcPr>
            <w:tcW w:w="2508" w:type="dxa"/>
            <w:noWrap w:val="0"/>
            <w:vAlign w:val="center"/>
          </w:tcPr>
          <w:p w14:paraId="1D49DB33">
            <w:pPr>
              <w:pStyle w:val="30"/>
              <w:bidi w:val="0"/>
              <w:rPr>
                <w:rFonts w:hint="eastAsia" w:ascii="Times New Roman" w:hAnsi="Times New Roman"/>
                <w:color w:val="auto"/>
              </w:rPr>
            </w:pPr>
            <w:r>
              <w:rPr>
                <w:rFonts w:hint="eastAsia" w:ascii="Times New Roman" w:hAnsi="Times New Roman"/>
                <w:color w:val="auto"/>
              </w:rPr>
              <w:t>项目审批（核准</w:t>
            </w:r>
            <w:r>
              <w:rPr>
                <w:rFonts w:ascii="Times New Roman" w:hAnsi="Times New Roman"/>
                <w:color w:val="auto"/>
              </w:rPr>
              <w:t>/</w:t>
            </w:r>
          </w:p>
          <w:p w14:paraId="10FBD8A7">
            <w:pPr>
              <w:pStyle w:val="30"/>
              <w:bidi w:val="0"/>
              <w:rPr>
                <w:rFonts w:hint="eastAsia" w:ascii="Times New Roman" w:hAnsi="Times New Roman"/>
                <w:color w:val="auto"/>
              </w:rPr>
            </w:pPr>
            <w:r>
              <w:rPr>
                <w:rFonts w:hint="eastAsia" w:ascii="Times New Roman" w:hAnsi="Times New Roman"/>
                <w:color w:val="auto"/>
              </w:rPr>
              <w:t>备案）文号（选填）</w:t>
            </w:r>
          </w:p>
        </w:tc>
        <w:tc>
          <w:tcPr>
            <w:tcW w:w="2767" w:type="dxa"/>
            <w:noWrap w:val="0"/>
            <w:vAlign w:val="center"/>
          </w:tcPr>
          <w:p w14:paraId="4A69E5C9">
            <w:pPr>
              <w:pStyle w:val="30"/>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闽发改备〔2026〕A080403号</w:t>
            </w:r>
          </w:p>
        </w:tc>
      </w:tr>
      <w:tr w14:paraId="5D6DFB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83" w:type="dxa"/>
            <w:noWrap w:val="0"/>
            <w:tcMar>
              <w:top w:w="16" w:type="dxa"/>
              <w:left w:w="16" w:type="dxa"/>
              <w:right w:w="16" w:type="dxa"/>
            </w:tcMar>
            <w:vAlign w:val="center"/>
          </w:tcPr>
          <w:p w14:paraId="7F27E3E2">
            <w:pPr>
              <w:pStyle w:val="30"/>
              <w:bidi w:val="0"/>
              <w:rPr>
                <w:rFonts w:ascii="Times New Roman" w:hAnsi="Times New Roman"/>
                <w:color w:val="auto"/>
              </w:rPr>
            </w:pPr>
            <w:r>
              <w:rPr>
                <w:rFonts w:hint="eastAsia" w:ascii="Times New Roman" w:hAnsi="Times New Roman"/>
                <w:color w:val="auto"/>
              </w:rPr>
              <w:t>总投资（万元）</w:t>
            </w:r>
          </w:p>
        </w:tc>
        <w:tc>
          <w:tcPr>
            <w:tcW w:w="2612" w:type="dxa"/>
            <w:noWrap w:val="0"/>
            <w:vAlign w:val="center"/>
          </w:tcPr>
          <w:p w14:paraId="715428DC">
            <w:pPr>
              <w:pStyle w:val="30"/>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1000</w:t>
            </w:r>
          </w:p>
        </w:tc>
        <w:tc>
          <w:tcPr>
            <w:tcW w:w="2508" w:type="dxa"/>
            <w:noWrap w:val="0"/>
            <w:tcMar>
              <w:top w:w="16" w:type="dxa"/>
              <w:left w:w="16" w:type="dxa"/>
              <w:right w:w="16" w:type="dxa"/>
            </w:tcMar>
            <w:vAlign w:val="center"/>
          </w:tcPr>
          <w:p w14:paraId="0460A6C4">
            <w:pPr>
              <w:pStyle w:val="30"/>
              <w:bidi w:val="0"/>
              <w:rPr>
                <w:rFonts w:ascii="Times New Roman" w:hAnsi="Times New Roman"/>
                <w:color w:val="auto"/>
              </w:rPr>
            </w:pPr>
            <w:r>
              <w:rPr>
                <w:rFonts w:hint="eastAsia" w:ascii="Times New Roman" w:hAnsi="Times New Roman"/>
                <w:color w:val="auto"/>
              </w:rPr>
              <w:t>环保投资（万元）</w:t>
            </w:r>
          </w:p>
        </w:tc>
        <w:tc>
          <w:tcPr>
            <w:tcW w:w="2767" w:type="dxa"/>
            <w:noWrap w:val="0"/>
            <w:vAlign w:val="center"/>
          </w:tcPr>
          <w:p w14:paraId="1E1B9C33">
            <w:pPr>
              <w:pStyle w:val="30"/>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10</w:t>
            </w:r>
          </w:p>
        </w:tc>
      </w:tr>
      <w:tr w14:paraId="68A6CD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83" w:type="dxa"/>
            <w:noWrap w:val="0"/>
            <w:tcMar>
              <w:top w:w="16" w:type="dxa"/>
              <w:left w:w="16" w:type="dxa"/>
              <w:right w:w="16" w:type="dxa"/>
            </w:tcMar>
            <w:vAlign w:val="center"/>
          </w:tcPr>
          <w:p w14:paraId="76EBAAE9">
            <w:pPr>
              <w:pStyle w:val="30"/>
              <w:bidi w:val="0"/>
              <w:rPr>
                <w:rFonts w:ascii="Times New Roman" w:hAnsi="Times New Roman"/>
                <w:color w:val="auto"/>
              </w:rPr>
            </w:pPr>
            <w:r>
              <w:rPr>
                <w:rFonts w:hint="eastAsia" w:ascii="Times New Roman" w:hAnsi="Times New Roman"/>
                <w:color w:val="auto"/>
              </w:rPr>
              <w:t>环保投资占比（</w:t>
            </w:r>
            <w:r>
              <w:rPr>
                <w:rFonts w:ascii="Times New Roman" w:hAnsi="Times New Roman"/>
                <w:color w:val="auto"/>
              </w:rPr>
              <w:t>%</w:t>
            </w:r>
            <w:r>
              <w:rPr>
                <w:rFonts w:hint="eastAsia" w:ascii="Times New Roman" w:hAnsi="Times New Roman"/>
                <w:color w:val="auto"/>
              </w:rPr>
              <w:t>）</w:t>
            </w:r>
          </w:p>
        </w:tc>
        <w:tc>
          <w:tcPr>
            <w:tcW w:w="2612" w:type="dxa"/>
            <w:noWrap w:val="0"/>
            <w:vAlign w:val="center"/>
          </w:tcPr>
          <w:p w14:paraId="537F97DB">
            <w:pPr>
              <w:pStyle w:val="30"/>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1.0%</w:t>
            </w:r>
          </w:p>
        </w:tc>
        <w:tc>
          <w:tcPr>
            <w:tcW w:w="2508" w:type="dxa"/>
            <w:noWrap w:val="0"/>
            <w:tcMar>
              <w:top w:w="16" w:type="dxa"/>
              <w:left w:w="16" w:type="dxa"/>
              <w:right w:w="16" w:type="dxa"/>
            </w:tcMar>
            <w:vAlign w:val="center"/>
          </w:tcPr>
          <w:p w14:paraId="723DEEDE">
            <w:pPr>
              <w:pStyle w:val="30"/>
              <w:bidi w:val="0"/>
              <w:rPr>
                <w:rFonts w:ascii="Times New Roman" w:hAnsi="Times New Roman"/>
                <w:color w:val="auto"/>
              </w:rPr>
            </w:pPr>
            <w:r>
              <w:rPr>
                <w:rFonts w:hint="eastAsia" w:ascii="Times New Roman" w:hAnsi="Times New Roman"/>
                <w:color w:val="auto"/>
              </w:rPr>
              <w:t>施工工期</w:t>
            </w:r>
          </w:p>
        </w:tc>
        <w:tc>
          <w:tcPr>
            <w:tcW w:w="2767" w:type="dxa"/>
            <w:noWrap w:val="0"/>
            <w:vAlign w:val="center"/>
          </w:tcPr>
          <w:p w14:paraId="1900C149">
            <w:pPr>
              <w:pStyle w:val="30"/>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12个月</w:t>
            </w:r>
          </w:p>
        </w:tc>
      </w:tr>
      <w:tr w14:paraId="0A657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983" w:type="dxa"/>
            <w:noWrap w:val="0"/>
            <w:tcMar>
              <w:top w:w="16" w:type="dxa"/>
              <w:left w:w="16" w:type="dxa"/>
              <w:right w:w="16" w:type="dxa"/>
            </w:tcMar>
            <w:vAlign w:val="center"/>
          </w:tcPr>
          <w:p w14:paraId="38466E06">
            <w:pPr>
              <w:pStyle w:val="30"/>
              <w:bidi w:val="0"/>
              <w:rPr>
                <w:rFonts w:hint="eastAsia" w:ascii="Times New Roman" w:hAnsi="Times New Roman"/>
                <w:color w:val="auto"/>
              </w:rPr>
            </w:pPr>
            <w:r>
              <w:rPr>
                <w:rFonts w:hint="eastAsia" w:ascii="Times New Roman" w:hAnsi="Times New Roman"/>
                <w:color w:val="auto"/>
              </w:rPr>
              <w:t>是否开工建设</w:t>
            </w:r>
          </w:p>
        </w:tc>
        <w:tc>
          <w:tcPr>
            <w:tcW w:w="2612" w:type="dxa"/>
            <w:noWrap w:val="0"/>
            <w:vAlign w:val="center"/>
          </w:tcPr>
          <w:p w14:paraId="78BA2CD4">
            <w:pPr>
              <w:adjustRightInd w:val="0"/>
              <w:snapToGrid w:val="0"/>
              <w:rPr>
                <w:rFonts w:ascii="Times New Roman" w:hAnsi="Times New Roman" w:cs="宋体"/>
                <w:color w:val="auto"/>
                <w:szCs w:val="21"/>
              </w:rPr>
            </w:pPr>
            <w:r>
              <w:rPr>
                <w:rFonts w:hint="eastAsia" w:ascii="Times New Roman" w:hAnsi="Times New Roman" w:cs="宋体"/>
                <w:color w:val="auto"/>
                <w:szCs w:val="21"/>
                <w:lang w:eastAsia="zh-CN"/>
              </w:rPr>
              <w:t>☑</w:t>
            </w:r>
            <w:r>
              <w:rPr>
                <w:rFonts w:hint="eastAsia" w:ascii="Times New Roman" w:hAnsi="Times New Roman" w:cs="宋体"/>
                <w:color w:val="auto"/>
                <w:szCs w:val="21"/>
              </w:rPr>
              <w:t>否</w:t>
            </w:r>
          </w:p>
          <w:p w14:paraId="798A05B0">
            <w:pPr>
              <w:adjustRightInd w:val="0"/>
              <w:snapToGrid w:val="0"/>
              <w:rPr>
                <w:rFonts w:ascii="Times New Roman" w:hAnsi="Times New Roman" w:cs="宋体"/>
                <w:color w:val="auto"/>
                <w:szCs w:val="21"/>
              </w:rPr>
            </w:pPr>
            <w:r>
              <w:rPr>
                <w:rFonts w:hint="eastAsia" w:ascii="Times New Roman" w:hAnsi="Times New Roman" w:cs="宋体"/>
                <w:color w:val="auto"/>
                <w:szCs w:val="21"/>
              </w:rPr>
              <w:t>□是：</w:t>
            </w:r>
            <w:r>
              <w:rPr>
                <w:rFonts w:hint="eastAsia" w:ascii="Times New Roman" w:hAnsi="Times New Roman" w:cs="宋体"/>
                <w:color w:val="auto"/>
                <w:szCs w:val="21"/>
                <w:u w:val="single"/>
              </w:rPr>
              <w:t xml:space="preserve">             </w:t>
            </w:r>
          </w:p>
        </w:tc>
        <w:tc>
          <w:tcPr>
            <w:tcW w:w="2508" w:type="dxa"/>
            <w:noWrap w:val="0"/>
            <w:tcMar>
              <w:top w:w="16" w:type="dxa"/>
              <w:left w:w="16" w:type="dxa"/>
              <w:right w:w="16" w:type="dxa"/>
            </w:tcMar>
            <w:vAlign w:val="center"/>
          </w:tcPr>
          <w:p w14:paraId="532A0524">
            <w:pPr>
              <w:pStyle w:val="30"/>
              <w:bidi w:val="0"/>
              <w:rPr>
                <w:rFonts w:ascii="Times New Roman" w:hAnsi="Times New Roman"/>
                <w:color w:val="auto"/>
              </w:rPr>
            </w:pPr>
            <w:r>
              <w:rPr>
                <w:rFonts w:hint="eastAsia" w:ascii="Times New Roman" w:hAnsi="Times New Roman"/>
                <w:color w:val="auto"/>
              </w:rPr>
              <w:t>用地（用海）</w:t>
            </w:r>
          </w:p>
          <w:p w14:paraId="5B5E99A7">
            <w:pPr>
              <w:pStyle w:val="30"/>
              <w:bidi w:val="0"/>
              <w:rPr>
                <w:rFonts w:hint="eastAsia" w:ascii="Times New Roman" w:hAnsi="Times New Roman"/>
                <w:color w:val="auto"/>
              </w:rPr>
            </w:pPr>
            <w:r>
              <w:rPr>
                <w:rFonts w:hint="eastAsia" w:ascii="Times New Roman" w:hAnsi="Times New Roman"/>
                <w:color w:val="auto"/>
              </w:rPr>
              <w:t>面积（</w:t>
            </w:r>
            <w:r>
              <w:rPr>
                <w:rFonts w:ascii="Times New Roman" w:hAnsi="Times New Roman"/>
                <w:color w:val="auto"/>
              </w:rPr>
              <w:t>m</w:t>
            </w:r>
            <w:r>
              <w:rPr>
                <w:rFonts w:ascii="Times New Roman" w:hAnsi="Times New Roman"/>
                <w:color w:val="auto"/>
                <w:vertAlign w:val="superscript"/>
              </w:rPr>
              <w:t>2</w:t>
            </w:r>
            <w:r>
              <w:rPr>
                <w:rFonts w:hint="eastAsia" w:ascii="Times New Roman" w:hAnsi="Times New Roman"/>
                <w:color w:val="auto"/>
              </w:rPr>
              <w:t>）</w:t>
            </w:r>
          </w:p>
        </w:tc>
        <w:tc>
          <w:tcPr>
            <w:tcW w:w="2767" w:type="dxa"/>
            <w:noWrap w:val="0"/>
            <w:vAlign w:val="center"/>
          </w:tcPr>
          <w:p w14:paraId="04F5B5F9">
            <w:pPr>
              <w:pStyle w:val="30"/>
              <w:bidi w:val="0"/>
              <w:rPr>
                <w:rFonts w:hint="default" w:ascii="Times New Roman" w:hAnsi="Times New Roman"/>
                <w:color w:val="auto"/>
                <w:lang w:val="en-US"/>
              </w:rPr>
            </w:pPr>
            <w:r>
              <w:rPr>
                <w:rFonts w:hint="eastAsia" w:ascii="Times New Roman" w:hAnsi="Times New Roman"/>
                <w:color w:val="auto"/>
                <w:lang w:val="en-US" w:eastAsia="zh-CN"/>
              </w:rPr>
              <w:t>2100</w:t>
            </w:r>
          </w:p>
        </w:tc>
      </w:tr>
      <w:tr w14:paraId="2F6185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83" w:type="dxa"/>
            <w:noWrap w:val="0"/>
            <w:vAlign w:val="center"/>
          </w:tcPr>
          <w:p w14:paraId="3CC873F1">
            <w:pPr>
              <w:autoSpaceDE w:val="0"/>
              <w:autoSpaceDN w:val="0"/>
              <w:adjustRightInd w:val="0"/>
              <w:snapToGrid w:val="0"/>
              <w:jc w:val="center"/>
              <w:rPr>
                <w:rFonts w:ascii="Times New Roman" w:hAnsi="Times New Roman" w:cs="宋体"/>
                <w:color w:val="auto"/>
                <w:kern w:val="0"/>
                <w:szCs w:val="21"/>
              </w:rPr>
            </w:pPr>
            <w:r>
              <w:rPr>
                <w:rFonts w:hint="eastAsia" w:ascii="Times New Roman" w:hAnsi="Times New Roman" w:cs="宋体"/>
                <w:color w:val="auto"/>
                <w:kern w:val="0"/>
                <w:szCs w:val="21"/>
              </w:rPr>
              <w:t>专项评价设置情况</w:t>
            </w:r>
          </w:p>
        </w:tc>
        <w:tc>
          <w:tcPr>
            <w:tcW w:w="7887" w:type="dxa"/>
            <w:gridSpan w:val="3"/>
            <w:noWrap w:val="0"/>
            <w:vAlign w:val="center"/>
          </w:tcPr>
          <w:p w14:paraId="47680E97">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根据《建设项目环境影响报告表编制技术指南（污染影响类）（试行）》中表1专项评价设置原则表，本项目无须设置专项评价，详见表1-1。</w:t>
            </w:r>
          </w:p>
          <w:p w14:paraId="6EC16C41">
            <w:pPr>
              <w:pStyle w:val="27"/>
              <w:bidi w:val="0"/>
              <w:rPr>
                <w:rFonts w:hint="default" w:ascii="Times New Roman" w:hAnsi="Times New Roman"/>
                <w:color w:val="auto"/>
                <w:sz w:val="24"/>
                <w:szCs w:val="24"/>
                <w:lang w:val="en-US" w:eastAsia="zh-CN"/>
              </w:rPr>
            </w:pPr>
            <w:r>
              <w:rPr>
                <w:rFonts w:hint="default" w:ascii="Times New Roman" w:hAnsi="Times New Roman"/>
                <w:color w:val="auto"/>
                <w:sz w:val="24"/>
                <w:szCs w:val="24"/>
                <w:lang w:val="en-US" w:eastAsia="zh-CN"/>
              </w:rPr>
              <w:t>表1-1</w:t>
            </w:r>
            <w:r>
              <w:rPr>
                <w:rFonts w:hint="eastAsia" w:ascii="Times New Roman" w:hAnsi="Times New Roman"/>
                <w:color w:val="auto"/>
                <w:sz w:val="24"/>
                <w:szCs w:val="24"/>
                <w:lang w:val="en-US" w:eastAsia="zh-CN"/>
              </w:rPr>
              <w:t xml:space="preserve"> </w:t>
            </w:r>
            <w:r>
              <w:rPr>
                <w:rFonts w:hint="default" w:ascii="Times New Roman" w:hAnsi="Times New Roman"/>
                <w:color w:val="auto"/>
                <w:sz w:val="24"/>
                <w:szCs w:val="24"/>
                <w:lang w:val="en-US" w:eastAsia="zh-CN"/>
              </w:rPr>
              <w:t xml:space="preserve"> 项目专项评价设置表</w:t>
            </w:r>
          </w:p>
          <w:tbl>
            <w:tblPr>
              <w:tblStyle w:val="20"/>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12"/>
              <w:gridCol w:w="2348"/>
              <w:gridCol w:w="2464"/>
              <w:gridCol w:w="944"/>
            </w:tblGrid>
            <w:tr w14:paraId="61D029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7" w:type="pct"/>
                  <w:tcBorders>
                    <w:tl2br w:val="nil"/>
                    <w:tr2bl w:val="nil"/>
                  </w:tcBorders>
                  <w:noWrap w:val="0"/>
                  <w:vAlign w:val="center"/>
                </w:tcPr>
                <w:p w14:paraId="21E7727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专项评价的类别</w:t>
                  </w:r>
                </w:p>
              </w:tc>
              <w:tc>
                <w:tcPr>
                  <w:tcW w:w="1531" w:type="pct"/>
                  <w:tcBorders>
                    <w:tl2br w:val="nil"/>
                    <w:tr2bl w:val="nil"/>
                  </w:tcBorders>
                  <w:noWrap w:val="0"/>
                  <w:vAlign w:val="center"/>
                </w:tcPr>
                <w:p w14:paraId="635CC0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设置原则</w:t>
                  </w:r>
                </w:p>
              </w:tc>
              <w:tc>
                <w:tcPr>
                  <w:tcW w:w="1607" w:type="pct"/>
                  <w:tcBorders>
                    <w:tl2br w:val="nil"/>
                    <w:tr2bl w:val="nil"/>
                  </w:tcBorders>
                  <w:noWrap w:val="0"/>
                  <w:vAlign w:val="center"/>
                </w:tcPr>
                <w:p w14:paraId="797608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本项目情况</w:t>
                  </w:r>
                </w:p>
              </w:tc>
              <w:tc>
                <w:tcPr>
                  <w:tcW w:w="613" w:type="pct"/>
                  <w:tcBorders>
                    <w:tl2br w:val="nil"/>
                    <w:tr2bl w:val="nil"/>
                  </w:tcBorders>
                  <w:noWrap w:val="0"/>
                  <w:vAlign w:val="center"/>
                </w:tcPr>
                <w:p w14:paraId="4092C3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是否需要设置专项评价</w:t>
                  </w:r>
                </w:p>
              </w:tc>
            </w:tr>
            <w:tr w14:paraId="1252C8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7" w:type="pct"/>
                  <w:tcBorders>
                    <w:tl2br w:val="nil"/>
                    <w:tr2bl w:val="nil"/>
                  </w:tcBorders>
                  <w:noWrap w:val="0"/>
                  <w:vAlign w:val="center"/>
                </w:tcPr>
                <w:p w14:paraId="3EFEC4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大气</w:t>
                  </w:r>
                </w:p>
              </w:tc>
              <w:tc>
                <w:tcPr>
                  <w:tcW w:w="1531" w:type="pct"/>
                  <w:tcBorders>
                    <w:tl2br w:val="nil"/>
                    <w:tr2bl w:val="nil"/>
                  </w:tcBorders>
                  <w:noWrap w:val="0"/>
                  <w:vAlign w:val="center"/>
                </w:tcPr>
                <w:p w14:paraId="00BC99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排放废气含有毒有害污染物</w:t>
                  </w:r>
                  <w:r>
                    <w:rPr>
                      <w:rFonts w:ascii="Times New Roman" w:hAnsi="Times New Roman" w:eastAsia="宋体" w:cs="Times New Roman"/>
                      <w:color w:val="auto"/>
                      <w:kern w:val="0"/>
                      <w:sz w:val="21"/>
                      <w:szCs w:val="21"/>
                      <w:vertAlign w:val="superscript"/>
                      <w:lang w:val="en-US" w:eastAsia="zh-CN" w:bidi="ar-SA"/>
                    </w:rPr>
                    <w:t>1</w:t>
                  </w:r>
                  <w:r>
                    <w:rPr>
                      <w:rFonts w:ascii="Times New Roman" w:hAnsi="Times New Roman" w:eastAsia="宋体" w:cs="Times New Roman"/>
                      <w:color w:val="auto"/>
                      <w:kern w:val="0"/>
                      <w:sz w:val="21"/>
                      <w:szCs w:val="21"/>
                      <w:lang w:val="en-US" w:eastAsia="zh-CN" w:bidi="ar-SA"/>
                    </w:rPr>
                    <w:t>、二噁英、苯并[a]芘、氰化物、氯气且厂界外500米范围内有环境空气保护目标</w:t>
                  </w:r>
                  <w:r>
                    <w:rPr>
                      <w:rFonts w:ascii="Times New Roman" w:hAnsi="Times New Roman" w:eastAsia="宋体" w:cs="Times New Roman"/>
                      <w:color w:val="auto"/>
                      <w:kern w:val="0"/>
                      <w:sz w:val="21"/>
                      <w:szCs w:val="21"/>
                      <w:vertAlign w:val="superscript"/>
                      <w:lang w:val="en-US" w:eastAsia="zh-CN" w:bidi="ar-SA"/>
                    </w:rPr>
                    <w:t>2</w:t>
                  </w:r>
                  <w:r>
                    <w:rPr>
                      <w:rFonts w:ascii="Times New Roman" w:hAnsi="Times New Roman" w:eastAsia="宋体" w:cs="Times New Roman"/>
                      <w:color w:val="auto"/>
                      <w:kern w:val="0"/>
                      <w:sz w:val="21"/>
                      <w:szCs w:val="21"/>
                      <w:lang w:val="en-US" w:eastAsia="zh-CN" w:bidi="ar-SA"/>
                    </w:rPr>
                    <w:t>的建设项目</w:t>
                  </w:r>
                </w:p>
              </w:tc>
              <w:tc>
                <w:tcPr>
                  <w:tcW w:w="1607" w:type="pct"/>
                  <w:tcBorders>
                    <w:tl2br w:val="nil"/>
                    <w:tr2bl w:val="nil"/>
                  </w:tcBorders>
                  <w:noWrap w:val="0"/>
                  <w:vAlign w:val="center"/>
                </w:tcPr>
                <w:p w14:paraId="43B024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项目排放废气不含有毒有害污染物</w:t>
                  </w:r>
                  <w:r>
                    <w:rPr>
                      <w:rFonts w:hint="eastAsia" w:ascii="Times New Roman" w:hAnsi="Times New Roman" w:eastAsia="宋体" w:cs="Times New Roman"/>
                      <w:color w:val="auto"/>
                      <w:kern w:val="0"/>
                      <w:sz w:val="21"/>
                      <w:szCs w:val="21"/>
                      <w:vertAlign w:val="superscript"/>
                      <w:lang w:val="en-US" w:eastAsia="zh-CN" w:bidi="ar-SA"/>
                    </w:rPr>
                    <w:t>1</w:t>
                  </w:r>
                  <w:r>
                    <w:rPr>
                      <w:rFonts w:hint="eastAsia" w:ascii="Times New Roman" w:hAnsi="Times New Roman" w:eastAsia="宋体" w:cs="Times New Roman"/>
                      <w:color w:val="auto"/>
                      <w:kern w:val="0"/>
                      <w:sz w:val="21"/>
                      <w:szCs w:val="21"/>
                      <w:lang w:val="en-US" w:eastAsia="zh-CN" w:bidi="ar-SA"/>
                    </w:rPr>
                    <w:t>、二噁英苯并[a]芘、氰化物、氯气</w:t>
                  </w:r>
                </w:p>
              </w:tc>
              <w:tc>
                <w:tcPr>
                  <w:tcW w:w="613" w:type="pct"/>
                  <w:tcBorders>
                    <w:tl2br w:val="nil"/>
                    <w:tr2bl w:val="nil"/>
                  </w:tcBorders>
                  <w:noWrap w:val="0"/>
                  <w:vAlign w:val="center"/>
                </w:tcPr>
                <w:p w14:paraId="262579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否</w:t>
                  </w:r>
                </w:p>
              </w:tc>
            </w:tr>
            <w:tr w14:paraId="01BE52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7" w:type="pct"/>
                  <w:tcBorders>
                    <w:tl2br w:val="nil"/>
                    <w:tr2bl w:val="nil"/>
                  </w:tcBorders>
                  <w:noWrap w:val="0"/>
                  <w:vAlign w:val="center"/>
                </w:tcPr>
                <w:p w14:paraId="569548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地表水</w:t>
                  </w:r>
                </w:p>
              </w:tc>
              <w:tc>
                <w:tcPr>
                  <w:tcW w:w="1531" w:type="pct"/>
                  <w:tcBorders>
                    <w:tl2br w:val="nil"/>
                    <w:tr2bl w:val="nil"/>
                  </w:tcBorders>
                  <w:noWrap w:val="0"/>
                  <w:vAlign w:val="center"/>
                </w:tcPr>
                <w:p w14:paraId="562151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新增工业废水直排建设项目（槽罐车外送污水处理厂的除外）；新增废水直排的污水集中处理厂</w:t>
                  </w:r>
                </w:p>
              </w:tc>
              <w:tc>
                <w:tcPr>
                  <w:tcW w:w="1607" w:type="pct"/>
                  <w:tcBorders>
                    <w:tl2br w:val="nil"/>
                    <w:tr2bl w:val="nil"/>
                  </w:tcBorders>
                  <w:noWrap w:val="0"/>
                  <w:vAlign w:val="center"/>
                </w:tcPr>
                <w:p w14:paraId="62B752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本项目为新建项目，项目外排的生产废水和生活污水经处理达标后排入市政管网后纳入大学城污水处理厂</w:t>
                  </w:r>
                </w:p>
              </w:tc>
              <w:tc>
                <w:tcPr>
                  <w:tcW w:w="613" w:type="pct"/>
                  <w:tcBorders>
                    <w:tl2br w:val="nil"/>
                    <w:tr2bl w:val="nil"/>
                  </w:tcBorders>
                  <w:noWrap w:val="0"/>
                  <w:vAlign w:val="center"/>
                </w:tcPr>
                <w:p w14:paraId="2F35F5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否</w:t>
                  </w:r>
                </w:p>
              </w:tc>
            </w:tr>
            <w:tr w14:paraId="039D9F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7" w:type="pct"/>
                  <w:tcBorders>
                    <w:tl2br w:val="nil"/>
                    <w:tr2bl w:val="nil"/>
                  </w:tcBorders>
                  <w:noWrap w:val="0"/>
                  <w:vAlign w:val="center"/>
                </w:tcPr>
                <w:p w14:paraId="01FE89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环境风险</w:t>
                  </w:r>
                </w:p>
              </w:tc>
              <w:tc>
                <w:tcPr>
                  <w:tcW w:w="1531" w:type="pct"/>
                  <w:tcBorders>
                    <w:tl2br w:val="nil"/>
                    <w:tr2bl w:val="nil"/>
                  </w:tcBorders>
                  <w:noWrap w:val="0"/>
                  <w:vAlign w:val="center"/>
                </w:tcPr>
                <w:p w14:paraId="2D5FA2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有毒有害和易燃易爆危险物质存储量超过临界量</w:t>
                  </w:r>
                  <w:r>
                    <w:rPr>
                      <w:rFonts w:ascii="Times New Roman" w:hAnsi="Times New Roman" w:eastAsia="宋体" w:cs="Times New Roman"/>
                      <w:color w:val="auto"/>
                      <w:kern w:val="0"/>
                      <w:sz w:val="21"/>
                      <w:szCs w:val="21"/>
                      <w:vertAlign w:val="superscript"/>
                      <w:lang w:val="en-US" w:eastAsia="zh-CN" w:bidi="ar-SA"/>
                    </w:rPr>
                    <w:t>3</w:t>
                  </w:r>
                  <w:r>
                    <w:rPr>
                      <w:rFonts w:ascii="Times New Roman" w:hAnsi="Times New Roman" w:eastAsia="宋体" w:cs="Times New Roman"/>
                      <w:color w:val="auto"/>
                      <w:kern w:val="0"/>
                      <w:sz w:val="21"/>
                      <w:szCs w:val="21"/>
                      <w:lang w:val="en-US" w:eastAsia="zh-CN" w:bidi="ar-SA"/>
                    </w:rPr>
                    <w:t>的建设项目</w:t>
                  </w:r>
                </w:p>
              </w:tc>
              <w:tc>
                <w:tcPr>
                  <w:tcW w:w="1607" w:type="pct"/>
                  <w:tcBorders>
                    <w:tl2br w:val="nil"/>
                    <w:tr2bl w:val="nil"/>
                  </w:tcBorders>
                  <w:noWrap w:val="0"/>
                  <w:vAlign w:val="center"/>
                </w:tcPr>
                <w:p w14:paraId="1BDED8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本项目涉及</w:t>
                  </w:r>
                  <w:r>
                    <w:rPr>
                      <w:rFonts w:hint="eastAsia" w:ascii="Times New Roman" w:hAnsi="Times New Roman" w:eastAsia="宋体" w:cs="Times New Roman"/>
                      <w:color w:val="auto"/>
                      <w:kern w:val="0"/>
                      <w:sz w:val="21"/>
                      <w:szCs w:val="21"/>
                      <w:lang w:val="en-US" w:eastAsia="zh-CN" w:bidi="ar-SA"/>
                    </w:rPr>
                    <w:t>的</w:t>
                  </w:r>
                  <w:r>
                    <w:rPr>
                      <w:rFonts w:ascii="Times New Roman" w:hAnsi="Times New Roman" w:eastAsia="宋体" w:cs="Times New Roman"/>
                      <w:color w:val="auto"/>
                      <w:kern w:val="0"/>
                      <w:sz w:val="21"/>
                      <w:szCs w:val="21"/>
                      <w:lang w:val="en-US" w:eastAsia="zh-CN" w:bidi="ar-SA"/>
                    </w:rPr>
                    <w:t>有毒有害和易燃易爆危险物质</w:t>
                  </w:r>
                  <w:r>
                    <w:rPr>
                      <w:rFonts w:hint="eastAsia" w:ascii="Times New Roman" w:hAnsi="Times New Roman" w:eastAsia="宋体" w:cs="Times New Roman"/>
                      <w:color w:val="auto"/>
                      <w:kern w:val="0"/>
                      <w:sz w:val="21"/>
                      <w:szCs w:val="21"/>
                      <w:lang w:val="en-US" w:eastAsia="zh-CN" w:bidi="ar-SA"/>
                    </w:rPr>
                    <w:t>存储量未超过临界量</w:t>
                  </w:r>
                </w:p>
              </w:tc>
              <w:tc>
                <w:tcPr>
                  <w:tcW w:w="613" w:type="pct"/>
                  <w:tcBorders>
                    <w:tl2br w:val="nil"/>
                    <w:tr2bl w:val="nil"/>
                  </w:tcBorders>
                  <w:noWrap w:val="0"/>
                  <w:vAlign w:val="center"/>
                </w:tcPr>
                <w:p w14:paraId="2B6CC9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否</w:t>
                  </w:r>
                </w:p>
              </w:tc>
            </w:tr>
            <w:tr w14:paraId="641105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7" w:type="pct"/>
                  <w:tcBorders>
                    <w:tl2br w:val="nil"/>
                    <w:tr2bl w:val="nil"/>
                  </w:tcBorders>
                  <w:noWrap w:val="0"/>
                  <w:vAlign w:val="center"/>
                </w:tcPr>
                <w:p w14:paraId="314C3D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生态</w:t>
                  </w:r>
                </w:p>
              </w:tc>
              <w:tc>
                <w:tcPr>
                  <w:tcW w:w="1531" w:type="pct"/>
                  <w:tcBorders>
                    <w:tl2br w:val="nil"/>
                    <w:tr2bl w:val="nil"/>
                  </w:tcBorders>
                  <w:noWrap w:val="0"/>
                  <w:vAlign w:val="center"/>
                </w:tcPr>
                <w:p w14:paraId="437A5B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取水口下游500米范围内有重要水生生物的自然产卵场、索饵场、越冬场和洄游通道的新增河道取水的污染类建设项目</w:t>
                  </w:r>
                </w:p>
              </w:tc>
              <w:tc>
                <w:tcPr>
                  <w:tcW w:w="1607" w:type="pct"/>
                  <w:tcBorders>
                    <w:tl2br w:val="nil"/>
                    <w:tr2bl w:val="nil"/>
                  </w:tcBorders>
                  <w:noWrap w:val="0"/>
                  <w:vAlign w:val="center"/>
                </w:tcPr>
                <w:p w14:paraId="1D38EE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不涉及</w:t>
                  </w:r>
                </w:p>
              </w:tc>
              <w:tc>
                <w:tcPr>
                  <w:tcW w:w="613" w:type="pct"/>
                  <w:tcBorders>
                    <w:tl2br w:val="nil"/>
                    <w:tr2bl w:val="nil"/>
                  </w:tcBorders>
                  <w:noWrap w:val="0"/>
                  <w:vAlign w:val="center"/>
                </w:tcPr>
                <w:p w14:paraId="71F8CB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否</w:t>
                  </w:r>
                </w:p>
              </w:tc>
            </w:tr>
            <w:tr w14:paraId="44F0B4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47" w:type="pct"/>
                  <w:tcBorders>
                    <w:tl2br w:val="nil"/>
                    <w:tr2bl w:val="nil"/>
                  </w:tcBorders>
                  <w:noWrap w:val="0"/>
                  <w:vAlign w:val="center"/>
                </w:tcPr>
                <w:p w14:paraId="57ACDD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海洋</w:t>
                  </w:r>
                </w:p>
              </w:tc>
              <w:tc>
                <w:tcPr>
                  <w:tcW w:w="1531" w:type="pct"/>
                  <w:tcBorders>
                    <w:tl2br w:val="nil"/>
                    <w:tr2bl w:val="nil"/>
                  </w:tcBorders>
                  <w:noWrap w:val="0"/>
                  <w:vAlign w:val="center"/>
                </w:tcPr>
                <w:p w14:paraId="712D06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直接向海排放污染物的海洋工程建设项目</w:t>
                  </w:r>
                </w:p>
              </w:tc>
              <w:tc>
                <w:tcPr>
                  <w:tcW w:w="1607" w:type="pct"/>
                  <w:tcBorders>
                    <w:tl2br w:val="nil"/>
                    <w:tr2bl w:val="nil"/>
                  </w:tcBorders>
                  <w:noWrap w:val="0"/>
                  <w:vAlign w:val="center"/>
                </w:tcPr>
                <w:p w14:paraId="6D8217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不涉及</w:t>
                  </w:r>
                </w:p>
              </w:tc>
              <w:tc>
                <w:tcPr>
                  <w:tcW w:w="613" w:type="pct"/>
                  <w:tcBorders>
                    <w:tl2br w:val="nil"/>
                    <w:tr2bl w:val="nil"/>
                  </w:tcBorders>
                  <w:noWrap w:val="0"/>
                  <w:vAlign w:val="center"/>
                </w:tcPr>
                <w:p w14:paraId="176494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否</w:t>
                  </w:r>
                </w:p>
              </w:tc>
            </w:tr>
            <w:tr w14:paraId="147386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l2br w:val="nil"/>
                    <w:tr2bl w:val="nil"/>
                  </w:tcBorders>
                  <w:noWrap w:val="0"/>
                  <w:vAlign w:val="center"/>
                </w:tcPr>
                <w:p w14:paraId="1C96C882">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18"/>
                      <w:szCs w:val="18"/>
                      <w:lang w:val="en-US" w:eastAsia="zh-CN" w:bidi="ar-SA"/>
                    </w:rPr>
                    <w:t>注：1.废气中有毒有害污染物指纳入《有毒有害大气污染物名录》的污染物（不包括无排放标准的污染物）</w:t>
                  </w:r>
                  <w:r>
                    <w:rPr>
                      <w:rFonts w:hint="eastAsia" w:ascii="Times New Roman" w:hAnsi="Times New Roman" w:eastAsia="宋体" w:cs="Times New Roman"/>
                      <w:color w:val="auto"/>
                      <w:kern w:val="0"/>
                      <w:sz w:val="18"/>
                      <w:szCs w:val="18"/>
                      <w:lang w:val="en-US" w:eastAsia="zh-CN" w:bidi="ar-SA"/>
                    </w:rPr>
                    <w:t>；</w:t>
                  </w:r>
                  <w:r>
                    <w:rPr>
                      <w:rFonts w:hint="default" w:ascii="Times New Roman" w:hAnsi="Times New Roman" w:eastAsia="宋体" w:cs="Times New Roman"/>
                      <w:color w:val="auto"/>
                      <w:kern w:val="0"/>
                      <w:sz w:val="18"/>
                      <w:szCs w:val="18"/>
                      <w:lang w:val="en-US" w:eastAsia="zh-CN" w:bidi="ar-SA"/>
                    </w:rPr>
                    <w:t>2.环境空气保护目标指自然保护区、风景名胜区、居住区、文化区和农村地区中人群较集中的区域</w:t>
                  </w:r>
                  <w:r>
                    <w:rPr>
                      <w:rFonts w:hint="eastAsia" w:ascii="Times New Roman" w:hAnsi="Times New Roman" w:eastAsia="宋体" w:cs="Times New Roman"/>
                      <w:color w:val="auto"/>
                      <w:kern w:val="0"/>
                      <w:sz w:val="18"/>
                      <w:szCs w:val="18"/>
                      <w:lang w:val="en-US" w:eastAsia="zh-CN" w:bidi="ar-SA"/>
                    </w:rPr>
                    <w:t>；</w:t>
                  </w:r>
                  <w:r>
                    <w:rPr>
                      <w:rFonts w:hint="default" w:ascii="Times New Roman" w:hAnsi="Times New Roman" w:eastAsia="宋体" w:cs="Times New Roman"/>
                      <w:color w:val="auto"/>
                      <w:kern w:val="0"/>
                      <w:sz w:val="18"/>
                      <w:szCs w:val="18"/>
                      <w:lang w:val="en-US" w:eastAsia="zh-CN" w:bidi="ar-SA"/>
                    </w:rPr>
                    <w:t>3.临界量及其计算方法可参考《建设项目环境风险评价技术导则》（HJ169）附录B、附录C。</w:t>
                  </w:r>
                </w:p>
              </w:tc>
            </w:tr>
          </w:tbl>
          <w:p w14:paraId="3A60B241">
            <w:pPr>
              <w:autoSpaceDE w:val="0"/>
              <w:autoSpaceDN w:val="0"/>
              <w:adjustRightInd w:val="0"/>
              <w:snapToGrid w:val="0"/>
              <w:jc w:val="center"/>
              <w:rPr>
                <w:rFonts w:hint="default" w:ascii="Times New Roman" w:hAnsi="Times New Roman" w:cs="宋体"/>
                <w:color w:val="auto"/>
                <w:kern w:val="0"/>
                <w:szCs w:val="21"/>
              </w:rPr>
            </w:pPr>
          </w:p>
        </w:tc>
      </w:tr>
      <w:tr w14:paraId="4E64F1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9" w:hRule="atLeast"/>
          <w:jc w:val="center"/>
        </w:trPr>
        <w:tc>
          <w:tcPr>
            <w:tcW w:w="983" w:type="dxa"/>
            <w:noWrap w:val="0"/>
            <w:vAlign w:val="center"/>
          </w:tcPr>
          <w:p w14:paraId="4D779C13">
            <w:pPr>
              <w:autoSpaceDE w:val="0"/>
              <w:autoSpaceDN w:val="0"/>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szCs w:val="21"/>
              </w:rPr>
              <w:t>规划情况</w:t>
            </w:r>
          </w:p>
        </w:tc>
        <w:tc>
          <w:tcPr>
            <w:tcW w:w="7887" w:type="dxa"/>
            <w:gridSpan w:val="3"/>
            <w:noWrap w:val="0"/>
            <w:vAlign w:val="center"/>
          </w:tcPr>
          <w:p w14:paraId="21E836C3">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firstLine="0" w:firstLineChars="0"/>
              <w:jc w:val="left"/>
              <w:textAlignment w:val="auto"/>
              <w:rPr>
                <w:rFonts w:hint="eastAsia" w:ascii="Times New Roman" w:hAnsi="Times New Roman" w:eastAsia="宋体" w:cs="Times New Roman"/>
                <w:b w:val="0"/>
                <w:bCs w:val="0"/>
                <w:iCs w:val="0"/>
                <w:color w:val="auto"/>
                <w:kern w:val="2"/>
                <w:sz w:val="24"/>
                <w:szCs w:val="24"/>
                <w:lang w:val="en-US" w:eastAsia="zh-CN" w:bidi="ar-SA"/>
              </w:rPr>
            </w:pPr>
            <w:r>
              <w:rPr>
                <w:rFonts w:hint="eastAsia" w:ascii="Times New Roman" w:hAnsi="Times New Roman" w:eastAsia="宋体" w:cs="Times New Roman"/>
                <w:b w:val="0"/>
                <w:bCs w:val="0"/>
                <w:iCs w:val="0"/>
                <w:color w:val="auto"/>
                <w:kern w:val="2"/>
                <w:sz w:val="24"/>
                <w:szCs w:val="24"/>
                <w:lang w:val="en-US" w:eastAsia="zh-CN" w:bidi="ar-SA"/>
              </w:rPr>
              <w:t>①规划名称</w:t>
            </w:r>
            <w:r>
              <w:rPr>
                <w:rFonts w:hint="eastAsia" w:cs="Times New Roman"/>
                <w:b w:val="0"/>
                <w:bCs w:val="0"/>
                <w:iCs w:val="0"/>
                <w:color w:val="auto"/>
                <w:kern w:val="2"/>
                <w:sz w:val="24"/>
                <w:szCs w:val="24"/>
                <w:lang w:val="en-US" w:eastAsia="zh-CN" w:bidi="ar-SA"/>
              </w:rPr>
              <w:t>：</w:t>
            </w:r>
            <w:r>
              <w:rPr>
                <w:rFonts w:hint="eastAsia" w:ascii="Times New Roman" w:hAnsi="Times New Roman" w:eastAsia="宋体" w:cs="Times New Roman"/>
                <w:b w:val="0"/>
                <w:bCs w:val="0"/>
                <w:iCs w:val="0"/>
                <w:color w:val="auto"/>
                <w:kern w:val="2"/>
                <w:sz w:val="24"/>
                <w:szCs w:val="24"/>
                <w:lang w:val="en-US" w:eastAsia="zh-CN" w:bidi="ar-SA"/>
              </w:rPr>
              <w:t>《福州市国土空间总体规划（2021</w:t>
            </w:r>
            <w:r>
              <w:rPr>
                <w:rFonts w:hint="eastAsia" w:cs="Times New Roman"/>
                <w:b w:val="0"/>
                <w:bCs w:val="0"/>
                <w:iCs w:val="0"/>
                <w:color w:val="auto"/>
                <w:kern w:val="2"/>
                <w:sz w:val="24"/>
                <w:szCs w:val="24"/>
                <w:lang w:val="en-US" w:eastAsia="zh-CN" w:bidi="ar-SA"/>
              </w:rPr>
              <w:t>—</w:t>
            </w:r>
            <w:r>
              <w:rPr>
                <w:rFonts w:hint="eastAsia" w:ascii="Times New Roman" w:hAnsi="Times New Roman" w:eastAsia="宋体" w:cs="Times New Roman"/>
                <w:b w:val="0"/>
                <w:bCs w:val="0"/>
                <w:iCs w:val="0"/>
                <w:color w:val="auto"/>
                <w:kern w:val="2"/>
                <w:sz w:val="24"/>
                <w:szCs w:val="24"/>
                <w:lang w:val="en-US" w:eastAsia="zh-CN" w:bidi="ar-SA"/>
              </w:rPr>
              <w:t>2035年</w:t>
            </w:r>
            <w:r>
              <w:rPr>
                <w:rFonts w:hint="eastAsia" w:ascii="Times New Roman" w:hAnsi="Times New Roman" w:cs="Times New Roman"/>
                <w:b w:val="0"/>
                <w:bCs w:val="0"/>
                <w:iCs w:val="0"/>
                <w:color w:val="auto"/>
                <w:kern w:val="2"/>
                <w:sz w:val="24"/>
                <w:szCs w:val="24"/>
                <w:lang w:val="en-US" w:eastAsia="zh-CN" w:bidi="ar-SA"/>
              </w:rPr>
              <w:t>）</w:t>
            </w:r>
            <w:r>
              <w:rPr>
                <w:rFonts w:hint="eastAsia" w:ascii="Times New Roman" w:hAnsi="Times New Roman" w:eastAsia="宋体" w:cs="Times New Roman"/>
                <w:b w:val="0"/>
                <w:bCs w:val="0"/>
                <w:iCs w:val="0"/>
                <w:color w:val="auto"/>
                <w:kern w:val="2"/>
                <w:sz w:val="24"/>
                <w:szCs w:val="24"/>
                <w:lang w:val="en-US" w:eastAsia="zh-CN" w:bidi="ar-SA"/>
              </w:rPr>
              <w:t>》</w:t>
            </w:r>
            <w:r>
              <w:rPr>
                <w:rFonts w:hint="eastAsia" w:ascii="Times New Roman" w:hAnsi="Times New Roman" w:cs="Times New Roman"/>
                <w:b w:val="0"/>
                <w:bCs w:val="0"/>
                <w:iCs w:val="0"/>
                <w:color w:val="auto"/>
                <w:kern w:val="2"/>
                <w:sz w:val="24"/>
                <w:szCs w:val="24"/>
                <w:lang w:val="en-US" w:eastAsia="zh-CN" w:bidi="ar-SA"/>
              </w:rPr>
              <w:t>；</w:t>
            </w:r>
          </w:p>
          <w:p w14:paraId="5A444AC3">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firstLine="0" w:firstLineChars="0"/>
              <w:jc w:val="left"/>
              <w:textAlignment w:val="auto"/>
              <w:rPr>
                <w:rFonts w:hint="eastAsia" w:ascii="Times New Roman" w:hAnsi="Times New Roman" w:eastAsia="宋体" w:cs="Times New Roman"/>
                <w:b w:val="0"/>
                <w:bCs w:val="0"/>
                <w:iCs w:val="0"/>
                <w:color w:val="auto"/>
                <w:kern w:val="2"/>
                <w:sz w:val="24"/>
                <w:szCs w:val="24"/>
                <w:lang w:val="en-US" w:eastAsia="zh-CN" w:bidi="ar-SA"/>
              </w:rPr>
            </w:pPr>
            <w:r>
              <w:rPr>
                <w:rFonts w:hint="eastAsia" w:ascii="Times New Roman" w:hAnsi="Times New Roman" w:eastAsia="宋体" w:cs="Times New Roman"/>
                <w:b w:val="0"/>
                <w:bCs w:val="0"/>
                <w:iCs w:val="0"/>
                <w:color w:val="auto"/>
                <w:kern w:val="2"/>
                <w:sz w:val="24"/>
                <w:szCs w:val="24"/>
                <w:lang w:val="en-US" w:eastAsia="zh-CN" w:bidi="ar-SA"/>
              </w:rPr>
              <w:t>审批机关</w:t>
            </w:r>
            <w:r>
              <w:rPr>
                <w:rFonts w:hint="eastAsia" w:cs="Times New Roman"/>
                <w:b w:val="0"/>
                <w:bCs w:val="0"/>
                <w:iCs w:val="0"/>
                <w:color w:val="auto"/>
                <w:kern w:val="2"/>
                <w:sz w:val="24"/>
                <w:szCs w:val="24"/>
                <w:lang w:val="en-US" w:eastAsia="zh-CN" w:bidi="ar-SA"/>
              </w:rPr>
              <w:t>：</w:t>
            </w:r>
            <w:r>
              <w:rPr>
                <w:rFonts w:hint="eastAsia" w:ascii="Times New Roman" w:hAnsi="Times New Roman" w:eastAsia="宋体" w:cs="Times New Roman"/>
                <w:b w:val="0"/>
                <w:bCs w:val="0"/>
                <w:iCs w:val="0"/>
                <w:color w:val="auto"/>
                <w:kern w:val="2"/>
                <w:sz w:val="24"/>
                <w:szCs w:val="24"/>
                <w:lang w:val="en-US" w:eastAsia="zh-CN" w:bidi="ar-SA"/>
              </w:rPr>
              <w:t>福州市自然资源和规划局</w:t>
            </w:r>
            <w:r>
              <w:rPr>
                <w:rFonts w:hint="eastAsia" w:ascii="Times New Roman" w:hAnsi="Times New Roman" w:cs="Times New Roman"/>
                <w:b w:val="0"/>
                <w:bCs w:val="0"/>
                <w:iCs w:val="0"/>
                <w:color w:val="auto"/>
                <w:kern w:val="2"/>
                <w:sz w:val="24"/>
                <w:szCs w:val="24"/>
                <w:lang w:val="en-US" w:eastAsia="zh-CN" w:bidi="ar-SA"/>
              </w:rPr>
              <w:t>；</w:t>
            </w:r>
          </w:p>
          <w:p w14:paraId="447C020F">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firstLine="0" w:firstLineChars="0"/>
              <w:jc w:val="left"/>
              <w:textAlignment w:val="auto"/>
              <w:rPr>
                <w:rFonts w:hint="eastAsia" w:ascii="Times New Roman" w:hAnsi="Times New Roman" w:eastAsia="宋体" w:cs="Times New Roman"/>
                <w:b w:val="0"/>
                <w:bCs w:val="0"/>
                <w:iCs w:val="0"/>
                <w:color w:val="auto"/>
                <w:sz w:val="24"/>
                <w:szCs w:val="24"/>
                <w:lang w:val="en-US" w:eastAsia="zh-CN"/>
              </w:rPr>
            </w:pPr>
            <w:r>
              <w:rPr>
                <w:rFonts w:hint="eastAsia" w:ascii="Times New Roman" w:hAnsi="Times New Roman" w:eastAsia="宋体" w:cs="Times New Roman"/>
                <w:b w:val="0"/>
                <w:bCs w:val="0"/>
                <w:iCs w:val="0"/>
                <w:color w:val="auto"/>
                <w:kern w:val="2"/>
                <w:sz w:val="24"/>
                <w:szCs w:val="24"/>
                <w:lang w:val="en-US" w:eastAsia="zh-CN" w:bidi="ar-SA"/>
              </w:rPr>
              <w:t>审批文件名称及文号</w:t>
            </w:r>
            <w:r>
              <w:rPr>
                <w:rFonts w:hint="eastAsia" w:cs="Times New Roman"/>
                <w:b w:val="0"/>
                <w:bCs w:val="0"/>
                <w:iCs w:val="0"/>
                <w:color w:val="auto"/>
                <w:kern w:val="2"/>
                <w:sz w:val="24"/>
                <w:szCs w:val="24"/>
                <w:lang w:val="en-US" w:eastAsia="zh-CN" w:bidi="ar-SA"/>
              </w:rPr>
              <w:t>：</w:t>
            </w:r>
            <w:r>
              <w:rPr>
                <w:rFonts w:hint="eastAsia" w:ascii="Times New Roman" w:hAnsi="Times New Roman" w:eastAsia="宋体" w:cs="Times New Roman"/>
                <w:b w:val="0"/>
                <w:bCs w:val="0"/>
                <w:iCs w:val="0"/>
                <w:color w:val="auto"/>
                <w:kern w:val="2"/>
                <w:sz w:val="24"/>
                <w:szCs w:val="24"/>
                <w:lang w:val="en-US" w:eastAsia="zh-CN" w:bidi="ar-SA"/>
              </w:rPr>
              <w:t>无</w:t>
            </w:r>
            <w:r>
              <w:rPr>
                <w:rFonts w:hint="eastAsia" w:ascii="Times New Roman" w:hAnsi="Times New Roman" w:cs="Times New Roman"/>
                <w:b w:val="0"/>
                <w:bCs w:val="0"/>
                <w:iCs w:val="0"/>
                <w:color w:val="auto"/>
                <w:kern w:val="2"/>
                <w:sz w:val="24"/>
                <w:szCs w:val="24"/>
                <w:lang w:val="en-US" w:eastAsia="zh-CN" w:bidi="ar-SA"/>
              </w:rPr>
              <w:t>。</w:t>
            </w:r>
          </w:p>
        </w:tc>
      </w:tr>
      <w:tr w14:paraId="54A79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83" w:type="dxa"/>
            <w:noWrap w:val="0"/>
            <w:vAlign w:val="center"/>
          </w:tcPr>
          <w:p w14:paraId="76854EFE">
            <w:pPr>
              <w:adjustRightInd w:val="0"/>
              <w:snapToGrid w:val="0"/>
              <w:jc w:val="center"/>
              <w:rPr>
                <w:rFonts w:ascii="Times New Roman" w:hAnsi="Times New Roman" w:cs="宋体"/>
                <w:color w:val="auto"/>
                <w:szCs w:val="21"/>
              </w:rPr>
            </w:pPr>
            <w:r>
              <w:rPr>
                <w:rFonts w:hint="eastAsia" w:ascii="Times New Roman" w:hAnsi="Times New Roman" w:cs="宋体"/>
                <w:color w:val="auto"/>
                <w:szCs w:val="21"/>
              </w:rPr>
              <w:t>规划环境影响</w:t>
            </w:r>
          </w:p>
          <w:p w14:paraId="7790D9BF">
            <w:pPr>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szCs w:val="21"/>
              </w:rPr>
              <w:t>评价情况</w:t>
            </w:r>
          </w:p>
        </w:tc>
        <w:tc>
          <w:tcPr>
            <w:tcW w:w="7887" w:type="dxa"/>
            <w:gridSpan w:val="3"/>
            <w:noWrap w:val="0"/>
            <w:vAlign w:val="center"/>
          </w:tcPr>
          <w:p w14:paraId="7B6CC451">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firstLine="480" w:firstLineChars="200"/>
              <w:jc w:val="left"/>
              <w:textAlignment w:val="auto"/>
              <w:rPr>
                <w:rFonts w:hint="eastAsia" w:ascii="Times New Roman" w:hAnsi="Times New Roman" w:eastAsia="宋体"/>
                <w:color w:val="auto"/>
                <w:sz w:val="24"/>
                <w:szCs w:val="24"/>
                <w:lang w:val="en-US" w:eastAsia="zh-CN"/>
              </w:rPr>
            </w:pPr>
            <w:r>
              <w:rPr>
                <w:rFonts w:hint="eastAsia" w:ascii="Times New Roman" w:hAnsi="Times New Roman"/>
                <w:color w:val="auto"/>
                <w:sz w:val="24"/>
                <w:szCs w:val="24"/>
                <w:lang w:val="en-US" w:eastAsia="zh-CN"/>
              </w:rPr>
              <w:t>无</w:t>
            </w:r>
          </w:p>
        </w:tc>
      </w:tr>
      <w:tr w14:paraId="291AD4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83" w:type="dxa"/>
            <w:noWrap w:val="0"/>
            <w:vAlign w:val="center"/>
          </w:tcPr>
          <w:p w14:paraId="414190AB">
            <w:pPr>
              <w:autoSpaceDE w:val="0"/>
              <w:autoSpaceDN w:val="0"/>
              <w:adjustRightInd w:val="0"/>
              <w:snapToGrid w:val="0"/>
              <w:jc w:val="center"/>
              <w:rPr>
                <w:rFonts w:ascii="Times New Roman" w:hAnsi="Times New Roman" w:cs="宋体"/>
                <w:color w:val="auto"/>
                <w:kern w:val="0"/>
                <w:szCs w:val="21"/>
              </w:rPr>
            </w:pPr>
            <w:r>
              <w:rPr>
                <w:rFonts w:hint="eastAsia" w:ascii="Times New Roman" w:hAnsi="Times New Roman" w:cs="宋体"/>
                <w:color w:val="auto"/>
                <w:kern w:val="0"/>
                <w:szCs w:val="21"/>
              </w:rPr>
              <w:t>规划及规划环境影响评价符合性分析</w:t>
            </w:r>
          </w:p>
        </w:tc>
        <w:tc>
          <w:tcPr>
            <w:tcW w:w="7887" w:type="dxa"/>
            <w:gridSpan w:val="3"/>
            <w:noWrap w:val="0"/>
            <w:vAlign w:val="center"/>
          </w:tcPr>
          <w:p w14:paraId="25847F51">
            <w:pPr>
              <w:pStyle w:val="3"/>
              <w:keepNext/>
              <w:keepLines/>
              <w:pageBreakBefore w:val="0"/>
              <w:widowControl w:val="0"/>
              <w:kinsoku/>
              <w:wordWrap/>
              <w:overflowPunct w:val="0"/>
              <w:topLinePunct w:val="0"/>
              <w:autoSpaceDE/>
              <w:autoSpaceDN/>
              <w:bidi w:val="0"/>
              <w:adjustRightInd/>
              <w:snapToGrid w:val="0"/>
              <w:spacing w:before="0" w:after="0"/>
              <w:ind w:left="431" w:hanging="431"/>
              <w:textAlignment w:val="auto"/>
              <w:rPr>
                <w:rFonts w:hint="eastAsia" w:ascii="Times New Roman" w:hAnsi="Times New Roman" w:eastAsia="宋体" w:cs="Times New Roman"/>
                <w:b/>
                <w:bCs w:val="0"/>
                <w:color w:val="auto"/>
                <w:lang w:val="en-US" w:eastAsia="zh-CN"/>
              </w:rPr>
            </w:pPr>
            <w:bookmarkStart w:id="8" w:name="_Toc28621"/>
            <w:bookmarkStart w:id="9" w:name="_Toc2715"/>
            <w:r>
              <w:rPr>
                <w:rFonts w:hint="eastAsia" w:ascii="Times New Roman" w:hAnsi="Times New Roman" w:eastAsia="宋体" w:cs="Times New Roman"/>
                <w:b/>
                <w:bCs w:val="0"/>
                <w:color w:val="auto"/>
                <w:lang w:val="en-US" w:eastAsia="zh-CN"/>
              </w:rPr>
              <w:t>1.</w:t>
            </w:r>
            <w:bookmarkStart w:id="10" w:name="_Toc25303"/>
            <w:r>
              <w:rPr>
                <w:rFonts w:hint="eastAsia" w:ascii="Times New Roman" w:hAnsi="Times New Roman" w:cs="Times New Roman"/>
                <w:b/>
                <w:bCs w:val="0"/>
                <w:color w:val="auto"/>
                <w:lang w:val="en-US" w:eastAsia="zh-CN"/>
              </w:rPr>
              <w:t>1</w:t>
            </w:r>
            <w:r>
              <w:rPr>
                <w:rFonts w:hint="eastAsia" w:ascii="Times New Roman" w:hAnsi="Times New Roman" w:eastAsia="宋体" w:cs="Times New Roman"/>
                <w:b/>
                <w:bCs w:val="0"/>
                <w:color w:val="auto"/>
                <w:lang w:val="en-US" w:eastAsia="zh-CN"/>
              </w:rPr>
              <w:t>与《福州市国土空间总体规划（2021—2035年）》“三区三线”符合性分析</w:t>
            </w:r>
            <w:bookmarkEnd w:id="8"/>
            <w:bookmarkEnd w:id="9"/>
            <w:bookmarkEnd w:id="10"/>
          </w:p>
          <w:p w14:paraId="1FD80D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《福州国土空间总体规划（2021—2035年）》提出以“山海廊道联通和流域治理”筑牢生态本底，以“多向开放和创新转化”增强中心城市功能，以“陆海联动与福州主城区</w:t>
            </w:r>
            <w:r>
              <w:rPr>
                <w:rFonts w:hint="eastAsia" w:ascii="Times New Roman" w:hAnsi="Times New Roman"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福州新区</w:t>
            </w:r>
            <w:r>
              <w:rPr>
                <w:rFonts w:hint="eastAsia" w:ascii="Times New Roman" w:hAnsi="Times New Roman"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平潭综合实验区协同”优化空间格局，以“文化彰显与宜居品质建设”提升城市吸引力，构建全域开发保护新框架。</w:t>
            </w:r>
          </w:p>
          <w:p w14:paraId="30B177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olor w:val="auto"/>
                <w:lang w:val="en-US" w:eastAsia="zh-CN"/>
              </w:rPr>
            </w:pPr>
            <w:r>
              <w:rPr>
                <w:rFonts w:hint="eastAsia" w:ascii="Times New Roman" w:hAnsi="Times New Roman" w:eastAsia="宋体" w:cs="宋体"/>
                <w:color w:val="auto"/>
                <w:kern w:val="2"/>
                <w:sz w:val="24"/>
                <w:szCs w:val="24"/>
                <w:lang w:val="en-US" w:eastAsia="zh-CN" w:bidi="ar-SA"/>
              </w:rPr>
              <w:t>根据福州市域国土空间控制线规划图，</w:t>
            </w:r>
            <w:r>
              <w:rPr>
                <w:rFonts w:hint="default" w:ascii="Times New Roman" w:hAnsi="Times New Roman" w:eastAsia="宋体" w:cs="宋体"/>
                <w:color w:val="auto"/>
                <w:kern w:val="2"/>
                <w:sz w:val="24"/>
                <w:szCs w:val="24"/>
                <w:lang w:val="en-US" w:eastAsia="zh-CN" w:bidi="ar-SA"/>
              </w:rPr>
              <w:t>项目</w:t>
            </w:r>
            <w:r>
              <w:rPr>
                <w:rFonts w:hint="eastAsia" w:ascii="Times New Roman" w:hAnsi="Times New Roman" w:eastAsia="宋体" w:cs="宋体"/>
                <w:color w:val="auto"/>
                <w:kern w:val="2"/>
                <w:sz w:val="24"/>
                <w:szCs w:val="24"/>
                <w:lang w:val="en-US" w:eastAsia="zh-CN" w:bidi="ar-SA"/>
              </w:rPr>
              <w:t>所在位置为</w:t>
            </w:r>
            <w:r>
              <w:rPr>
                <w:rFonts w:hint="eastAsia" w:ascii="Times New Roman" w:hAnsi="Times New Roman" w:cs="宋体"/>
                <w:color w:val="auto"/>
                <w:kern w:val="2"/>
                <w:sz w:val="24"/>
                <w:szCs w:val="24"/>
                <w:lang w:val="en-US" w:eastAsia="zh-CN" w:bidi="ar-SA"/>
              </w:rPr>
              <w:t>福建省福州市闽侯县上街镇马保村后园32号2号楼1层</w:t>
            </w:r>
            <w:r>
              <w:rPr>
                <w:rFonts w:hint="eastAsia" w:ascii="Times New Roman" w:hAnsi="Times New Roman" w:eastAsia="宋体" w:cs="宋体"/>
                <w:color w:val="auto"/>
                <w:kern w:val="2"/>
                <w:sz w:val="24"/>
                <w:szCs w:val="24"/>
                <w:lang w:val="en-US" w:eastAsia="zh-CN" w:bidi="ar-SA"/>
              </w:rPr>
              <w:t>，不属于陆域生态保护红线，不属于海洋生态保护红线。项目</w:t>
            </w:r>
            <w:r>
              <w:rPr>
                <w:rFonts w:hint="default" w:ascii="Times New Roman" w:hAnsi="Times New Roman" w:eastAsia="宋体" w:cs="宋体"/>
                <w:color w:val="auto"/>
                <w:kern w:val="2"/>
                <w:sz w:val="24"/>
                <w:szCs w:val="24"/>
                <w:lang w:val="en-US" w:eastAsia="zh-CN" w:bidi="ar-SA"/>
              </w:rPr>
              <w:t>用地范围内不占用</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三区三线</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规划的永久基本农田，对基本农田的保有率无影响，不占用</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三区三线</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成果划定的生态保护红线区，用地属于工业用地，能够符合城镇集中建设区的功能定位。项目与</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三区三线</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的要求不冲突</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因此，项目符合国土空间规划。</w:t>
            </w:r>
            <w:r>
              <w:rPr>
                <w:rFonts w:hint="eastAsia" w:ascii="Times New Roman" w:hAnsi="Times New Roman" w:eastAsia="宋体" w:cs="宋体"/>
                <w:color w:val="auto"/>
                <w:kern w:val="2"/>
                <w:sz w:val="24"/>
                <w:szCs w:val="24"/>
                <w:lang w:val="en-US" w:eastAsia="zh-CN" w:bidi="ar-SA"/>
              </w:rPr>
              <w:t>详见</w:t>
            </w:r>
            <w:r>
              <w:rPr>
                <w:rFonts w:hint="eastAsia" w:ascii="Times New Roman" w:hAnsi="Times New Roman" w:cs="宋体"/>
                <w:color w:val="auto"/>
                <w:kern w:val="2"/>
                <w:sz w:val="24"/>
                <w:szCs w:val="24"/>
                <w:lang w:val="en-US" w:eastAsia="zh-CN" w:bidi="ar-SA"/>
              </w:rPr>
              <w:t>附图七</w:t>
            </w:r>
            <w:r>
              <w:rPr>
                <w:rFonts w:hint="eastAsia" w:ascii="Times New Roman" w:hAnsi="Times New Roman" w:eastAsia="宋体" w:cs="宋体"/>
                <w:color w:val="auto"/>
                <w:kern w:val="2"/>
                <w:sz w:val="24"/>
                <w:szCs w:val="24"/>
                <w:lang w:val="en-US" w:eastAsia="zh-CN" w:bidi="ar-SA"/>
              </w:rPr>
              <w:t>。</w:t>
            </w:r>
          </w:p>
        </w:tc>
      </w:tr>
      <w:tr w14:paraId="2F1D2E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21" w:hRule="atLeast"/>
          <w:jc w:val="center"/>
        </w:trPr>
        <w:tc>
          <w:tcPr>
            <w:tcW w:w="983" w:type="dxa"/>
            <w:noWrap w:val="0"/>
            <w:vAlign w:val="center"/>
          </w:tcPr>
          <w:p w14:paraId="456EF771">
            <w:pPr>
              <w:autoSpaceDE w:val="0"/>
              <w:autoSpaceDN w:val="0"/>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kern w:val="0"/>
                <w:szCs w:val="21"/>
              </w:rPr>
              <w:t>其他符合性分析</w:t>
            </w:r>
          </w:p>
        </w:tc>
        <w:tc>
          <w:tcPr>
            <w:tcW w:w="7887" w:type="dxa"/>
            <w:gridSpan w:val="3"/>
            <w:noWrap w:val="0"/>
            <w:vAlign w:val="center"/>
          </w:tcPr>
          <w:p w14:paraId="16517543">
            <w:pPr>
              <w:pStyle w:val="3"/>
              <w:keepNext/>
              <w:keepLines/>
              <w:pageBreakBefore w:val="0"/>
              <w:widowControl w:val="0"/>
              <w:kinsoku/>
              <w:wordWrap/>
              <w:overflowPunct w:val="0"/>
              <w:topLinePunct w:val="0"/>
              <w:autoSpaceDE/>
              <w:autoSpaceDN/>
              <w:bidi w:val="0"/>
              <w:adjustRightInd/>
              <w:snapToGrid w:val="0"/>
              <w:spacing w:before="0" w:after="0"/>
              <w:ind w:left="431" w:hanging="431"/>
              <w:textAlignment w:val="auto"/>
              <w:rPr>
                <w:rFonts w:hint="eastAsia" w:ascii="Times New Roman" w:hAnsi="Times New Roman" w:eastAsia="宋体" w:cs="Times New Roman"/>
                <w:b/>
                <w:bCs w:val="0"/>
                <w:color w:val="auto"/>
                <w:lang w:val="en-US" w:eastAsia="zh-CN"/>
              </w:rPr>
            </w:pPr>
            <w:bookmarkStart w:id="11" w:name="_Toc516"/>
            <w:bookmarkStart w:id="12" w:name="_Toc13412"/>
            <w:r>
              <w:rPr>
                <w:rFonts w:hint="eastAsia" w:ascii="Times New Roman" w:hAnsi="Times New Roman" w:eastAsia="宋体" w:cs="Times New Roman"/>
                <w:b/>
                <w:bCs w:val="0"/>
                <w:color w:val="auto"/>
                <w:lang w:val="en-US" w:eastAsia="zh-CN"/>
              </w:rPr>
              <w:t>1.</w:t>
            </w:r>
            <w:r>
              <w:rPr>
                <w:rFonts w:hint="eastAsia" w:ascii="Times New Roman" w:hAnsi="Times New Roman" w:cs="Times New Roman"/>
                <w:b/>
                <w:bCs w:val="0"/>
                <w:color w:val="auto"/>
                <w:lang w:val="en-US" w:eastAsia="zh-CN"/>
              </w:rPr>
              <w:t>2</w:t>
            </w:r>
            <w:r>
              <w:rPr>
                <w:rFonts w:hint="eastAsia" w:ascii="Times New Roman" w:hAnsi="Times New Roman" w:eastAsia="宋体" w:cs="Times New Roman"/>
                <w:b/>
                <w:bCs w:val="0"/>
                <w:color w:val="auto"/>
                <w:lang w:val="en-US" w:eastAsia="zh-CN"/>
              </w:rPr>
              <w:t>产业政策适宜性分析</w:t>
            </w:r>
            <w:bookmarkEnd w:id="11"/>
            <w:bookmarkEnd w:id="12"/>
          </w:p>
          <w:p w14:paraId="2CAFFF1D">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根据《产业结构调整指导目录（</w:t>
            </w:r>
            <w:r>
              <w:rPr>
                <w:rFonts w:hint="eastAsia" w:ascii="Times New Roman" w:hAnsi="Times New Roman"/>
                <w:color w:val="auto"/>
                <w:lang w:val="en-US" w:eastAsia="zh-CN"/>
              </w:rPr>
              <w:t>2024</w:t>
            </w:r>
            <w:r>
              <w:rPr>
                <w:rFonts w:hint="default" w:ascii="Times New Roman" w:hAnsi="Times New Roman"/>
                <w:color w:val="auto"/>
                <w:lang w:val="en-US" w:eastAsia="zh-CN"/>
              </w:rPr>
              <w:t>年本）》，本项目产品、生产工艺及设备均不属于产业政策中的限制和</w:t>
            </w:r>
            <w:r>
              <w:rPr>
                <w:rFonts w:hint="eastAsia" w:ascii="Times New Roman" w:hAnsi="Times New Roman"/>
                <w:color w:val="auto"/>
                <w:lang w:val="en-US" w:eastAsia="zh-CN"/>
              </w:rPr>
              <w:t>淘汰</w:t>
            </w:r>
            <w:r>
              <w:rPr>
                <w:rFonts w:hint="default" w:ascii="Times New Roman" w:hAnsi="Times New Roman"/>
                <w:color w:val="auto"/>
                <w:lang w:val="en-US" w:eastAsia="zh-CN"/>
              </w:rPr>
              <w:t>类，符合国家产业政策。</w:t>
            </w:r>
          </w:p>
          <w:p w14:paraId="3E26A3B9">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同时</w:t>
            </w:r>
            <w:r>
              <w:rPr>
                <w:rFonts w:hint="eastAsia" w:ascii="Times New Roman" w:hAnsi="Times New Roman"/>
                <w:color w:val="auto"/>
                <w:lang w:val="en-US" w:eastAsia="zh-CN"/>
              </w:rPr>
              <w:t>本</w:t>
            </w:r>
            <w:r>
              <w:rPr>
                <w:rFonts w:hint="default" w:ascii="Times New Roman" w:hAnsi="Times New Roman"/>
                <w:color w:val="auto"/>
                <w:lang w:val="en-US" w:eastAsia="zh-CN"/>
              </w:rPr>
              <w:t>项目已经取得</w:t>
            </w:r>
            <w:r>
              <w:rPr>
                <w:rFonts w:hint="eastAsia" w:ascii="Times New Roman" w:hAnsi="Times New Roman"/>
                <w:color w:val="auto"/>
                <w:lang w:val="en-US" w:eastAsia="zh-CN"/>
              </w:rPr>
              <w:t>闽侯县发展和改革局</w:t>
            </w:r>
            <w:r>
              <w:rPr>
                <w:rFonts w:hint="default" w:ascii="Times New Roman" w:hAnsi="Times New Roman"/>
                <w:color w:val="auto"/>
                <w:lang w:val="en-US" w:eastAsia="zh-CN"/>
              </w:rPr>
              <w:t>的备案，备案号为</w:t>
            </w:r>
            <w:r>
              <w:rPr>
                <w:rFonts w:hint="eastAsia" w:ascii="Times New Roman" w:hAnsi="Times New Roman"/>
                <w:color w:val="auto"/>
                <w:lang w:val="en-US" w:eastAsia="zh-CN"/>
              </w:rPr>
              <w:t>闽发改备〔2026〕A080403号（见附件二）</w:t>
            </w:r>
            <w:r>
              <w:rPr>
                <w:rFonts w:hint="default" w:ascii="Times New Roman" w:hAnsi="Times New Roman"/>
                <w:color w:val="auto"/>
                <w:lang w:val="en-US" w:eastAsia="zh-CN"/>
              </w:rPr>
              <w:t>，本项目符合国家产业政策。</w:t>
            </w:r>
          </w:p>
          <w:p w14:paraId="23359560">
            <w:pPr>
              <w:pStyle w:val="3"/>
              <w:keepNext/>
              <w:keepLines/>
              <w:pageBreakBefore w:val="0"/>
              <w:widowControl w:val="0"/>
              <w:kinsoku/>
              <w:wordWrap/>
              <w:overflowPunct w:val="0"/>
              <w:topLinePunct w:val="0"/>
              <w:autoSpaceDE/>
              <w:autoSpaceDN/>
              <w:bidi w:val="0"/>
              <w:adjustRightInd/>
              <w:snapToGrid w:val="0"/>
              <w:spacing w:before="0" w:after="0"/>
              <w:ind w:left="431" w:hanging="431"/>
              <w:textAlignment w:val="auto"/>
              <w:rPr>
                <w:rFonts w:hint="eastAsia" w:ascii="Times New Roman" w:hAnsi="Times New Roman" w:eastAsia="宋体" w:cs="Times New Roman"/>
                <w:b/>
                <w:bCs w:val="0"/>
                <w:color w:val="auto"/>
                <w:lang w:val="en-US" w:eastAsia="zh-CN"/>
              </w:rPr>
            </w:pPr>
            <w:bookmarkStart w:id="13" w:name="_Toc27086"/>
            <w:bookmarkStart w:id="14" w:name="_Toc21579"/>
            <w:r>
              <w:rPr>
                <w:rFonts w:hint="eastAsia" w:ascii="Times New Roman" w:hAnsi="Times New Roman" w:eastAsia="宋体" w:cs="Times New Roman"/>
                <w:b/>
                <w:bCs w:val="0"/>
                <w:color w:val="auto"/>
                <w:lang w:val="en-US" w:eastAsia="zh-CN"/>
              </w:rPr>
              <w:t>1.</w:t>
            </w:r>
            <w:r>
              <w:rPr>
                <w:rFonts w:hint="eastAsia" w:ascii="Times New Roman" w:hAnsi="Times New Roman" w:cs="Times New Roman"/>
                <w:b/>
                <w:bCs w:val="0"/>
                <w:color w:val="auto"/>
                <w:lang w:val="en-US" w:eastAsia="zh-CN"/>
              </w:rPr>
              <w:t>3</w:t>
            </w:r>
            <w:r>
              <w:rPr>
                <w:rFonts w:hint="eastAsia" w:ascii="Times New Roman" w:hAnsi="Times New Roman" w:eastAsia="宋体" w:cs="Times New Roman"/>
                <w:b/>
                <w:bCs w:val="0"/>
                <w:color w:val="auto"/>
                <w:lang w:val="en-US" w:eastAsia="zh-CN"/>
              </w:rPr>
              <w:t>项目用地规划合理性分析</w:t>
            </w:r>
            <w:bookmarkEnd w:id="13"/>
            <w:bookmarkEnd w:id="14"/>
          </w:p>
          <w:p w14:paraId="70D1ECB9">
            <w:pPr>
              <w:pStyle w:val="5"/>
              <w:bidi w:val="0"/>
              <w:rPr>
                <w:rFonts w:hint="default" w:ascii="Times New Roman" w:hAnsi="Times New Roman" w:eastAsia="宋体" w:cs="宋体"/>
                <w:color w:val="auto"/>
                <w:sz w:val="24"/>
                <w:lang w:val="en-US" w:eastAsia="zh-CN"/>
              </w:rPr>
            </w:pPr>
            <w:r>
              <w:rPr>
                <w:rFonts w:hint="eastAsia" w:ascii="Times New Roman" w:hAnsi="Times New Roman" w:eastAsia="宋体"/>
                <w:color w:val="auto"/>
                <w:sz w:val="24"/>
                <w:lang w:val="en-US" w:eastAsia="zh-CN"/>
              </w:rPr>
              <w:t>本项目位于</w:t>
            </w:r>
            <w:r>
              <w:rPr>
                <w:rFonts w:hint="eastAsia" w:ascii="Times New Roman" w:hAnsi="Times New Roman"/>
                <w:color w:val="auto"/>
                <w:sz w:val="24"/>
                <w:lang w:val="en-US" w:eastAsia="zh-CN"/>
              </w:rPr>
              <w:t>福建省福州市闽侯县上街镇马保村后园32号2号楼1层</w:t>
            </w:r>
            <w:r>
              <w:rPr>
                <w:rFonts w:hint="eastAsia" w:ascii="Times New Roman" w:hAnsi="Times New Roman" w:eastAsia="宋体"/>
                <w:color w:val="auto"/>
                <w:sz w:val="24"/>
                <w:lang w:val="en-US" w:eastAsia="zh-CN"/>
              </w:rPr>
              <w:t>，福州鑫美榕纸业有限公司出</w:t>
            </w:r>
            <w:r>
              <w:rPr>
                <w:rFonts w:hint="eastAsia" w:ascii="Times New Roman" w:hAnsi="Times New Roman"/>
                <w:color w:val="auto"/>
                <w:sz w:val="24"/>
                <w:lang w:val="en-US" w:eastAsia="zh-CN"/>
              </w:rPr>
              <w:t>租闲置</w:t>
            </w:r>
            <w:r>
              <w:rPr>
                <w:rFonts w:hint="eastAsia" w:ascii="Times New Roman" w:hAnsi="Times New Roman" w:eastAsia="宋体"/>
                <w:color w:val="auto"/>
                <w:sz w:val="24"/>
                <w:lang w:val="en-US" w:eastAsia="zh-CN"/>
              </w:rPr>
              <w:t>厂房给</w:t>
            </w:r>
            <w:r>
              <w:rPr>
                <w:rFonts w:hint="eastAsia" w:ascii="Times New Roman" w:hAnsi="Times New Roman"/>
                <w:color w:val="auto"/>
                <w:sz w:val="24"/>
                <w:lang w:val="en-US" w:eastAsia="zh-CN"/>
              </w:rPr>
              <w:t>福州创宇光电有限公司</w:t>
            </w:r>
            <w:r>
              <w:rPr>
                <w:rFonts w:hint="eastAsia" w:ascii="Times New Roman" w:hAnsi="Times New Roman" w:eastAsia="宋体"/>
                <w:color w:val="auto"/>
                <w:sz w:val="24"/>
                <w:lang w:val="en-US" w:eastAsia="zh-CN"/>
              </w:rPr>
              <w:t>建设</w:t>
            </w:r>
            <w:r>
              <w:rPr>
                <w:rFonts w:hint="eastAsia" w:ascii="Times New Roman" w:hAnsi="Times New Roman"/>
                <w:color w:val="auto"/>
                <w:sz w:val="24"/>
                <w:lang w:val="en-US" w:eastAsia="zh-CN"/>
              </w:rPr>
              <w:t>（厂房租赁合同详见附件五），</w:t>
            </w:r>
            <w:r>
              <w:rPr>
                <w:rFonts w:hint="default" w:ascii="Times New Roman" w:hAnsi="Times New Roman" w:eastAsia="宋体" w:cs="Times New Roman"/>
                <w:bCs/>
                <w:i w:val="0"/>
                <w:iCs w:val="0"/>
                <w:color w:val="auto"/>
                <w:sz w:val="24"/>
                <w:szCs w:val="32"/>
                <w:highlight w:val="none"/>
              </w:rPr>
              <w:t>检</w:t>
            </w:r>
            <w:r>
              <w:rPr>
                <w:rFonts w:hint="default" w:ascii="Times New Roman" w:hAnsi="Times New Roman" w:eastAsia="宋体" w:cs="宋体"/>
                <w:color w:val="auto"/>
                <w:sz w:val="24"/>
                <w:lang w:val="en-US" w:eastAsia="zh-CN"/>
              </w:rPr>
              <w:t>索</w:t>
            </w:r>
            <w:r>
              <w:rPr>
                <w:rFonts w:hint="eastAsia" w:ascii="Times New Roman" w:hAnsi="Times New Roman" w:eastAsia="宋体" w:cs="宋体"/>
                <w:color w:val="auto"/>
                <w:sz w:val="24"/>
                <w:lang w:val="en-US" w:eastAsia="zh-CN"/>
              </w:rPr>
              <w:t>《自然资源要素支撑产业高质量发展指导目录（2024年本）》</w:t>
            </w:r>
            <w:r>
              <w:rPr>
                <w:rFonts w:hint="default" w:ascii="Times New Roman" w:hAnsi="Times New Roman" w:eastAsia="宋体" w:cs="宋体"/>
                <w:color w:val="auto"/>
                <w:sz w:val="24"/>
                <w:lang w:val="en-US" w:eastAsia="zh-CN"/>
              </w:rPr>
              <w:t>，不属于以上目录中的</w:t>
            </w:r>
            <w:r>
              <w:rPr>
                <w:rFonts w:hint="eastAsia" w:ascii="Times New Roman" w:hAnsi="Times New Roman" w:eastAsia="宋体" w:cs="宋体"/>
                <w:color w:val="auto"/>
                <w:sz w:val="24"/>
                <w:lang w:val="en-US" w:eastAsia="zh-CN"/>
              </w:rPr>
              <w:t>限制</w:t>
            </w:r>
            <w:r>
              <w:rPr>
                <w:rFonts w:hint="default" w:ascii="Times New Roman" w:hAnsi="Times New Roman" w:eastAsia="宋体" w:cs="宋体"/>
                <w:color w:val="auto"/>
                <w:sz w:val="24"/>
                <w:lang w:val="en-US" w:eastAsia="zh-CN"/>
              </w:rPr>
              <w:t>项目。</w:t>
            </w:r>
          </w:p>
          <w:p w14:paraId="0E5DCA71">
            <w:pPr>
              <w:pStyle w:val="3"/>
              <w:keepNext/>
              <w:keepLines/>
              <w:pageBreakBefore w:val="0"/>
              <w:widowControl w:val="0"/>
              <w:kinsoku/>
              <w:wordWrap/>
              <w:overflowPunct w:val="0"/>
              <w:topLinePunct w:val="0"/>
              <w:autoSpaceDE/>
              <w:autoSpaceDN/>
              <w:bidi w:val="0"/>
              <w:adjustRightInd/>
              <w:snapToGrid w:val="0"/>
              <w:spacing w:before="0" w:after="0"/>
              <w:ind w:left="431" w:hanging="431"/>
              <w:textAlignment w:val="auto"/>
              <w:rPr>
                <w:rFonts w:hint="eastAsia" w:ascii="Times New Roman" w:hAnsi="Times New Roman" w:eastAsia="宋体" w:cs="Times New Roman"/>
                <w:b/>
                <w:bCs w:val="0"/>
                <w:color w:val="auto"/>
                <w:lang w:val="en-US" w:eastAsia="zh-CN"/>
              </w:rPr>
            </w:pPr>
            <w:bookmarkStart w:id="15" w:name="_Toc11943"/>
            <w:bookmarkStart w:id="16" w:name="_Toc18736"/>
            <w:r>
              <w:rPr>
                <w:rFonts w:hint="eastAsia" w:ascii="Times New Roman" w:hAnsi="Times New Roman" w:eastAsia="宋体" w:cs="Times New Roman"/>
                <w:b/>
                <w:bCs w:val="0"/>
                <w:color w:val="auto"/>
                <w:lang w:val="en-US" w:eastAsia="zh-CN"/>
              </w:rPr>
              <w:t>1.</w:t>
            </w:r>
            <w:r>
              <w:rPr>
                <w:rFonts w:hint="eastAsia" w:ascii="Times New Roman" w:hAnsi="Times New Roman" w:cs="Times New Roman"/>
                <w:b/>
                <w:bCs w:val="0"/>
                <w:color w:val="auto"/>
                <w:lang w:val="en-US" w:eastAsia="zh-CN"/>
              </w:rPr>
              <w:t>4</w:t>
            </w:r>
            <w:r>
              <w:rPr>
                <w:rFonts w:hint="eastAsia" w:ascii="Times New Roman" w:hAnsi="Times New Roman" w:eastAsia="宋体" w:cs="Times New Roman"/>
                <w:b/>
                <w:bCs w:val="0"/>
                <w:color w:val="auto"/>
                <w:lang w:val="en-US" w:eastAsia="zh-CN"/>
              </w:rPr>
              <w:t>项目周边相容性符合性分析</w:t>
            </w:r>
            <w:bookmarkEnd w:id="15"/>
            <w:bookmarkEnd w:id="16"/>
          </w:p>
          <w:p w14:paraId="3288669D">
            <w:pPr>
              <w:pStyle w:val="5"/>
              <w:bidi w:val="0"/>
              <w:rPr>
                <w:rFonts w:hint="eastAsia" w:ascii="Times New Roman" w:hAnsi="Times New Roman"/>
                <w:color w:val="auto"/>
                <w:lang w:val="en-US" w:eastAsia="zh-CN"/>
              </w:rPr>
            </w:pPr>
            <w:r>
              <w:rPr>
                <w:rFonts w:hint="default" w:ascii="Times New Roman" w:hAnsi="Times New Roman"/>
                <w:color w:val="auto"/>
                <w:lang w:val="en-US" w:eastAsia="zh-CN"/>
              </w:rPr>
              <w:t>本项目位于</w:t>
            </w:r>
            <w:r>
              <w:rPr>
                <w:rFonts w:hint="eastAsia" w:ascii="Times New Roman" w:hAnsi="Times New Roman"/>
                <w:color w:val="auto"/>
                <w:lang w:val="en-US" w:eastAsia="zh-CN"/>
              </w:rPr>
              <w:t>福建省福州市闽侯县上街镇马保村后园32号2号楼1层</w:t>
            </w:r>
            <w:r>
              <w:rPr>
                <w:rFonts w:hint="default" w:ascii="Times New Roman" w:hAnsi="Times New Roman"/>
                <w:color w:val="auto"/>
                <w:lang w:val="en-US" w:eastAsia="zh-CN"/>
              </w:rPr>
              <w:t>，</w:t>
            </w:r>
            <w:r>
              <w:rPr>
                <w:rFonts w:hint="eastAsia" w:ascii="Times New Roman" w:hAnsi="Times New Roman"/>
                <w:color w:val="auto"/>
                <w:lang w:val="en-US" w:eastAsia="zh-CN"/>
              </w:rPr>
              <w:t>项目四周为正在建设以及其他工业企业，项目运营过程中对周边敏感目标影响较小，建设单位在落实本报告提出的各项环保措施的基础上，对周围环境的影响则可以控制在允许范围内。因此本项目与周边环境相容。</w:t>
            </w:r>
          </w:p>
          <w:p w14:paraId="11D84946">
            <w:pPr>
              <w:pStyle w:val="3"/>
              <w:keepNext/>
              <w:keepLines/>
              <w:pageBreakBefore w:val="0"/>
              <w:widowControl w:val="0"/>
              <w:kinsoku/>
              <w:wordWrap/>
              <w:overflowPunct w:val="0"/>
              <w:topLinePunct w:val="0"/>
              <w:autoSpaceDE/>
              <w:autoSpaceDN/>
              <w:bidi w:val="0"/>
              <w:adjustRightInd/>
              <w:snapToGrid w:val="0"/>
              <w:spacing w:before="0" w:after="0"/>
              <w:ind w:left="431" w:hanging="431"/>
              <w:textAlignment w:val="auto"/>
              <w:rPr>
                <w:rFonts w:hint="eastAsia" w:ascii="Times New Roman" w:hAnsi="Times New Roman" w:eastAsia="宋体" w:cs="Times New Roman"/>
                <w:b/>
                <w:bCs w:val="0"/>
                <w:color w:val="auto"/>
                <w:lang w:val="en-US" w:eastAsia="zh-CN"/>
              </w:rPr>
            </w:pPr>
            <w:bookmarkStart w:id="17" w:name="_Toc10287"/>
            <w:bookmarkStart w:id="18" w:name="_Toc9304"/>
            <w:r>
              <w:rPr>
                <w:rFonts w:hint="eastAsia" w:ascii="Times New Roman" w:hAnsi="Times New Roman" w:eastAsia="宋体" w:cs="Times New Roman"/>
                <w:b/>
                <w:bCs w:val="0"/>
                <w:color w:val="auto"/>
                <w:lang w:val="en-US" w:eastAsia="zh-CN"/>
              </w:rPr>
              <w:t>1.</w:t>
            </w:r>
            <w:r>
              <w:rPr>
                <w:rFonts w:hint="eastAsia" w:ascii="Times New Roman" w:hAnsi="Times New Roman" w:cs="Times New Roman"/>
                <w:b/>
                <w:bCs w:val="0"/>
                <w:color w:val="auto"/>
                <w:lang w:val="en-US" w:eastAsia="zh-CN"/>
              </w:rPr>
              <w:t>5</w:t>
            </w:r>
            <w:r>
              <w:rPr>
                <w:rFonts w:hint="eastAsia" w:ascii="Times New Roman" w:hAnsi="Times New Roman" w:eastAsia="宋体" w:cs="Times New Roman"/>
                <w:b/>
                <w:bCs w:val="0"/>
                <w:color w:val="auto"/>
                <w:lang w:val="en-US" w:eastAsia="zh-CN"/>
              </w:rPr>
              <w:t>环境功能区划符合性分析</w:t>
            </w:r>
            <w:bookmarkEnd w:id="17"/>
            <w:bookmarkEnd w:id="18"/>
          </w:p>
          <w:p w14:paraId="1853BE61">
            <w:pPr>
              <w:pStyle w:val="45"/>
              <w:numPr>
                <w:ilvl w:val="0"/>
                <w:numId w:val="0"/>
              </w:numPr>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kern w:val="0"/>
                <w:sz w:val="24"/>
                <w:szCs w:val="21"/>
                <w:highlight w:val="none"/>
                <w:lang w:val="en-US" w:eastAsia="zh-CN" w:bidi="ar-SA"/>
              </w:rPr>
              <w:t>（1）</w:t>
            </w:r>
            <w:r>
              <w:rPr>
                <w:rFonts w:hint="eastAsia" w:ascii="Times New Roman" w:hAnsi="Times New Roman" w:eastAsia="宋体" w:cs="Times New Roman"/>
                <w:color w:val="auto"/>
                <w:sz w:val="24"/>
                <w:highlight w:val="none"/>
                <w:lang w:val="en-US" w:eastAsia="zh-CN"/>
              </w:rPr>
              <w:t>废气</w:t>
            </w:r>
          </w:p>
          <w:p w14:paraId="06955F65">
            <w:pPr>
              <w:pStyle w:val="45"/>
              <w:numPr>
                <w:ilvl w:val="0"/>
                <w:numId w:val="0"/>
              </w:numPr>
              <w:ind w:firstLine="480" w:firstLineChars="200"/>
              <w:jc w:val="left"/>
              <w:rPr>
                <w:rFonts w:hint="eastAsia"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项目运营期环境空气污染排放源强很低，对周围环境空气不会产生显著影响，符合</w:t>
            </w:r>
            <w:r>
              <w:rPr>
                <w:rFonts w:hint="eastAsia" w:ascii="Times New Roman" w:hAnsi="Times New Roman" w:cs="Times New Roman"/>
                <w:color w:val="auto"/>
                <w:sz w:val="24"/>
                <w:highlight w:val="none"/>
                <w:lang w:val="en-US" w:eastAsia="zh-CN"/>
              </w:rPr>
              <w:t>《环境空气质量标准》（GB 3095—2026）表1中环境空气污染物基本项目浓度限值的二级过渡阶段限值的要求。</w:t>
            </w:r>
          </w:p>
          <w:p w14:paraId="2C97D172">
            <w:pPr>
              <w:pStyle w:val="45"/>
              <w:numPr>
                <w:ilvl w:val="0"/>
                <w:numId w:val="0"/>
              </w:numPr>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（2）废水</w:t>
            </w:r>
          </w:p>
          <w:p w14:paraId="644257AE">
            <w:pPr>
              <w:pStyle w:val="45"/>
              <w:numPr>
                <w:ilvl w:val="0"/>
                <w:numId w:val="0"/>
              </w:numPr>
              <w:ind w:firstLine="480" w:firstLineChars="200"/>
              <w:rPr>
                <w:rFonts w:hint="eastAsia" w:ascii="Times New Roman" w:hAnsi="Times New Roman" w:eastAsia="宋体" w:cs="Times New Roman"/>
                <w:color w:val="auto"/>
                <w:sz w:val="24"/>
                <w:szCs w:val="20"/>
                <w:highlight w:val="none"/>
                <w:lang w:val="en-US" w:eastAsia="zh-CN"/>
              </w:rPr>
            </w:pPr>
            <w:r>
              <w:rPr>
                <w:rFonts w:hint="eastAsia" w:ascii="Times New Roman" w:hAnsi="Times New Roman" w:eastAsia="宋体" w:cs="Times New Roman"/>
                <w:color w:val="auto"/>
                <w:sz w:val="24"/>
                <w:szCs w:val="20"/>
                <w:highlight w:val="none"/>
                <w:lang w:val="en-US" w:eastAsia="zh-CN"/>
              </w:rPr>
              <w:t>生活污水经化粪池处理达标后排入市政管网，纳入大学城污水处理厂；铣磨废水、抛光废水、磨边废水、超洗废水经过三级沉淀池沉淀处理达标后排入市政管网，纳入大学城污水处理厂；纯水槽的纯水与非纯净废水直接排入市政管网，纳入大学城污水处理。因此，项目污水对周边水体环境造成影响较小。</w:t>
            </w:r>
          </w:p>
          <w:p w14:paraId="2BD4E248">
            <w:pPr>
              <w:pStyle w:val="45"/>
              <w:numPr>
                <w:ilvl w:val="0"/>
                <w:numId w:val="0"/>
              </w:numPr>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（3）噪声</w:t>
            </w:r>
          </w:p>
          <w:p w14:paraId="09072D9B">
            <w:pPr>
              <w:pStyle w:val="45"/>
              <w:numPr>
                <w:ilvl w:val="0"/>
                <w:numId w:val="0"/>
              </w:numPr>
              <w:ind w:firstLine="480" w:firstLineChars="200"/>
              <w:rPr>
                <w:rFonts w:hint="eastAsia" w:ascii="Times New Roman" w:hAnsi="Times New Roman"/>
                <w:color w:val="auto"/>
                <w:lang w:val="en-US" w:eastAsia="zh-CN"/>
              </w:rPr>
            </w:pPr>
            <w:r>
              <w:rPr>
                <w:rFonts w:hint="default" w:ascii="Times New Roman" w:hAnsi="Times New Roman" w:eastAsia="宋体" w:cs="Times New Roman"/>
                <w:color w:val="auto"/>
                <w:sz w:val="24"/>
                <w:highlight w:val="none"/>
                <w:lang w:val="en-US" w:eastAsia="zh-CN"/>
              </w:rPr>
              <w:t>项目在采取一定的噪声污染防治措施后，项目产生的噪声不会对周围环境产生显著影响，项目所在区域的环境</w:t>
            </w:r>
            <w:r>
              <w:rPr>
                <w:rFonts w:hint="eastAsia" w:ascii="Times New Roman" w:hAnsi="Times New Roman" w:eastAsia="宋体" w:cs="Times New Roman"/>
                <w:color w:val="auto"/>
                <w:sz w:val="24"/>
                <w:highlight w:val="none"/>
                <w:lang w:val="en-US" w:eastAsia="zh-CN"/>
              </w:rPr>
              <w:t>可满足《声环境质量标准》（</w:t>
            </w:r>
            <w:r>
              <w:rPr>
                <w:rFonts w:hint="default" w:ascii="Times New Roman" w:hAnsi="Times New Roman" w:eastAsia="宋体" w:cs="Times New Roman"/>
                <w:color w:val="auto"/>
                <w:sz w:val="24"/>
                <w:highlight w:val="none"/>
                <w:lang w:val="en-US" w:eastAsia="zh-CN"/>
              </w:rPr>
              <w:t>GB3096-2008</w:t>
            </w:r>
            <w:r>
              <w:rPr>
                <w:rFonts w:hint="eastAsia" w:ascii="Times New Roman" w:hAnsi="Times New Roman" w:eastAsia="宋体" w:cs="Times New Roman"/>
                <w:color w:val="auto"/>
                <w:sz w:val="24"/>
                <w:highlight w:val="none"/>
                <w:lang w:val="en-US" w:eastAsia="zh-CN"/>
              </w:rPr>
              <w:t>）的3类标准，</w:t>
            </w:r>
            <w:r>
              <w:rPr>
                <w:rFonts w:hint="default" w:ascii="Times New Roman" w:hAnsi="Times New Roman" w:eastAsia="宋体" w:cs="Times New Roman"/>
                <w:color w:val="auto"/>
                <w:sz w:val="24"/>
                <w:highlight w:val="none"/>
                <w:lang w:val="en-US" w:eastAsia="zh-CN"/>
              </w:rPr>
              <w:t>因此，项目建设符合环境功能规划。</w:t>
            </w:r>
          </w:p>
          <w:p w14:paraId="3CC8BE36">
            <w:pPr>
              <w:pStyle w:val="3"/>
              <w:keepNext/>
              <w:keepLines/>
              <w:pageBreakBefore w:val="0"/>
              <w:widowControl w:val="0"/>
              <w:kinsoku/>
              <w:wordWrap/>
              <w:overflowPunct w:val="0"/>
              <w:topLinePunct w:val="0"/>
              <w:autoSpaceDE/>
              <w:autoSpaceDN/>
              <w:bidi w:val="0"/>
              <w:adjustRightInd/>
              <w:snapToGrid w:val="0"/>
              <w:spacing w:before="0" w:after="0"/>
              <w:ind w:left="431" w:hanging="431"/>
              <w:textAlignment w:val="auto"/>
              <w:rPr>
                <w:rFonts w:hint="eastAsia" w:ascii="Times New Roman" w:hAnsi="Times New Roman" w:eastAsia="宋体" w:cs="Times New Roman"/>
                <w:b/>
                <w:bCs w:val="0"/>
                <w:color w:val="auto"/>
                <w:lang w:val="en-US" w:eastAsia="zh-CN"/>
              </w:rPr>
            </w:pPr>
            <w:bookmarkStart w:id="19" w:name="_Toc27953"/>
            <w:bookmarkStart w:id="20" w:name="_Toc2764"/>
            <w:bookmarkStart w:id="21" w:name="_Toc32355"/>
            <w:r>
              <w:rPr>
                <w:rFonts w:hint="eastAsia" w:ascii="Times New Roman" w:hAnsi="Times New Roman" w:eastAsia="宋体" w:cs="Times New Roman"/>
                <w:b/>
                <w:bCs w:val="0"/>
                <w:color w:val="auto"/>
                <w:lang w:val="en-US" w:eastAsia="zh-CN"/>
              </w:rPr>
              <w:t>1.</w:t>
            </w:r>
            <w:r>
              <w:rPr>
                <w:rFonts w:hint="eastAsia" w:ascii="Times New Roman" w:hAnsi="Times New Roman" w:cs="Times New Roman"/>
                <w:b/>
                <w:bCs w:val="0"/>
                <w:color w:val="auto"/>
                <w:lang w:val="en-US" w:eastAsia="zh-CN"/>
              </w:rPr>
              <w:t>6</w:t>
            </w:r>
            <w:r>
              <w:rPr>
                <w:rFonts w:hint="eastAsia" w:ascii="Times New Roman" w:hAnsi="Times New Roman" w:eastAsia="宋体" w:cs="Times New Roman"/>
                <w:b/>
                <w:bCs w:val="0"/>
                <w:color w:val="auto"/>
                <w:lang w:val="en-US" w:eastAsia="zh-CN"/>
              </w:rPr>
              <w:t>与福州市生态环境分区管控的要求符合性分析</w:t>
            </w:r>
            <w:bookmarkEnd w:id="19"/>
            <w:bookmarkEnd w:id="20"/>
            <w:bookmarkEnd w:id="21"/>
          </w:p>
          <w:p w14:paraId="467618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0"/>
                <w:sz w:val="24"/>
                <w:szCs w:val="21"/>
                <w:highlight w:val="none"/>
                <w:lang w:val="en-US" w:eastAsia="zh-CN" w:bidi="ar-SA"/>
              </w:rPr>
            </w:pPr>
            <w:r>
              <w:rPr>
                <w:rFonts w:hint="default" w:ascii="Times New Roman" w:hAnsi="Times New Roman" w:eastAsia="宋体" w:cs="Times New Roman"/>
                <w:color w:val="auto"/>
                <w:kern w:val="0"/>
                <w:sz w:val="24"/>
                <w:szCs w:val="21"/>
                <w:highlight w:val="none"/>
                <w:lang w:val="en-US" w:eastAsia="zh-CN" w:bidi="ar-SA"/>
              </w:rPr>
              <w:t>根据</w:t>
            </w:r>
            <w:r>
              <w:rPr>
                <w:rFonts w:hint="eastAsia" w:ascii="Times New Roman" w:hAnsi="Times New Roman" w:eastAsia="宋体" w:cs="Times New Roman"/>
                <w:color w:val="auto"/>
                <w:kern w:val="0"/>
                <w:sz w:val="24"/>
                <w:szCs w:val="21"/>
                <w:highlight w:val="none"/>
                <w:lang w:val="en-US" w:eastAsia="zh-CN" w:bidi="ar-SA"/>
              </w:rPr>
              <w:t>《福州市生态环境局关于发布福州市2024年生态环境分区管控动态更新成果的通知》（榕环保综〔2025〕1号）</w:t>
            </w:r>
            <w:r>
              <w:rPr>
                <w:rFonts w:hint="default" w:ascii="Times New Roman" w:hAnsi="Times New Roman" w:eastAsia="宋体" w:cs="Times New Roman"/>
                <w:color w:val="auto"/>
                <w:kern w:val="0"/>
                <w:sz w:val="24"/>
                <w:szCs w:val="21"/>
                <w:highlight w:val="none"/>
                <w:lang w:val="en-US" w:eastAsia="zh-CN" w:bidi="ar-SA"/>
              </w:rPr>
              <w:t>相关内容，项目</w:t>
            </w:r>
            <w:r>
              <w:rPr>
                <w:rFonts w:hint="eastAsia" w:ascii="Times New Roman" w:hAnsi="Times New Roman" w:eastAsia="宋体" w:cs="Times New Roman"/>
                <w:color w:val="auto"/>
                <w:kern w:val="0"/>
                <w:sz w:val="24"/>
                <w:szCs w:val="21"/>
                <w:highlight w:val="none"/>
                <w:lang w:val="en-US" w:eastAsia="zh-CN" w:bidi="ar-SA"/>
              </w:rPr>
              <w:t>与福州市生态环境分区管控的要求符合性分析</w:t>
            </w:r>
            <w:r>
              <w:rPr>
                <w:rFonts w:hint="default" w:ascii="Times New Roman" w:hAnsi="Times New Roman" w:eastAsia="宋体" w:cs="Times New Roman"/>
                <w:color w:val="auto"/>
                <w:kern w:val="0"/>
                <w:sz w:val="24"/>
                <w:szCs w:val="21"/>
                <w:highlight w:val="none"/>
                <w:lang w:val="en-US" w:eastAsia="zh-CN" w:bidi="ar-SA"/>
              </w:rPr>
              <w:t>如下：</w:t>
            </w:r>
          </w:p>
          <w:p w14:paraId="29876048">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hint="eastAsia" w:ascii="Times New Roman" w:hAnsi="Times New Roman"/>
                <w:b w:val="0"/>
                <w:bCs w:val="0"/>
                <w:iCs w:val="0"/>
                <w:color w:val="auto"/>
                <w:sz w:val="24"/>
                <w:szCs w:val="24"/>
              </w:rPr>
              <w:t>（1）与</w:t>
            </w:r>
            <w:r>
              <w:rPr>
                <w:rFonts w:ascii="Times New Roman" w:hAnsi="Times New Roman"/>
                <w:b w:val="0"/>
                <w:bCs w:val="0"/>
                <w:iCs w:val="0"/>
                <w:color w:val="auto"/>
                <w:sz w:val="24"/>
                <w:szCs w:val="24"/>
              </w:rPr>
              <w:t>生态保护红线</w:t>
            </w:r>
            <w:r>
              <w:rPr>
                <w:rFonts w:hint="eastAsia" w:ascii="Times New Roman" w:hAnsi="Times New Roman"/>
                <w:b w:val="0"/>
                <w:bCs w:val="0"/>
                <w:iCs w:val="0"/>
                <w:color w:val="auto"/>
                <w:sz w:val="24"/>
                <w:szCs w:val="24"/>
              </w:rPr>
              <w:t>的符合性分析</w:t>
            </w:r>
          </w:p>
          <w:p w14:paraId="1E521744">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ascii="Times New Roman" w:hAnsi="Times New Roman"/>
                <w:b w:val="0"/>
                <w:bCs w:val="0"/>
                <w:iCs w:val="0"/>
                <w:color w:val="auto"/>
                <w:sz w:val="24"/>
                <w:szCs w:val="24"/>
              </w:rPr>
              <w:t>完整利用福建省</w:t>
            </w:r>
            <w:r>
              <w:rPr>
                <w:rFonts w:hint="eastAsia" w:ascii="Times New Roman" w:hAnsi="Times New Roman"/>
                <w:b w:val="0"/>
                <w:bCs w:val="0"/>
                <w:iCs w:val="0"/>
                <w:color w:val="auto"/>
                <w:sz w:val="24"/>
                <w:szCs w:val="24"/>
                <w:lang w:eastAsia="zh-CN"/>
              </w:rPr>
              <w:t>“</w:t>
            </w:r>
            <w:r>
              <w:rPr>
                <w:rFonts w:ascii="Times New Roman" w:hAnsi="Times New Roman"/>
                <w:b w:val="0"/>
                <w:bCs w:val="0"/>
                <w:iCs w:val="0"/>
                <w:color w:val="auto"/>
                <w:sz w:val="24"/>
                <w:szCs w:val="24"/>
              </w:rPr>
              <w:t>三区三线</w:t>
            </w:r>
            <w:r>
              <w:rPr>
                <w:rFonts w:hint="eastAsia" w:ascii="Times New Roman" w:hAnsi="Times New Roman"/>
                <w:b w:val="0"/>
                <w:bCs w:val="0"/>
                <w:iCs w:val="0"/>
                <w:color w:val="auto"/>
                <w:sz w:val="24"/>
                <w:szCs w:val="24"/>
                <w:lang w:eastAsia="zh-CN"/>
              </w:rPr>
              <w:t>”</w:t>
            </w:r>
            <w:r>
              <w:rPr>
                <w:rFonts w:ascii="Times New Roman" w:hAnsi="Times New Roman"/>
                <w:b w:val="0"/>
                <w:bCs w:val="0"/>
                <w:iCs w:val="0"/>
                <w:color w:val="auto"/>
                <w:sz w:val="24"/>
                <w:szCs w:val="24"/>
              </w:rPr>
              <w:t>生态保护红线划定成果，福州市生态保护红线划定面积为</w:t>
            </w:r>
            <w:r>
              <w:rPr>
                <w:rFonts w:hint="eastAsia" w:ascii="Times New Roman" w:hAnsi="Times New Roman"/>
                <w:b w:val="0"/>
                <w:bCs w:val="0"/>
                <w:iCs w:val="0"/>
                <w:color w:val="auto"/>
                <w:sz w:val="24"/>
                <w:szCs w:val="24"/>
                <w:lang w:eastAsia="zh-CN"/>
              </w:rPr>
              <w:t>50</w:t>
            </w:r>
            <w:r>
              <w:rPr>
                <w:rFonts w:ascii="Times New Roman" w:hAnsi="Times New Roman"/>
                <w:b w:val="0"/>
                <w:bCs w:val="0"/>
                <w:iCs w:val="0"/>
                <w:color w:val="auto"/>
                <w:sz w:val="24"/>
                <w:szCs w:val="24"/>
              </w:rPr>
              <w:t>82.05平方千米，其中陆域面积为2410.32平方千米，海域面积为2671.73平方千米。生态保护红线最终面积以省政府发布结果为准。</w:t>
            </w:r>
          </w:p>
          <w:p w14:paraId="5EA3598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Times New Roman" w:hAnsi="Times New Roman"/>
                <w:b w:val="0"/>
                <w:bCs w:val="0"/>
                <w:iCs w:val="0"/>
                <w:color w:val="auto"/>
                <w:kern w:val="0"/>
                <w:sz w:val="24"/>
                <w:szCs w:val="24"/>
              </w:rPr>
            </w:pPr>
            <w:r>
              <w:rPr>
                <w:rFonts w:ascii="Times New Roman" w:hAnsi="Times New Roman"/>
                <w:b w:val="0"/>
                <w:bCs w:val="0"/>
                <w:iCs w:val="0"/>
                <w:color w:val="auto"/>
                <w:kern w:val="0"/>
                <w:sz w:val="24"/>
                <w:szCs w:val="24"/>
              </w:rPr>
              <w:t>项目</w:t>
            </w:r>
            <w:r>
              <w:rPr>
                <w:rFonts w:hint="eastAsia" w:ascii="Times New Roman" w:hAnsi="Times New Roman"/>
                <w:b w:val="0"/>
                <w:bCs w:val="0"/>
                <w:iCs w:val="0"/>
                <w:color w:val="auto"/>
                <w:kern w:val="0"/>
                <w:sz w:val="24"/>
                <w:szCs w:val="24"/>
              </w:rPr>
              <w:t>位</w:t>
            </w:r>
            <w:r>
              <w:rPr>
                <w:rFonts w:hint="eastAsia" w:ascii="Times New Roman" w:hAnsi="Times New Roman" w:eastAsia="宋体" w:cs="Times New Roman"/>
                <w:b w:val="0"/>
                <w:bCs w:val="0"/>
                <w:iCs w:val="0"/>
                <w:color w:val="auto"/>
                <w:kern w:val="0"/>
                <w:sz w:val="24"/>
                <w:szCs w:val="24"/>
              </w:rPr>
              <w:t>于</w:t>
            </w:r>
            <w:r>
              <w:rPr>
                <w:rFonts w:hint="eastAsia" w:ascii="Times New Roman" w:hAnsi="Times New Roman" w:cs="Times New Roman"/>
                <w:b w:val="0"/>
                <w:bCs w:val="0"/>
                <w:iCs w:val="0"/>
                <w:color w:val="auto"/>
                <w:kern w:val="0"/>
                <w:sz w:val="24"/>
                <w:szCs w:val="24"/>
                <w:lang w:val="en-US" w:eastAsia="zh-CN"/>
              </w:rPr>
              <w:t>福建省福州市闽侯县上街镇马保村后园32号2号楼1层</w:t>
            </w:r>
            <w:r>
              <w:rPr>
                <w:rFonts w:hint="eastAsia" w:ascii="Times New Roman" w:hAnsi="Times New Roman" w:eastAsia="宋体" w:cs="Times New Roman"/>
                <w:b w:val="0"/>
                <w:bCs w:val="0"/>
                <w:iCs w:val="0"/>
                <w:color w:val="auto"/>
                <w:kern w:val="0"/>
                <w:sz w:val="24"/>
                <w:szCs w:val="24"/>
              </w:rPr>
              <w:t>，所在区域属</w:t>
            </w:r>
            <w:r>
              <w:rPr>
                <w:rFonts w:ascii="Times New Roman" w:hAnsi="Times New Roman"/>
                <w:b w:val="0"/>
                <w:bCs w:val="0"/>
                <w:iCs w:val="0"/>
                <w:color w:val="auto"/>
                <w:kern w:val="0"/>
                <w:sz w:val="24"/>
                <w:szCs w:val="24"/>
              </w:rPr>
              <w:t>于</w:t>
            </w:r>
            <w:r>
              <w:rPr>
                <w:rFonts w:hint="eastAsia" w:ascii="Times New Roman" w:hAnsi="Times New Roman"/>
                <w:b w:val="0"/>
                <w:bCs w:val="0"/>
                <w:iCs w:val="0"/>
                <w:color w:val="auto"/>
                <w:kern w:val="0"/>
                <w:sz w:val="24"/>
                <w:szCs w:val="24"/>
              </w:rPr>
              <w:t>工业</w:t>
            </w:r>
            <w:r>
              <w:rPr>
                <w:rFonts w:ascii="Times New Roman" w:hAnsi="Times New Roman"/>
                <w:b w:val="0"/>
                <w:bCs w:val="0"/>
                <w:iCs w:val="0"/>
                <w:color w:val="auto"/>
                <w:kern w:val="0"/>
                <w:sz w:val="24"/>
                <w:szCs w:val="24"/>
              </w:rPr>
              <w:t>用地</w:t>
            </w:r>
            <w:r>
              <w:rPr>
                <w:rFonts w:hint="eastAsia" w:ascii="Times New Roman" w:hAnsi="Times New Roman"/>
                <w:b w:val="0"/>
                <w:bCs w:val="0"/>
                <w:iCs w:val="0"/>
                <w:color w:val="auto"/>
                <w:kern w:val="0"/>
                <w:sz w:val="24"/>
                <w:szCs w:val="24"/>
              </w:rPr>
              <w:t>。</w:t>
            </w:r>
            <w:r>
              <w:rPr>
                <w:rFonts w:ascii="Times New Roman" w:hAnsi="Times New Roman" w:cs="宋体"/>
                <w:b w:val="0"/>
                <w:bCs w:val="0"/>
                <w:iCs w:val="0"/>
                <w:color w:val="auto"/>
                <w:sz w:val="24"/>
                <w:szCs w:val="24"/>
              </w:rPr>
              <w:t>项目周边无国家公园、自然保护区、森林公园的生态保育区和核心景观区、风景名胜区的核心景区、地质公园的地质遗迹保护区、世界自然遗产的核心区和缓冲区、湿地公园的湿地保育区和恢复重建区、饮用水水源的一级保护区、水产种质资源保护区的核心区和其他需要特别保护或法律法规禁止开发建设的区域。</w:t>
            </w:r>
            <w:r>
              <w:rPr>
                <w:rFonts w:ascii="Times New Roman" w:hAnsi="Times New Roman"/>
                <w:b w:val="0"/>
                <w:bCs w:val="0"/>
                <w:iCs w:val="0"/>
                <w:color w:val="auto"/>
                <w:kern w:val="0"/>
                <w:sz w:val="24"/>
                <w:szCs w:val="24"/>
              </w:rPr>
              <w:t>因此，项目建设符合生态保护红线控制要求。</w:t>
            </w:r>
          </w:p>
          <w:p w14:paraId="6AFF2336">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hint="eastAsia" w:ascii="Times New Roman" w:hAnsi="Times New Roman"/>
                <w:b w:val="0"/>
                <w:bCs w:val="0"/>
                <w:iCs w:val="0"/>
                <w:color w:val="auto"/>
                <w:sz w:val="24"/>
                <w:szCs w:val="24"/>
              </w:rPr>
              <w:t>（2）与</w:t>
            </w:r>
            <w:r>
              <w:rPr>
                <w:rFonts w:ascii="Times New Roman" w:hAnsi="Times New Roman"/>
                <w:b w:val="0"/>
                <w:bCs w:val="0"/>
                <w:iCs w:val="0"/>
                <w:color w:val="auto"/>
                <w:sz w:val="24"/>
                <w:szCs w:val="24"/>
              </w:rPr>
              <w:t>环境质量底线</w:t>
            </w:r>
            <w:r>
              <w:rPr>
                <w:rFonts w:hint="eastAsia" w:ascii="Times New Roman" w:hAnsi="Times New Roman"/>
                <w:b w:val="0"/>
                <w:bCs w:val="0"/>
                <w:iCs w:val="0"/>
                <w:color w:val="auto"/>
                <w:sz w:val="24"/>
                <w:szCs w:val="24"/>
              </w:rPr>
              <w:t>的符合性分析</w:t>
            </w:r>
          </w:p>
          <w:p w14:paraId="33E50EA8">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hint="eastAsia" w:ascii="Times New Roman" w:hAnsi="Times New Roman"/>
                <w:b w:val="0"/>
                <w:bCs w:val="0"/>
                <w:iCs w:val="0"/>
                <w:color w:val="auto"/>
                <w:sz w:val="24"/>
                <w:szCs w:val="24"/>
              </w:rPr>
              <w:t>①</w:t>
            </w:r>
            <w:r>
              <w:rPr>
                <w:rFonts w:ascii="Times New Roman" w:hAnsi="Times New Roman"/>
                <w:b w:val="0"/>
                <w:bCs w:val="0"/>
                <w:iCs w:val="0"/>
                <w:color w:val="auto"/>
                <w:sz w:val="24"/>
                <w:szCs w:val="24"/>
              </w:rPr>
              <w:t>水环境质量底线</w:t>
            </w:r>
          </w:p>
          <w:p w14:paraId="6CEBB184">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ascii="Times New Roman" w:hAnsi="Times New Roman"/>
                <w:b w:val="0"/>
                <w:bCs w:val="0"/>
                <w:iCs w:val="0"/>
                <w:color w:val="auto"/>
                <w:sz w:val="24"/>
                <w:szCs w:val="24"/>
              </w:rPr>
              <w:t>水环境质量底线目标为：到2025年，国省控断面水质优良（达到或优于Ⅲ类）比例总体达92.78%；县级以上集中式饮用水水源水质达标率达100%。到2035年，国省控断面水质优良（达到或优于Ⅲ类）比例总体达到100%；生态系统实现良性循环。</w:t>
            </w:r>
          </w:p>
          <w:p w14:paraId="63C06B64">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hint="eastAsia" w:ascii="Times New Roman" w:hAnsi="Times New Roman" w:eastAsia="宋体" w:cs="Times New Roman"/>
                <w:b w:val="0"/>
                <w:bCs w:val="0"/>
                <w:iCs w:val="0"/>
                <w:color w:val="auto"/>
                <w:sz w:val="24"/>
                <w:szCs w:val="24"/>
                <w:lang w:val="en-US" w:eastAsia="zh-CN"/>
              </w:rPr>
              <w:t>项目生产废水和生活污水通过各自的废水处理设施处理达标后</w:t>
            </w:r>
            <w:r>
              <w:rPr>
                <w:rFonts w:hint="default" w:ascii="Times New Roman" w:hAnsi="Times New Roman" w:eastAsia="宋体" w:cs="Times New Roman"/>
                <w:b w:val="0"/>
                <w:bCs w:val="0"/>
                <w:iCs w:val="0"/>
                <w:color w:val="auto"/>
                <w:sz w:val="24"/>
                <w:szCs w:val="24"/>
                <w:lang w:val="en-US" w:eastAsia="zh-CN"/>
              </w:rPr>
              <w:t>排入市政管网后纳入</w:t>
            </w:r>
            <w:r>
              <w:rPr>
                <w:rFonts w:hint="eastAsia" w:ascii="Times New Roman" w:hAnsi="Times New Roman" w:eastAsia="宋体" w:cs="Times New Roman"/>
                <w:b w:val="0"/>
                <w:bCs w:val="0"/>
                <w:iCs w:val="0"/>
                <w:color w:val="auto"/>
                <w:sz w:val="24"/>
                <w:szCs w:val="24"/>
                <w:lang w:val="en-US" w:eastAsia="zh-CN"/>
              </w:rPr>
              <w:t>大学城</w:t>
            </w:r>
            <w:r>
              <w:rPr>
                <w:rFonts w:hint="default" w:ascii="Times New Roman" w:hAnsi="Times New Roman" w:eastAsia="宋体" w:cs="Times New Roman"/>
                <w:b w:val="0"/>
                <w:bCs w:val="0"/>
                <w:iCs w:val="0"/>
                <w:color w:val="auto"/>
                <w:sz w:val="24"/>
                <w:szCs w:val="24"/>
                <w:lang w:val="en-US" w:eastAsia="zh-CN"/>
              </w:rPr>
              <w:t>污水处理厂</w:t>
            </w:r>
            <w:r>
              <w:rPr>
                <w:rFonts w:hint="eastAsia" w:ascii="Times New Roman" w:hAnsi="Times New Roman" w:eastAsia="宋体" w:cs="Times New Roman"/>
                <w:b w:val="0"/>
                <w:bCs w:val="0"/>
                <w:iCs w:val="0"/>
                <w:color w:val="auto"/>
                <w:sz w:val="24"/>
                <w:szCs w:val="24"/>
              </w:rPr>
              <w:t>，由大</w:t>
            </w:r>
            <w:r>
              <w:rPr>
                <w:rFonts w:hint="eastAsia" w:ascii="Times New Roman" w:hAnsi="Times New Roman"/>
                <w:b w:val="0"/>
                <w:bCs w:val="0"/>
                <w:iCs w:val="0"/>
                <w:color w:val="auto"/>
                <w:sz w:val="24"/>
                <w:szCs w:val="24"/>
              </w:rPr>
              <w:t>学城污水处理厂集中处理。</w:t>
            </w:r>
            <w:r>
              <w:rPr>
                <w:rFonts w:ascii="Times New Roman" w:hAnsi="Times New Roman"/>
                <w:b w:val="0"/>
                <w:bCs w:val="0"/>
                <w:iCs w:val="0"/>
                <w:color w:val="auto"/>
                <w:sz w:val="24"/>
                <w:szCs w:val="24"/>
              </w:rPr>
              <w:t>因此，项目建设不会突破区域水环境质量底线。</w:t>
            </w:r>
          </w:p>
          <w:p w14:paraId="00692EE3">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hint="eastAsia" w:ascii="Times New Roman" w:hAnsi="Times New Roman"/>
                <w:b w:val="0"/>
                <w:bCs w:val="0"/>
                <w:iCs w:val="0"/>
                <w:color w:val="auto"/>
                <w:sz w:val="24"/>
                <w:szCs w:val="24"/>
              </w:rPr>
              <w:t>②</w:t>
            </w:r>
            <w:r>
              <w:rPr>
                <w:rFonts w:ascii="Times New Roman" w:hAnsi="Times New Roman"/>
                <w:b w:val="0"/>
                <w:bCs w:val="0"/>
                <w:iCs w:val="0"/>
                <w:color w:val="auto"/>
                <w:sz w:val="24"/>
                <w:szCs w:val="24"/>
              </w:rPr>
              <w:t>大气环境质量底线</w:t>
            </w:r>
          </w:p>
          <w:p w14:paraId="0B7BBEA7">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ascii="Times New Roman" w:hAnsi="Times New Roman"/>
                <w:b w:val="0"/>
                <w:bCs w:val="0"/>
                <w:iCs w:val="0"/>
                <w:color w:val="auto"/>
                <w:kern w:val="0"/>
                <w:sz w:val="24"/>
                <w:szCs w:val="24"/>
              </w:rPr>
            </w:pPr>
            <w:r>
              <w:rPr>
                <w:rFonts w:ascii="Times New Roman" w:hAnsi="Times New Roman"/>
                <w:b w:val="0"/>
                <w:bCs w:val="0"/>
                <w:iCs w:val="0"/>
                <w:color w:val="auto"/>
                <w:kern w:val="0"/>
                <w:sz w:val="24"/>
                <w:szCs w:val="24"/>
              </w:rPr>
              <w:t>到2025年，环境空气质量持续改善，细颗粒物（PM</w:t>
            </w:r>
            <w:r>
              <w:rPr>
                <w:rFonts w:ascii="Times New Roman" w:hAnsi="Times New Roman"/>
                <w:b w:val="0"/>
                <w:bCs w:val="0"/>
                <w:iCs w:val="0"/>
                <w:color w:val="auto"/>
                <w:kern w:val="0"/>
                <w:sz w:val="24"/>
                <w:szCs w:val="24"/>
                <w:vertAlign w:val="subscript"/>
              </w:rPr>
              <w:t>2.5</w:t>
            </w:r>
            <w:r>
              <w:rPr>
                <w:rFonts w:ascii="Times New Roman" w:hAnsi="Times New Roman"/>
                <w:b w:val="0"/>
                <w:bCs w:val="0"/>
                <w:iCs w:val="0"/>
                <w:color w:val="auto"/>
                <w:kern w:val="0"/>
                <w:sz w:val="24"/>
                <w:szCs w:val="24"/>
              </w:rPr>
              <w:t>）年均浓度降至18.6μg/m</w:t>
            </w:r>
            <w:r>
              <w:rPr>
                <w:rFonts w:ascii="Times New Roman" w:hAnsi="Times New Roman"/>
                <w:b w:val="0"/>
                <w:bCs w:val="0"/>
                <w:iCs w:val="0"/>
                <w:color w:val="auto"/>
                <w:kern w:val="0"/>
                <w:sz w:val="24"/>
                <w:szCs w:val="24"/>
                <w:vertAlign w:val="superscript"/>
              </w:rPr>
              <w:t>3</w:t>
            </w:r>
            <w:r>
              <w:rPr>
                <w:rFonts w:ascii="Times New Roman" w:hAnsi="Times New Roman"/>
                <w:b w:val="0"/>
                <w:bCs w:val="0"/>
                <w:iCs w:val="0"/>
                <w:color w:val="auto"/>
                <w:kern w:val="0"/>
                <w:sz w:val="24"/>
                <w:szCs w:val="24"/>
              </w:rPr>
              <w:t>。到2035年，县级城市细颗粒物（PM</w:t>
            </w:r>
            <w:r>
              <w:rPr>
                <w:rFonts w:ascii="Times New Roman" w:hAnsi="Times New Roman"/>
                <w:b w:val="0"/>
                <w:bCs w:val="0"/>
                <w:iCs w:val="0"/>
                <w:color w:val="auto"/>
                <w:kern w:val="0"/>
                <w:sz w:val="24"/>
                <w:szCs w:val="24"/>
                <w:vertAlign w:val="subscript"/>
              </w:rPr>
              <w:t>2.5</w:t>
            </w:r>
            <w:r>
              <w:rPr>
                <w:rFonts w:ascii="Times New Roman" w:hAnsi="Times New Roman"/>
                <w:b w:val="0"/>
                <w:bCs w:val="0"/>
                <w:iCs w:val="0"/>
                <w:color w:val="auto"/>
                <w:kern w:val="0"/>
                <w:sz w:val="24"/>
                <w:szCs w:val="24"/>
              </w:rPr>
              <w:t>）年均浓度小于15μg/m</w:t>
            </w:r>
            <w:r>
              <w:rPr>
                <w:rFonts w:ascii="Times New Roman" w:hAnsi="Times New Roman"/>
                <w:b w:val="0"/>
                <w:bCs w:val="0"/>
                <w:iCs w:val="0"/>
                <w:color w:val="auto"/>
                <w:kern w:val="0"/>
                <w:sz w:val="24"/>
                <w:szCs w:val="24"/>
                <w:vertAlign w:val="superscript"/>
              </w:rPr>
              <w:t>3</w:t>
            </w:r>
            <w:r>
              <w:rPr>
                <w:rFonts w:ascii="Times New Roman" w:hAnsi="Times New Roman"/>
                <w:b w:val="0"/>
                <w:bCs w:val="0"/>
                <w:iCs w:val="0"/>
                <w:color w:val="auto"/>
                <w:kern w:val="0"/>
                <w:sz w:val="24"/>
                <w:szCs w:val="24"/>
              </w:rPr>
              <w:t>，最终指标值以省下达指标为准。</w:t>
            </w:r>
          </w:p>
          <w:p w14:paraId="6B432D64">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hint="eastAsia" w:ascii="Times New Roman" w:hAnsi="Times New Roman"/>
                <w:b w:val="0"/>
                <w:bCs w:val="0"/>
                <w:iCs w:val="0"/>
                <w:color w:val="auto"/>
                <w:sz w:val="24"/>
                <w:szCs w:val="24"/>
              </w:rPr>
              <w:t>项目生产过</w:t>
            </w:r>
            <w:r>
              <w:rPr>
                <w:rFonts w:hint="eastAsia" w:ascii="Times New Roman" w:hAnsi="Times New Roman"/>
                <w:b w:val="0"/>
                <w:bCs w:val="0"/>
                <w:iCs w:val="0"/>
                <w:color w:val="auto"/>
                <w:sz w:val="24"/>
                <w:szCs w:val="24"/>
                <w:lang w:eastAsia="zh-CN"/>
              </w:rPr>
              <w:t>程中</w:t>
            </w:r>
            <w:r>
              <w:rPr>
                <w:rFonts w:hint="eastAsia" w:ascii="Times New Roman" w:hAnsi="Times New Roman"/>
                <w:b w:val="0"/>
                <w:bCs w:val="0"/>
                <w:iCs w:val="0"/>
                <w:color w:val="auto"/>
                <w:sz w:val="24"/>
                <w:szCs w:val="24"/>
              </w:rPr>
              <w:t>产生废气均设置有相应的收集和处理措施，保证处理废气能够达到相应的排放标准后达标排放，</w:t>
            </w:r>
            <w:r>
              <w:rPr>
                <w:rFonts w:ascii="Times New Roman" w:hAnsi="Times New Roman"/>
                <w:b w:val="0"/>
                <w:bCs w:val="0"/>
                <w:iCs w:val="0"/>
                <w:color w:val="auto"/>
                <w:sz w:val="24"/>
                <w:szCs w:val="24"/>
              </w:rPr>
              <w:t>符合大气环境质量底线要求。</w:t>
            </w:r>
          </w:p>
          <w:p w14:paraId="7C3C8E98">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hint="eastAsia" w:ascii="Times New Roman" w:hAnsi="Times New Roman"/>
                <w:b w:val="0"/>
                <w:bCs w:val="0"/>
                <w:iCs w:val="0"/>
                <w:color w:val="auto"/>
                <w:sz w:val="24"/>
                <w:szCs w:val="24"/>
              </w:rPr>
              <w:t>③</w:t>
            </w:r>
            <w:r>
              <w:rPr>
                <w:rFonts w:ascii="Times New Roman" w:hAnsi="Times New Roman"/>
                <w:b w:val="0"/>
                <w:bCs w:val="0"/>
                <w:iCs w:val="0"/>
                <w:color w:val="auto"/>
                <w:sz w:val="24"/>
                <w:szCs w:val="24"/>
              </w:rPr>
              <w:t>土壤环境风险防控底线</w:t>
            </w:r>
          </w:p>
          <w:p w14:paraId="0E5871B9">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ascii="Times New Roman" w:hAnsi="Times New Roman"/>
                <w:b w:val="0"/>
                <w:bCs w:val="0"/>
                <w:iCs w:val="0"/>
                <w:color w:val="auto"/>
                <w:sz w:val="24"/>
                <w:szCs w:val="24"/>
              </w:rPr>
              <w:t>到2025年，受污染耕地安全利用率达到95%</w:t>
            </w:r>
            <w:r>
              <w:rPr>
                <w:rFonts w:hint="eastAsia" w:ascii="Times New Roman" w:hAnsi="Times New Roman"/>
                <w:b w:val="0"/>
                <w:bCs w:val="0"/>
                <w:iCs w:val="0"/>
                <w:color w:val="auto"/>
                <w:sz w:val="24"/>
                <w:szCs w:val="24"/>
              </w:rPr>
              <w:t>（</w:t>
            </w:r>
            <w:r>
              <w:rPr>
                <w:rFonts w:ascii="Times New Roman" w:hAnsi="Times New Roman"/>
                <w:b w:val="0"/>
                <w:bCs w:val="0"/>
                <w:iCs w:val="0"/>
                <w:color w:val="auto"/>
                <w:sz w:val="24"/>
                <w:szCs w:val="24"/>
              </w:rPr>
              <w:t>含</w:t>
            </w:r>
            <w:r>
              <w:rPr>
                <w:rFonts w:hint="eastAsia" w:ascii="Times New Roman" w:hAnsi="Times New Roman"/>
                <w:b w:val="0"/>
                <w:bCs w:val="0"/>
                <w:iCs w:val="0"/>
                <w:color w:val="auto"/>
                <w:sz w:val="24"/>
                <w:szCs w:val="24"/>
              </w:rPr>
              <w:t>）</w:t>
            </w:r>
            <w:r>
              <w:rPr>
                <w:rFonts w:ascii="Times New Roman" w:hAnsi="Times New Roman"/>
                <w:b w:val="0"/>
                <w:bCs w:val="0"/>
                <w:iCs w:val="0"/>
                <w:color w:val="auto"/>
                <w:sz w:val="24"/>
                <w:szCs w:val="24"/>
              </w:rPr>
              <w:t>以上，重点建设用地安全利用率得到有效保障，重点行业企业用地优先管控名录地块风险管控率达到95%</w:t>
            </w:r>
            <w:r>
              <w:rPr>
                <w:rFonts w:hint="eastAsia" w:ascii="Times New Roman" w:hAnsi="Times New Roman"/>
                <w:b w:val="0"/>
                <w:bCs w:val="0"/>
                <w:iCs w:val="0"/>
                <w:color w:val="auto"/>
                <w:sz w:val="24"/>
                <w:szCs w:val="24"/>
              </w:rPr>
              <w:t>（</w:t>
            </w:r>
            <w:r>
              <w:rPr>
                <w:rFonts w:ascii="Times New Roman" w:hAnsi="Times New Roman"/>
                <w:b w:val="0"/>
                <w:bCs w:val="0"/>
                <w:iCs w:val="0"/>
                <w:color w:val="auto"/>
                <w:sz w:val="24"/>
                <w:szCs w:val="24"/>
              </w:rPr>
              <w:t>含</w:t>
            </w:r>
            <w:r>
              <w:rPr>
                <w:rFonts w:hint="eastAsia" w:ascii="Times New Roman" w:hAnsi="Times New Roman"/>
                <w:b w:val="0"/>
                <w:bCs w:val="0"/>
                <w:iCs w:val="0"/>
                <w:color w:val="auto"/>
                <w:sz w:val="24"/>
                <w:szCs w:val="24"/>
              </w:rPr>
              <w:t>）</w:t>
            </w:r>
            <w:r>
              <w:rPr>
                <w:rFonts w:ascii="Times New Roman" w:hAnsi="Times New Roman"/>
                <w:b w:val="0"/>
                <w:bCs w:val="0"/>
                <w:iCs w:val="0"/>
                <w:color w:val="auto"/>
                <w:sz w:val="24"/>
                <w:szCs w:val="24"/>
              </w:rPr>
              <w:t>以上，开垦耕地土壤污染调查覆盖率达90%以上，畜禽粪污综合利用率预期达95%</w:t>
            </w:r>
            <w:r>
              <w:rPr>
                <w:rFonts w:hint="eastAsia" w:ascii="Times New Roman" w:hAnsi="Times New Roman"/>
                <w:b w:val="0"/>
                <w:bCs w:val="0"/>
                <w:iCs w:val="0"/>
                <w:color w:val="auto"/>
                <w:sz w:val="24"/>
                <w:szCs w:val="24"/>
              </w:rPr>
              <w:t>（</w:t>
            </w:r>
            <w:r>
              <w:rPr>
                <w:rFonts w:ascii="Times New Roman" w:hAnsi="Times New Roman"/>
                <w:b w:val="0"/>
                <w:bCs w:val="0"/>
                <w:iCs w:val="0"/>
                <w:color w:val="auto"/>
                <w:sz w:val="24"/>
                <w:szCs w:val="24"/>
              </w:rPr>
              <w:t>含</w:t>
            </w:r>
            <w:r>
              <w:rPr>
                <w:rFonts w:hint="eastAsia" w:ascii="Times New Roman" w:hAnsi="Times New Roman"/>
                <w:b w:val="0"/>
                <w:bCs w:val="0"/>
                <w:iCs w:val="0"/>
                <w:color w:val="auto"/>
                <w:sz w:val="24"/>
                <w:szCs w:val="24"/>
              </w:rPr>
              <w:t>）</w:t>
            </w:r>
            <w:r>
              <w:rPr>
                <w:rFonts w:ascii="Times New Roman" w:hAnsi="Times New Roman"/>
                <w:b w:val="0"/>
                <w:bCs w:val="0"/>
                <w:iCs w:val="0"/>
                <w:color w:val="auto"/>
                <w:sz w:val="24"/>
                <w:szCs w:val="24"/>
              </w:rPr>
              <w:t>以上。到2035年，全市土壤环境质量稳中向好，农用地和建设用地土壤环境得到有效保障，土壤环境风险得到全面管控。</w:t>
            </w:r>
          </w:p>
          <w:p w14:paraId="631574DC">
            <w:pPr>
              <w:keepNext w:val="0"/>
              <w:keepLines w:val="0"/>
              <w:pageBreakBefore w:val="0"/>
              <w:widowControl w:val="0"/>
              <w:kinsoku/>
              <w:wordWrap/>
              <w:overflowPunct/>
              <w:topLinePunct w:val="0"/>
              <w:bidi w:val="0"/>
              <w:spacing w:line="360" w:lineRule="auto"/>
              <w:ind w:firstLine="480" w:firstLineChars="200"/>
              <w:textAlignment w:val="auto"/>
              <w:rPr>
                <w:rFonts w:hint="eastAsia" w:ascii="Times New Roman" w:hAnsi="Times New Roman"/>
                <w:b w:val="0"/>
                <w:bCs w:val="0"/>
                <w:iCs w:val="0"/>
                <w:color w:val="auto"/>
                <w:sz w:val="24"/>
                <w:szCs w:val="24"/>
              </w:rPr>
            </w:pPr>
            <w:r>
              <w:rPr>
                <w:rFonts w:hint="eastAsia" w:ascii="Times New Roman" w:hAnsi="Times New Roman"/>
                <w:b w:val="0"/>
                <w:bCs w:val="0"/>
                <w:iCs w:val="0"/>
                <w:color w:val="auto"/>
                <w:sz w:val="24"/>
                <w:szCs w:val="24"/>
              </w:rPr>
              <w:t>项目</w:t>
            </w:r>
            <w:r>
              <w:rPr>
                <w:rFonts w:hint="eastAsia" w:ascii="Times New Roman" w:hAnsi="Times New Roman"/>
                <w:b w:val="0"/>
                <w:bCs w:val="0"/>
                <w:iCs w:val="0"/>
                <w:color w:val="auto"/>
                <w:sz w:val="24"/>
                <w:szCs w:val="24"/>
                <w:lang w:val="en-US" w:eastAsia="zh-CN"/>
              </w:rPr>
              <w:t>租赁闲置空置</w:t>
            </w:r>
            <w:r>
              <w:rPr>
                <w:rFonts w:hint="eastAsia" w:ascii="Times New Roman" w:hAnsi="Times New Roman"/>
                <w:b w:val="0"/>
                <w:bCs w:val="0"/>
                <w:iCs w:val="0"/>
                <w:color w:val="auto"/>
                <w:sz w:val="24"/>
                <w:szCs w:val="24"/>
              </w:rPr>
              <w:t>厂房进行生产，</w:t>
            </w:r>
            <w:r>
              <w:rPr>
                <w:rFonts w:ascii="Times New Roman" w:hAnsi="Times New Roman"/>
                <w:b w:val="0"/>
                <w:bCs w:val="0"/>
                <w:iCs w:val="0"/>
                <w:color w:val="auto"/>
                <w:sz w:val="24"/>
                <w:szCs w:val="24"/>
              </w:rPr>
              <w:t>用地属性</w:t>
            </w:r>
            <w:r>
              <w:rPr>
                <w:rFonts w:hint="eastAsia" w:ascii="Times New Roman" w:hAnsi="Times New Roman"/>
                <w:b w:val="0"/>
                <w:bCs w:val="0"/>
                <w:iCs w:val="0"/>
                <w:color w:val="auto"/>
                <w:sz w:val="24"/>
                <w:szCs w:val="24"/>
              </w:rPr>
              <w:t>为工业</w:t>
            </w:r>
            <w:r>
              <w:rPr>
                <w:rFonts w:ascii="Times New Roman" w:hAnsi="Times New Roman"/>
                <w:b w:val="0"/>
                <w:bCs w:val="0"/>
                <w:iCs w:val="0"/>
                <w:color w:val="auto"/>
                <w:sz w:val="24"/>
                <w:szCs w:val="24"/>
              </w:rPr>
              <w:t>用地，场地为已平整并硬化后的场地，</w:t>
            </w:r>
            <w:r>
              <w:rPr>
                <w:rFonts w:hint="eastAsia" w:ascii="Times New Roman" w:hAnsi="Times New Roman"/>
                <w:b w:val="0"/>
                <w:bCs w:val="0"/>
                <w:iCs w:val="0"/>
                <w:color w:val="auto"/>
                <w:sz w:val="24"/>
                <w:szCs w:val="24"/>
              </w:rPr>
              <w:t>生产过</w:t>
            </w:r>
            <w:r>
              <w:rPr>
                <w:rFonts w:hint="eastAsia" w:ascii="Times New Roman" w:hAnsi="Times New Roman"/>
                <w:b w:val="0"/>
                <w:bCs w:val="0"/>
                <w:iCs w:val="0"/>
                <w:color w:val="auto"/>
                <w:sz w:val="24"/>
                <w:szCs w:val="24"/>
                <w:lang w:eastAsia="zh-CN"/>
              </w:rPr>
              <w:t>程中</w:t>
            </w:r>
            <w:r>
              <w:rPr>
                <w:rFonts w:hint="eastAsia" w:ascii="Times New Roman" w:hAnsi="Times New Roman"/>
                <w:b w:val="0"/>
                <w:bCs w:val="0"/>
                <w:iCs w:val="0"/>
                <w:color w:val="auto"/>
                <w:sz w:val="24"/>
                <w:szCs w:val="24"/>
              </w:rPr>
              <w:t>不排放持久性污染物，</w:t>
            </w:r>
            <w:r>
              <w:rPr>
                <w:rFonts w:ascii="Times New Roman" w:hAnsi="Times New Roman"/>
                <w:b w:val="0"/>
                <w:bCs w:val="0"/>
                <w:iCs w:val="0"/>
                <w:color w:val="auto"/>
                <w:sz w:val="24"/>
                <w:szCs w:val="24"/>
              </w:rPr>
              <w:t>不存在土壤环境风险，符合土壤环境风险防控底线要求。</w:t>
            </w:r>
          </w:p>
          <w:p w14:paraId="5E3BA333">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ascii="Times New Roman" w:hAnsi="Times New Roman"/>
                <w:b w:val="0"/>
                <w:bCs w:val="0"/>
                <w:iCs w:val="0"/>
                <w:color w:val="auto"/>
                <w:sz w:val="24"/>
                <w:szCs w:val="24"/>
              </w:rPr>
              <w:t>综合分析，项目建设不会突破当地环境质量底线。</w:t>
            </w:r>
          </w:p>
          <w:p w14:paraId="48B486D4">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hint="eastAsia" w:ascii="Times New Roman" w:hAnsi="Times New Roman"/>
                <w:b w:val="0"/>
                <w:bCs w:val="0"/>
                <w:iCs w:val="0"/>
                <w:color w:val="auto"/>
                <w:sz w:val="24"/>
                <w:szCs w:val="24"/>
              </w:rPr>
              <w:t>（3）与</w:t>
            </w:r>
            <w:r>
              <w:rPr>
                <w:rFonts w:ascii="Times New Roman" w:hAnsi="Times New Roman"/>
                <w:b w:val="0"/>
                <w:bCs w:val="0"/>
                <w:iCs w:val="0"/>
                <w:color w:val="auto"/>
                <w:sz w:val="24"/>
                <w:szCs w:val="24"/>
              </w:rPr>
              <w:t>资源利用上线</w:t>
            </w:r>
            <w:r>
              <w:rPr>
                <w:rFonts w:hint="eastAsia" w:ascii="Times New Roman" w:hAnsi="Times New Roman"/>
                <w:b w:val="0"/>
                <w:bCs w:val="0"/>
                <w:iCs w:val="0"/>
                <w:color w:val="auto"/>
                <w:sz w:val="24"/>
                <w:szCs w:val="24"/>
              </w:rPr>
              <w:t>的符合性分析</w:t>
            </w:r>
          </w:p>
          <w:p w14:paraId="14A16B0B">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hint="eastAsia" w:ascii="Times New Roman" w:hAnsi="Times New Roman"/>
                <w:b w:val="0"/>
                <w:bCs w:val="0"/>
                <w:iCs w:val="0"/>
                <w:color w:val="auto"/>
                <w:sz w:val="24"/>
                <w:szCs w:val="24"/>
              </w:rPr>
              <w:t>①</w:t>
            </w:r>
            <w:r>
              <w:rPr>
                <w:rFonts w:ascii="Times New Roman" w:hAnsi="Times New Roman"/>
                <w:b w:val="0"/>
                <w:bCs w:val="0"/>
                <w:iCs w:val="0"/>
                <w:color w:val="auto"/>
                <w:sz w:val="24"/>
                <w:szCs w:val="24"/>
              </w:rPr>
              <w:t>水资源利用上线</w:t>
            </w:r>
          </w:p>
          <w:p w14:paraId="0158543E">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ascii="Times New Roman" w:hAnsi="Times New Roman"/>
                <w:b w:val="0"/>
                <w:bCs w:val="0"/>
                <w:iCs w:val="0"/>
                <w:color w:val="auto"/>
                <w:sz w:val="24"/>
                <w:szCs w:val="24"/>
              </w:rPr>
              <w:t>到2025年，全市总用水量目标值为28亿立方米，万元工业增加值用水量达到12立方米、万元GDP用水量达到19立方米、农田灌溉有效利用系数达到0.586。2035年指标以省人民政府下达为准。</w:t>
            </w:r>
          </w:p>
          <w:p w14:paraId="3FBBC23D">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ascii="Times New Roman" w:hAnsi="Times New Roman"/>
                <w:b w:val="0"/>
                <w:bCs w:val="0"/>
                <w:iCs w:val="0"/>
                <w:color w:val="auto"/>
                <w:sz w:val="24"/>
                <w:szCs w:val="24"/>
              </w:rPr>
              <w:t>项目运营期用水来源于市政给水，与福州市水资源利用上线管控要求相符。</w:t>
            </w:r>
          </w:p>
          <w:p w14:paraId="312EE1F2">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hint="eastAsia" w:ascii="Times New Roman" w:hAnsi="Times New Roman"/>
                <w:b w:val="0"/>
                <w:bCs w:val="0"/>
                <w:iCs w:val="0"/>
                <w:color w:val="auto"/>
                <w:sz w:val="24"/>
                <w:szCs w:val="24"/>
              </w:rPr>
              <w:t>②</w:t>
            </w:r>
            <w:r>
              <w:rPr>
                <w:rFonts w:ascii="Times New Roman" w:hAnsi="Times New Roman"/>
                <w:b w:val="0"/>
                <w:bCs w:val="0"/>
                <w:iCs w:val="0"/>
                <w:color w:val="auto"/>
                <w:sz w:val="24"/>
                <w:szCs w:val="24"/>
              </w:rPr>
              <w:t>土地资源利用上线</w:t>
            </w:r>
          </w:p>
          <w:p w14:paraId="4D2A8646">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ascii="Times New Roman" w:hAnsi="Times New Roman"/>
                <w:b w:val="0"/>
                <w:bCs w:val="0"/>
                <w:iCs w:val="0"/>
                <w:color w:val="auto"/>
                <w:sz w:val="24"/>
                <w:szCs w:val="24"/>
              </w:rPr>
              <w:t>到2025年，耕地保有量达到947.53平方千米，基本农田保护面积达到844.82平方千米。2035年指标与2025年保持一致。</w:t>
            </w:r>
          </w:p>
          <w:p w14:paraId="53ACBB11">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ascii="Times New Roman" w:hAnsi="Times New Roman"/>
                <w:b w:val="0"/>
                <w:bCs w:val="0"/>
                <w:iCs w:val="0"/>
                <w:color w:val="auto"/>
                <w:sz w:val="24"/>
                <w:szCs w:val="24"/>
              </w:rPr>
              <w:t>根据《</w:t>
            </w:r>
            <w:r>
              <w:rPr>
                <w:rFonts w:hint="eastAsia" w:ascii="Times New Roman" w:hAnsi="Times New Roman"/>
                <w:b w:val="0"/>
                <w:bCs w:val="0"/>
                <w:iCs w:val="0"/>
                <w:color w:val="auto"/>
                <w:sz w:val="24"/>
                <w:szCs w:val="24"/>
              </w:rPr>
              <w:t>福州市生态环境局关于发布福州市2024年生态环境分区管控动态更新成果的通知</w:t>
            </w:r>
            <w:r>
              <w:rPr>
                <w:rFonts w:ascii="Times New Roman" w:hAnsi="Times New Roman"/>
                <w:b w:val="0"/>
                <w:bCs w:val="0"/>
                <w:iCs w:val="0"/>
                <w:color w:val="auto"/>
                <w:sz w:val="24"/>
                <w:szCs w:val="24"/>
              </w:rPr>
              <w:t>》</w:t>
            </w:r>
            <w:r>
              <w:rPr>
                <w:rFonts w:hint="eastAsia" w:ascii="Times New Roman" w:hAnsi="Times New Roman"/>
                <w:b w:val="0"/>
                <w:bCs w:val="0"/>
                <w:iCs w:val="0"/>
                <w:color w:val="auto"/>
                <w:sz w:val="24"/>
                <w:szCs w:val="24"/>
                <w:lang w:bidi="ar"/>
              </w:rPr>
              <w:t>（榕</w:t>
            </w:r>
            <w:r>
              <w:rPr>
                <w:rFonts w:hint="eastAsia" w:ascii="Times New Roman" w:hAnsi="Times New Roman"/>
                <w:b w:val="0"/>
                <w:bCs w:val="0"/>
                <w:iCs w:val="0"/>
                <w:color w:val="auto"/>
                <w:sz w:val="24"/>
                <w:szCs w:val="24"/>
                <w:lang w:val="en-US" w:eastAsia="zh-CN" w:bidi="ar"/>
              </w:rPr>
              <w:t>环保综</w:t>
            </w:r>
            <w:r>
              <w:rPr>
                <w:rFonts w:hint="eastAsia" w:ascii="Times New Roman" w:hAnsi="Times New Roman"/>
                <w:b w:val="0"/>
                <w:bCs w:val="0"/>
                <w:iCs w:val="0"/>
                <w:color w:val="auto"/>
                <w:sz w:val="24"/>
                <w:szCs w:val="24"/>
                <w:lang w:bidi="ar"/>
              </w:rPr>
              <w:t>〔202</w:t>
            </w:r>
            <w:r>
              <w:rPr>
                <w:rFonts w:hint="eastAsia" w:ascii="Times New Roman" w:hAnsi="Times New Roman"/>
                <w:b w:val="0"/>
                <w:bCs w:val="0"/>
                <w:iCs w:val="0"/>
                <w:color w:val="auto"/>
                <w:sz w:val="24"/>
                <w:szCs w:val="24"/>
                <w:lang w:val="en-US" w:eastAsia="zh-CN" w:bidi="ar"/>
              </w:rPr>
              <w:t>5</w:t>
            </w:r>
            <w:r>
              <w:rPr>
                <w:rFonts w:hint="eastAsia" w:ascii="Times New Roman" w:hAnsi="Times New Roman"/>
                <w:b w:val="0"/>
                <w:bCs w:val="0"/>
                <w:iCs w:val="0"/>
                <w:color w:val="auto"/>
                <w:sz w:val="24"/>
                <w:szCs w:val="24"/>
                <w:lang w:bidi="ar"/>
              </w:rPr>
              <w:t>〕</w:t>
            </w:r>
            <w:r>
              <w:rPr>
                <w:rFonts w:hint="eastAsia" w:ascii="Times New Roman" w:hAnsi="Times New Roman"/>
                <w:b w:val="0"/>
                <w:bCs w:val="0"/>
                <w:iCs w:val="0"/>
                <w:color w:val="auto"/>
                <w:sz w:val="24"/>
                <w:szCs w:val="24"/>
                <w:lang w:val="en-US" w:eastAsia="zh-CN" w:bidi="ar"/>
              </w:rPr>
              <w:t>1</w:t>
            </w:r>
            <w:r>
              <w:rPr>
                <w:rFonts w:hint="eastAsia" w:ascii="Times New Roman" w:hAnsi="Times New Roman"/>
                <w:b w:val="0"/>
                <w:bCs w:val="0"/>
                <w:iCs w:val="0"/>
                <w:color w:val="auto"/>
                <w:sz w:val="24"/>
                <w:szCs w:val="24"/>
                <w:lang w:bidi="ar"/>
              </w:rPr>
              <w:t>号）</w:t>
            </w:r>
            <w:r>
              <w:rPr>
                <w:rFonts w:ascii="Times New Roman" w:hAnsi="Times New Roman"/>
                <w:b w:val="0"/>
                <w:bCs w:val="0"/>
                <w:iCs w:val="0"/>
                <w:color w:val="auto"/>
                <w:sz w:val="24"/>
                <w:szCs w:val="24"/>
              </w:rPr>
              <w:t>，衔接《福州市国土空间总体规划》（2021-2035），项目用地性质为</w:t>
            </w:r>
            <w:r>
              <w:rPr>
                <w:rFonts w:hint="eastAsia" w:ascii="Times New Roman" w:hAnsi="Times New Roman"/>
                <w:b w:val="0"/>
                <w:bCs w:val="0"/>
                <w:iCs w:val="0"/>
                <w:color w:val="auto"/>
                <w:sz w:val="24"/>
                <w:szCs w:val="24"/>
              </w:rPr>
              <w:t>工业</w:t>
            </w:r>
            <w:r>
              <w:rPr>
                <w:rFonts w:ascii="Times New Roman" w:hAnsi="Times New Roman"/>
                <w:b w:val="0"/>
                <w:bCs w:val="0"/>
                <w:iCs w:val="0"/>
                <w:color w:val="auto"/>
                <w:sz w:val="24"/>
                <w:szCs w:val="24"/>
              </w:rPr>
              <w:t>用地，与城市总体规划相符，项目符合土地资源利用上线管控要求。</w:t>
            </w:r>
          </w:p>
          <w:p w14:paraId="4850B1CD">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hint="eastAsia" w:ascii="Times New Roman" w:hAnsi="Times New Roman"/>
                <w:b w:val="0"/>
                <w:bCs w:val="0"/>
                <w:iCs w:val="0"/>
                <w:color w:val="auto"/>
                <w:sz w:val="24"/>
                <w:szCs w:val="24"/>
              </w:rPr>
              <w:t>③</w:t>
            </w:r>
            <w:r>
              <w:rPr>
                <w:rFonts w:ascii="Times New Roman" w:hAnsi="Times New Roman"/>
                <w:b w:val="0"/>
                <w:bCs w:val="0"/>
                <w:iCs w:val="0"/>
                <w:color w:val="auto"/>
                <w:sz w:val="24"/>
                <w:szCs w:val="24"/>
              </w:rPr>
              <w:t>能源资源利用上线</w:t>
            </w:r>
          </w:p>
          <w:p w14:paraId="10046A5C">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ascii="Times New Roman" w:hAnsi="Times New Roman"/>
                <w:b w:val="0"/>
                <w:bCs w:val="0"/>
                <w:iCs w:val="0"/>
                <w:color w:val="auto"/>
                <w:sz w:val="24"/>
                <w:szCs w:val="24"/>
              </w:rPr>
              <w:t>到2025年，单位地区生产总值二氧化碳排</w:t>
            </w:r>
            <w:r>
              <w:rPr>
                <w:rFonts w:ascii="Times New Roman" w:hAnsi="Times New Roman"/>
                <w:b w:val="0"/>
                <w:bCs w:val="0"/>
                <w:iCs w:val="0"/>
                <w:color w:val="auto"/>
                <w:sz w:val="24"/>
                <w:szCs w:val="24"/>
                <w:highlight w:val="none"/>
              </w:rPr>
              <w:t>放降低</w:t>
            </w:r>
            <w:r>
              <w:rPr>
                <w:rFonts w:hint="eastAsia" w:ascii="Times New Roman" w:hAnsi="Times New Roman"/>
                <w:b w:val="0"/>
                <w:bCs w:val="0"/>
                <w:iCs w:val="0"/>
                <w:color w:val="auto"/>
                <w:sz w:val="24"/>
                <w:szCs w:val="24"/>
                <w:highlight w:val="none"/>
                <w:lang w:val="en-US" w:eastAsia="zh-CN"/>
              </w:rPr>
              <w:t>了</w:t>
            </w:r>
            <w:r>
              <w:rPr>
                <w:rFonts w:ascii="Times New Roman" w:hAnsi="Times New Roman"/>
                <w:b w:val="0"/>
                <w:bCs w:val="0"/>
                <w:iCs w:val="0"/>
                <w:color w:val="auto"/>
                <w:sz w:val="24"/>
                <w:szCs w:val="24"/>
                <w:highlight w:val="none"/>
              </w:rPr>
              <w:t>1</w:t>
            </w:r>
            <w:r>
              <w:rPr>
                <w:rFonts w:ascii="Times New Roman" w:hAnsi="Times New Roman"/>
                <w:b w:val="0"/>
                <w:bCs w:val="0"/>
                <w:iCs w:val="0"/>
                <w:color w:val="auto"/>
                <w:sz w:val="24"/>
                <w:szCs w:val="24"/>
              </w:rPr>
              <w:t>9.5%，单位地区生产总值能源消</w:t>
            </w:r>
            <w:r>
              <w:rPr>
                <w:rFonts w:ascii="Times New Roman" w:hAnsi="Times New Roman"/>
                <w:b w:val="0"/>
                <w:bCs w:val="0"/>
                <w:iCs w:val="0"/>
                <w:color w:val="auto"/>
                <w:sz w:val="24"/>
                <w:szCs w:val="24"/>
                <w:highlight w:val="none"/>
              </w:rPr>
              <w:t>耗降低</w:t>
            </w:r>
            <w:r>
              <w:rPr>
                <w:rFonts w:hint="eastAsia" w:ascii="Times New Roman" w:hAnsi="Times New Roman"/>
                <w:b w:val="0"/>
                <w:bCs w:val="0"/>
                <w:iCs w:val="0"/>
                <w:color w:val="auto"/>
                <w:sz w:val="24"/>
                <w:szCs w:val="24"/>
                <w:highlight w:val="none"/>
                <w:lang w:val="en-US" w:eastAsia="zh-CN"/>
              </w:rPr>
              <w:t>了</w:t>
            </w:r>
            <w:r>
              <w:rPr>
                <w:rFonts w:ascii="Times New Roman" w:hAnsi="Times New Roman"/>
                <w:b w:val="0"/>
                <w:bCs w:val="0"/>
                <w:iCs w:val="0"/>
                <w:color w:val="auto"/>
                <w:sz w:val="24"/>
                <w:szCs w:val="24"/>
                <w:highlight w:val="none"/>
              </w:rPr>
              <w:t>14%，</w:t>
            </w:r>
            <w:r>
              <w:rPr>
                <w:rFonts w:ascii="Times New Roman" w:hAnsi="Times New Roman"/>
                <w:b w:val="0"/>
                <w:bCs w:val="0"/>
                <w:iCs w:val="0"/>
                <w:color w:val="auto"/>
                <w:sz w:val="24"/>
                <w:szCs w:val="24"/>
              </w:rPr>
              <w:t>非化石能源占一次能源消费比例达到32%。2035年指标以省人民政府下达为准。</w:t>
            </w:r>
          </w:p>
          <w:p w14:paraId="17BD7C70">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ascii="Times New Roman" w:hAnsi="Times New Roman"/>
                <w:b w:val="0"/>
                <w:bCs w:val="0"/>
                <w:iCs w:val="0"/>
                <w:color w:val="auto"/>
                <w:sz w:val="24"/>
                <w:szCs w:val="24"/>
              </w:rPr>
              <w:t>项目用水、用电为区域集中供应，项目运行过程通过内部管理、设备选择、原辅材料的选用和管理、废物回收利用、污染治理等多方面采取合理可行的防治措施，以</w:t>
            </w:r>
            <w:r>
              <w:rPr>
                <w:rFonts w:hint="eastAsia" w:ascii="Times New Roman" w:hAnsi="Times New Roman"/>
                <w:b w:val="0"/>
                <w:bCs w:val="0"/>
                <w:iCs w:val="0"/>
                <w:color w:val="auto"/>
                <w:sz w:val="24"/>
                <w:szCs w:val="24"/>
                <w:lang w:eastAsia="zh-CN"/>
              </w:rPr>
              <w:t>“</w:t>
            </w:r>
            <w:r>
              <w:rPr>
                <w:rFonts w:ascii="Times New Roman" w:hAnsi="Times New Roman"/>
                <w:b w:val="0"/>
                <w:bCs w:val="0"/>
                <w:iCs w:val="0"/>
                <w:color w:val="auto"/>
                <w:sz w:val="24"/>
                <w:szCs w:val="24"/>
              </w:rPr>
              <w:t>节能、降耗、减污</w:t>
            </w:r>
            <w:r>
              <w:rPr>
                <w:rFonts w:hint="eastAsia" w:ascii="Times New Roman" w:hAnsi="Times New Roman"/>
                <w:b w:val="0"/>
                <w:bCs w:val="0"/>
                <w:iCs w:val="0"/>
                <w:color w:val="auto"/>
                <w:sz w:val="24"/>
                <w:szCs w:val="24"/>
                <w:lang w:eastAsia="zh-CN"/>
              </w:rPr>
              <w:t>”</w:t>
            </w:r>
            <w:r>
              <w:rPr>
                <w:rFonts w:ascii="Times New Roman" w:hAnsi="Times New Roman"/>
                <w:b w:val="0"/>
                <w:bCs w:val="0"/>
                <w:iCs w:val="0"/>
                <w:color w:val="auto"/>
                <w:sz w:val="24"/>
                <w:szCs w:val="24"/>
              </w:rPr>
              <w:t>为目标，有效</w:t>
            </w:r>
            <w:r>
              <w:rPr>
                <w:rFonts w:hint="eastAsia" w:ascii="Times New Roman" w:hAnsi="Times New Roman"/>
                <w:b w:val="0"/>
                <w:bCs w:val="0"/>
                <w:iCs w:val="0"/>
                <w:color w:val="auto"/>
                <w:sz w:val="24"/>
                <w:szCs w:val="24"/>
              </w:rPr>
              <w:t>地</w:t>
            </w:r>
            <w:r>
              <w:rPr>
                <w:rFonts w:ascii="Times New Roman" w:hAnsi="Times New Roman"/>
                <w:b w:val="0"/>
                <w:bCs w:val="0"/>
                <w:iCs w:val="0"/>
                <w:color w:val="auto"/>
                <w:sz w:val="24"/>
                <w:szCs w:val="24"/>
              </w:rPr>
              <w:t>控制污染。项目的水、电等资源利用与福州市能源资源利用上线要求相符。</w:t>
            </w:r>
          </w:p>
          <w:p w14:paraId="0F0FF400">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hint="eastAsia" w:ascii="Times New Roman" w:hAnsi="Times New Roman"/>
                <w:b w:val="0"/>
                <w:bCs w:val="0"/>
                <w:iCs w:val="0"/>
                <w:color w:val="auto"/>
                <w:sz w:val="24"/>
                <w:szCs w:val="24"/>
              </w:rPr>
              <w:t>（4）</w:t>
            </w:r>
            <w:r>
              <w:rPr>
                <w:rFonts w:ascii="Times New Roman" w:hAnsi="Times New Roman"/>
                <w:b w:val="0"/>
                <w:bCs w:val="0"/>
                <w:iCs w:val="0"/>
                <w:color w:val="auto"/>
                <w:sz w:val="24"/>
                <w:szCs w:val="24"/>
              </w:rPr>
              <w:t>生态环境准入清单</w:t>
            </w:r>
          </w:p>
          <w:p w14:paraId="61494993">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highlight w:val="none"/>
              </w:rPr>
            </w:pPr>
            <w:r>
              <w:rPr>
                <w:rFonts w:ascii="Times New Roman" w:hAnsi="Times New Roman"/>
                <w:b w:val="0"/>
                <w:bCs w:val="0"/>
                <w:iCs w:val="0"/>
                <w:color w:val="auto"/>
                <w:sz w:val="24"/>
                <w:szCs w:val="24"/>
              </w:rPr>
              <w:t>项目未列入《福建省第一批国家重点生态功能区县（市）产业准入负面清单（试行）》，</w:t>
            </w:r>
            <w:r>
              <w:rPr>
                <w:rFonts w:ascii="Times New Roman" w:hAnsi="Times New Roman"/>
                <w:b w:val="0"/>
                <w:bCs w:val="0"/>
                <w:iCs w:val="0"/>
                <w:color w:val="auto"/>
                <w:sz w:val="24"/>
                <w:szCs w:val="24"/>
                <w:highlight w:val="none"/>
              </w:rPr>
              <w:t>未列入《市场准入负面清单（20</w:t>
            </w:r>
            <w:r>
              <w:rPr>
                <w:rFonts w:hint="eastAsia" w:ascii="Times New Roman" w:hAnsi="Times New Roman"/>
                <w:b w:val="0"/>
                <w:bCs w:val="0"/>
                <w:iCs w:val="0"/>
                <w:color w:val="auto"/>
                <w:sz w:val="24"/>
                <w:szCs w:val="24"/>
                <w:highlight w:val="none"/>
                <w:lang w:val="en-US" w:eastAsia="zh-CN"/>
              </w:rPr>
              <w:t>25</w:t>
            </w:r>
            <w:r>
              <w:rPr>
                <w:rFonts w:ascii="Times New Roman" w:hAnsi="Times New Roman"/>
                <w:b w:val="0"/>
                <w:bCs w:val="0"/>
                <w:iCs w:val="0"/>
                <w:color w:val="auto"/>
                <w:sz w:val="24"/>
                <w:szCs w:val="24"/>
                <w:highlight w:val="none"/>
              </w:rPr>
              <w:t>年版）》禁止准入类。</w:t>
            </w:r>
          </w:p>
          <w:p w14:paraId="5B24FEFD">
            <w:pPr>
              <w:keepNext w:val="0"/>
              <w:keepLines w:val="0"/>
              <w:pageBreakBefore w:val="0"/>
              <w:widowControl w:val="0"/>
              <w:kinsoku/>
              <w:wordWrap/>
              <w:overflowPunct/>
              <w:topLinePunct w:val="0"/>
              <w:bidi w:val="0"/>
              <w:spacing w:line="360" w:lineRule="auto"/>
              <w:ind w:firstLine="480" w:firstLineChars="200"/>
              <w:textAlignment w:val="auto"/>
              <w:rPr>
                <w:rFonts w:ascii="Times New Roman" w:hAnsi="Times New Roman"/>
                <w:b w:val="0"/>
                <w:bCs w:val="0"/>
                <w:iCs w:val="0"/>
                <w:color w:val="auto"/>
                <w:sz w:val="24"/>
                <w:szCs w:val="24"/>
              </w:rPr>
            </w:pPr>
            <w:r>
              <w:rPr>
                <w:rFonts w:hint="eastAsia" w:ascii="Times New Roman" w:hAnsi="Times New Roman"/>
                <w:b w:val="0"/>
                <w:bCs w:val="0"/>
                <w:iCs w:val="0"/>
                <w:color w:val="auto"/>
                <w:sz w:val="24"/>
                <w:szCs w:val="24"/>
              </w:rPr>
              <w:t>根据《福州市生态环境局关于发布福州市2024年生态环境分区管控动态更新成果的通知》（榕</w:t>
            </w:r>
            <w:r>
              <w:rPr>
                <w:rFonts w:hint="eastAsia" w:ascii="Times New Roman" w:hAnsi="Times New Roman"/>
                <w:b w:val="0"/>
                <w:bCs w:val="0"/>
                <w:iCs w:val="0"/>
                <w:color w:val="auto"/>
                <w:sz w:val="24"/>
                <w:szCs w:val="24"/>
                <w:lang w:val="en-US" w:eastAsia="zh-CN"/>
              </w:rPr>
              <w:t>环保综</w:t>
            </w:r>
            <w:r>
              <w:rPr>
                <w:rFonts w:hint="eastAsia" w:ascii="Times New Roman" w:hAnsi="Times New Roman"/>
                <w:b w:val="0"/>
                <w:bCs w:val="0"/>
                <w:iCs w:val="0"/>
                <w:color w:val="auto"/>
                <w:sz w:val="24"/>
                <w:szCs w:val="24"/>
              </w:rPr>
              <w:t>〔202</w:t>
            </w:r>
            <w:r>
              <w:rPr>
                <w:rFonts w:hint="eastAsia" w:ascii="Times New Roman" w:hAnsi="Times New Roman"/>
                <w:b w:val="0"/>
                <w:bCs w:val="0"/>
                <w:iCs w:val="0"/>
                <w:color w:val="auto"/>
                <w:sz w:val="24"/>
                <w:szCs w:val="24"/>
                <w:lang w:val="en-US" w:eastAsia="zh-CN"/>
              </w:rPr>
              <w:t>5</w:t>
            </w:r>
            <w:r>
              <w:rPr>
                <w:rFonts w:hint="eastAsia" w:ascii="Times New Roman" w:hAnsi="Times New Roman"/>
                <w:b w:val="0"/>
                <w:bCs w:val="0"/>
                <w:iCs w:val="0"/>
                <w:color w:val="auto"/>
                <w:sz w:val="24"/>
                <w:szCs w:val="24"/>
              </w:rPr>
              <w:t>〕</w:t>
            </w:r>
            <w:r>
              <w:rPr>
                <w:rFonts w:hint="eastAsia" w:ascii="Times New Roman" w:hAnsi="Times New Roman"/>
                <w:b w:val="0"/>
                <w:bCs w:val="0"/>
                <w:iCs w:val="0"/>
                <w:color w:val="auto"/>
                <w:sz w:val="24"/>
                <w:szCs w:val="24"/>
                <w:lang w:val="en-US" w:eastAsia="zh-CN"/>
              </w:rPr>
              <w:t>1</w:t>
            </w:r>
            <w:r>
              <w:rPr>
                <w:rFonts w:hint="eastAsia" w:ascii="Times New Roman" w:hAnsi="Times New Roman"/>
                <w:b w:val="0"/>
                <w:bCs w:val="0"/>
                <w:iCs w:val="0"/>
                <w:color w:val="auto"/>
                <w:sz w:val="24"/>
                <w:szCs w:val="24"/>
              </w:rPr>
              <w:t>号）中对</w:t>
            </w:r>
            <w:r>
              <w:rPr>
                <w:rFonts w:hint="eastAsia" w:ascii="Times New Roman" w:hAnsi="Times New Roman"/>
                <w:b w:val="0"/>
                <w:bCs w:val="0"/>
                <w:iCs w:val="0"/>
                <w:color w:val="auto"/>
                <w:sz w:val="24"/>
                <w:szCs w:val="24"/>
                <w:lang w:eastAsia="zh-CN"/>
              </w:rPr>
              <w:t>“</w:t>
            </w:r>
            <w:r>
              <w:rPr>
                <w:rFonts w:hint="eastAsia" w:ascii="Times New Roman" w:hAnsi="Times New Roman"/>
                <w:b w:val="0"/>
                <w:bCs w:val="0"/>
                <w:iCs w:val="0"/>
                <w:color w:val="auto"/>
                <w:sz w:val="24"/>
                <w:szCs w:val="24"/>
              </w:rPr>
              <w:t>生态分区管控的要求</w:t>
            </w:r>
            <w:r>
              <w:rPr>
                <w:rFonts w:hint="eastAsia" w:ascii="Times New Roman" w:hAnsi="Times New Roman"/>
                <w:b w:val="0"/>
                <w:bCs w:val="0"/>
                <w:iCs w:val="0"/>
                <w:color w:val="auto"/>
                <w:sz w:val="24"/>
                <w:szCs w:val="24"/>
                <w:lang w:eastAsia="zh-CN"/>
              </w:rPr>
              <w:t>”</w:t>
            </w:r>
            <w:r>
              <w:rPr>
                <w:rFonts w:hint="eastAsia" w:ascii="Times New Roman" w:hAnsi="Times New Roman"/>
                <w:b w:val="0"/>
                <w:bCs w:val="0"/>
                <w:iCs w:val="0"/>
                <w:color w:val="auto"/>
                <w:sz w:val="24"/>
                <w:szCs w:val="24"/>
              </w:rPr>
              <w:t>，</w:t>
            </w:r>
            <w:r>
              <w:rPr>
                <w:rFonts w:ascii="Times New Roman" w:hAnsi="Times New Roman"/>
                <w:b w:val="0"/>
                <w:bCs w:val="0"/>
                <w:iCs w:val="0"/>
                <w:color w:val="auto"/>
                <w:sz w:val="24"/>
                <w:szCs w:val="24"/>
              </w:rPr>
              <w:t>符合性分析详见表1</w:t>
            </w:r>
            <w:r>
              <w:rPr>
                <w:rFonts w:hint="eastAsia" w:ascii="Times New Roman" w:hAnsi="Times New Roman"/>
                <w:b w:val="0"/>
                <w:bCs w:val="0"/>
                <w:iCs w:val="0"/>
                <w:color w:val="auto"/>
                <w:sz w:val="24"/>
                <w:szCs w:val="24"/>
              </w:rPr>
              <w:t>.</w:t>
            </w:r>
            <w:r>
              <w:rPr>
                <w:rFonts w:hint="eastAsia" w:ascii="Times New Roman" w:hAnsi="Times New Roman"/>
                <w:b w:val="0"/>
                <w:bCs w:val="0"/>
                <w:iCs w:val="0"/>
                <w:color w:val="auto"/>
                <w:sz w:val="24"/>
                <w:szCs w:val="24"/>
                <w:lang w:val="en-US" w:eastAsia="zh-CN"/>
              </w:rPr>
              <w:t>6</w:t>
            </w:r>
            <w:r>
              <w:rPr>
                <w:rFonts w:ascii="Times New Roman" w:hAnsi="Times New Roman"/>
                <w:b w:val="0"/>
                <w:bCs w:val="0"/>
                <w:iCs w:val="0"/>
                <w:color w:val="auto"/>
                <w:sz w:val="24"/>
                <w:szCs w:val="24"/>
              </w:rPr>
              <w:t>-</w:t>
            </w:r>
            <w:r>
              <w:rPr>
                <w:rFonts w:hint="eastAsia" w:ascii="Times New Roman" w:hAnsi="Times New Roman"/>
                <w:b w:val="0"/>
                <w:bCs w:val="0"/>
                <w:iCs w:val="0"/>
                <w:color w:val="auto"/>
                <w:sz w:val="24"/>
                <w:szCs w:val="24"/>
              </w:rPr>
              <w:t>1，</w:t>
            </w:r>
            <w:r>
              <w:rPr>
                <w:rFonts w:ascii="Times New Roman" w:hAnsi="Times New Roman"/>
                <w:b w:val="0"/>
                <w:bCs w:val="0"/>
                <w:iCs w:val="0"/>
                <w:color w:val="auto"/>
                <w:sz w:val="24"/>
                <w:szCs w:val="24"/>
              </w:rPr>
              <w:t>表1</w:t>
            </w:r>
            <w:r>
              <w:rPr>
                <w:rFonts w:hint="eastAsia" w:ascii="Times New Roman" w:hAnsi="Times New Roman"/>
                <w:b w:val="0"/>
                <w:bCs w:val="0"/>
                <w:iCs w:val="0"/>
                <w:color w:val="auto"/>
                <w:sz w:val="24"/>
                <w:szCs w:val="24"/>
              </w:rPr>
              <w:t>.</w:t>
            </w:r>
            <w:r>
              <w:rPr>
                <w:rFonts w:hint="eastAsia" w:ascii="Times New Roman" w:hAnsi="Times New Roman"/>
                <w:b w:val="0"/>
                <w:bCs w:val="0"/>
                <w:iCs w:val="0"/>
                <w:color w:val="auto"/>
                <w:sz w:val="24"/>
                <w:szCs w:val="24"/>
                <w:lang w:val="en-US" w:eastAsia="zh-CN"/>
              </w:rPr>
              <w:t>6</w:t>
            </w:r>
            <w:r>
              <w:rPr>
                <w:rFonts w:ascii="Times New Roman" w:hAnsi="Times New Roman"/>
                <w:b w:val="0"/>
                <w:bCs w:val="0"/>
                <w:iCs w:val="0"/>
                <w:color w:val="auto"/>
                <w:sz w:val="24"/>
                <w:szCs w:val="24"/>
              </w:rPr>
              <w:t>-</w:t>
            </w:r>
            <w:r>
              <w:rPr>
                <w:rFonts w:hint="eastAsia" w:ascii="Times New Roman" w:hAnsi="Times New Roman"/>
                <w:b w:val="0"/>
                <w:bCs w:val="0"/>
                <w:iCs w:val="0"/>
                <w:color w:val="auto"/>
                <w:sz w:val="24"/>
                <w:szCs w:val="24"/>
              </w:rPr>
              <w:t>2</w:t>
            </w:r>
            <w:r>
              <w:rPr>
                <w:rFonts w:ascii="Times New Roman" w:hAnsi="Times New Roman"/>
                <w:b w:val="0"/>
                <w:bCs w:val="0"/>
                <w:iCs w:val="0"/>
                <w:color w:val="auto"/>
                <w:sz w:val="24"/>
                <w:szCs w:val="24"/>
              </w:rPr>
              <w:t>。</w:t>
            </w:r>
          </w:p>
          <w:p w14:paraId="6A8A7D3E">
            <w:pPr>
              <w:pStyle w:val="46"/>
              <w:bidi w:val="0"/>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表1.</w:t>
            </w:r>
            <w:r>
              <w:rPr>
                <w:rFonts w:hint="eastAsia" w:ascii="Times New Roman" w:hAnsi="Times New Roman" w:cs="Times New Roman"/>
                <w:b/>
                <w:color w:val="auto"/>
                <w:kern w:val="0"/>
                <w:sz w:val="24"/>
                <w:szCs w:val="20"/>
                <w:lang w:val="en-US" w:eastAsia="zh-CN" w:bidi="ar-SA"/>
              </w:rPr>
              <w:t>6</w:t>
            </w:r>
            <w:r>
              <w:rPr>
                <w:rFonts w:hint="eastAsia" w:ascii="Times New Roman" w:hAnsi="Times New Roman" w:eastAsia="宋体" w:cs="Times New Roman"/>
                <w:b/>
                <w:color w:val="auto"/>
                <w:kern w:val="0"/>
                <w:sz w:val="24"/>
                <w:szCs w:val="20"/>
                <w:lang w:val="en-US" w:eastAsia="zh-CN" w:bidi="ar-SA"/>
              </w:rPr>
              <w:t>-1  项目与福州市生态环境整体准入要求符合性分析</w:t>
            </w:r>
          </w:p>
          <w:tbl>
            <w:tblPr>
              <w:tblStyle w:val="1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43"/>
              <w:gridCol w:w="528"/>
              <w:gridCol w:w="4690"/>
              <w:gridCol w:w="1910"/>
            </w:tblGrid>
            <w:tr w14:paraId="7A9CE9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4" w:type="pct"/>
                  <w:tcBorders>
                    <w:tl2br w:val="nil"/>
                    <w:tr2bl w:val="nil"/>
                  </w:tcBorders>
                  <w:noWrap w:val="0"/>
                  <w:vAlign w:val="center"/>
                </w:tcPr>
                <w:p w14:paraId="0ECD8908">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rPr>
                    <w:t>适用范围</w:t>
                  </w:r>
                </w:p>
              </w:tc>
              <w:tc>
                <w:tcPr>
                  <w:tcW w:w="344" w:type="pct"/>
                  <w:tcBorders>
                    <w:tl2br w:val="nil"/>
                    <w:tr2bl w:val="nil"/>
                  </w:tcBorders>
                  <w:noWrap w:val="0"/>
                  <w:vAlign w:val="center"/>
                </w:tcPr>
                <w:p w14:paraId="7556ECD4">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rPr>
                    <w:t>类别</w:t>
                  </w:r>
                </w:p>
              </w:tc>
              <w:tc>
                <w:tcPr>
                  <w:tcW w:w="3056" w:type="pct"/>
                  <w:tcBorders>
                    <w:tl2br w:val="nil"/>
                    <w:tr2bl w:val="nil"/>
                  </w:tcBorders>
                  <w:noWrap w:val="0"/>
                  <w:vAlign w:val="center"/>
                </w:tcPr>
                <w:p w14:paraId="00EA3BC3">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bCs/>
                      <w:color w:val="auto"/>
                      <w:sz w:val="21"/>
                      <w:szCs w:val="21"/>
                    </w:rPr>
                  </w:pPr>
                  <w:r>
                    <w:rPr>
                      <w:rFonts w:hint="eastAsia" w:ascii="Times New Roman" w:hAnsi="Times New Roman" w:eastAsia="宋体"/>
                      <w:b/>
                      <w:bCs/>
                      <w:color w:val="auto"/>
                      <w:sz w:val="21"/>
                      <w:szCs w:val="21"/>
                    </w:rPr>
                    <w:t>准入要求</w:t>
                  </w:r>
                </w:p>
              </w:tc>
              <w:tc>
                <w:tcPr>
                  <w:tcW w:w="1244" w:type="pct"/>
                  <w:tcBorders>
                    <w:tl2br w:val="nil"/>
                    <w:tr2bl w:val="nil"/>
                  </w:tcBorders>
                  <w:noWrap w:val="0"/>
                  <w:vAlign w:val="center"/>
                </w:tcPr>
                <w:p w14:paraId="3E6F9A22">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bCs/>
                      <w:color w:val="auto"/>
                      <w:sz w:val="21"/>
                      <w:szCs w:val="21"/>
                    </w:rPr>
                  </w:pPr>
                  <w:r>
                    <w:rPr>
                      <w:rFonts w:ascii="Times New Roman" w:hAnsi="Times New Roman" w:eastAsia="宋体"/>
                      <w:b/>
                      <w:bCs/>
                      <w:color w:val="auto"/>
                      <w:sz w:val="21"/>
                      <w:szCs w:val="21"/>
                    </w:rPr>
                    <w:t>符合性分析</w:t>
                  </w:r>
                </w:p>
              </w:tc>
            </w:tr>
            <w:tr w14:paraId="6F6C1E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0" w:hRule="atLeast"/>
                <w:jc w:val="center"/>
              </w:trPr>
              <w:tc>
                <w:tcPr>
                  <w:tcW w:w="354" w:type="pct"/>
                  <w:vMerge w:val="restart"/>
                  <w:tcBorders>
                    <w:tl2br w:val="nil"/>
                    <w:tr2bl w:val="nil"/>
                  </w:tcBorders>
                  <w:noWrap w:val="0"/>
                  <w:vAlign w:val="center"/>
                </w:tcPr>
                <w:p w14:paraId="566B4B45">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福州市陆域</w:t>
                  </w:r>
                </w:p>
              </w:tc>
              <w:tc>
                <w:tcPr>
                  <w:tcW w:w="344" w:type="pct"/>
                  <w:tcBorders>
                    <w:tl2br w:val="nil"/>
                    <w:tr2bl w:val="nil"/>
                  </w:tcBorders>
                  <w:noWrap w:val="0"/>
                  <w:vAlign w:val="center"/>
                </w:tcPr>
                <w:p w14:paraId="29B17C56">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空间布局约束</w:t>
                  </w:r>
                </w:p>
              </w:tc>
              <w:tc>
                <w:tcPr>
                  <w:tcW w:w="3056" w:type="pct"/>
                  <w:tcBorders>
                    <w:tl2br w:val="nil"/>
                    <w:tr2bl w:val="nil"/>
                  </w:tcBorders>
                  <w:noWrap w:val="0"/>
                  <w:vAlign w:val="center"/>
                </w:tcPr>
                <w:p w14:paraId="78863DC0">
                  <w:pPr>
                    <w:pStyle w:val="47"/>
                    <w:keepNext w:val="0"/>
                    <w:keepLines w:val="0"/>
                    <w:pageBreakBefore w:val="0"/>
                    <w:widowControl/>
                    <w:kinsoku/>
                    <w:wordWrap/>
                    <w:overflowPunct/>
                    <w:topLinePunct w:val="0"/>
                    <w:autoSpaceDE/>
                    <w:autoSpaceDN/>
                    <w:bidi w:val="0"/>
                    <w:adjustRightInd w:val="0"/>
                    <w:snapToGrid w:val="0"/>
                    <w:jc w:val="both"/>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一、优先保护单元中的生态保护红线</w:t>
                  </w:r>
                </w:p>
                <w:p w14:paraId="4DCD3428">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1.根据《关于在国土空间规划中统筹划定落实三条控制线的指导意见》《自然资源部生态环境部国家林业和草原局关于加强生态保护红线管理的通知（试行）》，加强生态保护红线管理，严守自然生态安全边界。生态保护红线内，自然保护地核心保护区原则上禁止人为活动，其它区域禁止开发性、生产性建设活动，在符合法律法规的前提下，仅允许以下对生态功能不造成破坏的有限人为活动。生态保护红线内自然保护区、风景名胜区、饮用水水源保护区等区域，依照法律法规执行。</w:t>
                  </w:r>
                </w:p>
                <w:p w14:paraId="79F2DCCC">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（1）管护巡护、保护执法、科学研究、调查监测、测绘导航、防灾减灾救灾、军事国防、疫情防控等活动及相关的必要设施修筑。</w:t>
                  </w:r>
                </w:p>
                <w:p w14:paraId="4F935A0D">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2）原住居民和其他合法权益主体，允许在不扩大现有建设用地、用海用岛、耕地、水产养殖规模和放牧强度（符合草畜平衡管理规定）的前提下，开展种植、放牧、捕捞、养殖（不包括投礁型海洋牧场、围海养殖）等活动，修筑生产生活设施。</w:t>
                  </w:r>
                </w:p>
                <w:p w14:paraId="21F453E4">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（3）经依法批准的考古调查发掘、古生物化石调查发掘、标本采集和文物保护活动。</w:t>
                  </w:r>
                </w:p>
                <w:p w14:paraId="459E47BE">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（4）按规定对人工商品林进行抚育采伐，或以提升森林质量、优化栖息地、建设生物防火隔离带等为目的的树种更新，依法开展的竹林采伐经营。</w:t>
                  </w:r>
                </w:p>
                <w:p w14:paraId="1BE7CAE8">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（5）不破坏生态功能的适度参观旅游、科普宣教及符合相关规划的配套性服务设施和相关的必要公共设施建设及维护。</w:t>
                  </w:r>
                </w:p>
                <w:p w14:paraId="3D42F7B5">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（6）必须且无法避让、符合县级以上国土空间规划的线性基础设施、通讯和防洪、供水设施建设和船舶航行、航道疏浚清淤等活动；已有的合法水利、交通运输等设施运行维护改造。</w:t>
                  </w:r>
                </w:p>
                <w:p w14:paraId="2C32A4CF">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7）地质调查与矿产资源勘查开采。包括：基础地质调查和战略性矿产资源远景调查等公益性工作；铀矿勘查开采活动，可办理矿业权登记；已依法设立的油气探矿权继续勘查活动，可办理探矿权延续、变更（不含扩大勘查区块范围）、保留、注销，当发现可供开采油气资源并探明储量时，可将开采拟占用的地表或海域范围依照国家相关规定调出生态保护红线；已依法设立的油气采矿权不扩大用地用海范围，继续开采，可办理采矿权延续、变更（不含扩大矿区范围）、注销；已依法设立的矿泉水和地热采矿权，在不超出已经核定的生产规模、不新增生产设施的前提下继续开采，可办理采矿权延续、变更（不含扩大矿区范围）、注销；已依法设立和新立铬、铜、镍、锂、钴、锆、钾盐、（中）重稀土矿等战略性矿产探矿权开展勘查活动，可办理探矿权登记，因国家战略需要开展开采活动的，可办理采矿权登记。上述勘查开采活动，应落实减缓生态环境影响措施，严格执行绿色勘查、开采及矿山环境生态修复相关要求。</w:t>
                  </w:r>
                </w:p>
                <w:p w14:paraId="4A283BA8">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（8）依据县级以上国土空间规划和生态保护修复专项规划开展的生态修复。</w:t>
                  </w:r>
                </w:p>
                <w:p w14:paraId="52BD501B">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（9）法律法规规定允许的其他人为活动。</w:t>
                  </w:r>
                </w:p>
                <w:p w14:paraId="05FF0CCD">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2.依据《福建省自然资源厅福建省生态环境厅福建省林业局关于进一步加强生态保护红线监管的通知（试行）》（闽自然资发〔2023〕56号），允许占用生态保护红线的重大项目范围：</w:t>
                  </w:r>
                </w:p>
                <w:p w14:paraId="3D1D2788">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（1）党中央、国务院发布文件或批准规划中明确具体名称的项目和国务院批准的项目。</w:t>
                  </w:r>
                </w:p>
                <w:p w14:paraId="176E7697">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（2）中央军委及其有关部门批准的军事国防项目。</w:t>
                  </w:r>
                </w:p>
                <w:p w14:paraId="768DC809">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（3）国家级规划（指国务院及其有关部门正式颁布）明确的交通、水利项目。</w:t>
                  </w:r>
                </w:p>
                <w:p w14:paraId="734991BB">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（4）国家级规划明确的电网项目，国家级规划明确的且符合国家产业政策的能源矿产勘查开采、油气管线、水电、核电项目。</w:t>
                  </w:r>
                </w:p>
                <w:p w14:paraId="36094CB3">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（5）为贯彻落实党中央、国务院重大决策部署</w:t>
                  </w:r>
                  <w:r>
                    <w:rPr>
                      <w:rFonts w:hint="eastAsia" w:ascii="Times New Roman" w:hAnsi="Times New Roman" w:eastAsia="宋体"/>
                      <w:b w:val="0"/>
                      <w:bCs w:val="0"/>
                      <w:color w:val="auto"/>
                      <w:sz w:val="21"/>
                      <w:szCs w:val="21"/>
                      <w:lang w:eastAsia="zh-CN"/>
                    </w:rPr>
                    <w:t>，由</w:t>
                  </w:r>
                  <w:r>
                    <w:rPr>
                      <w:rFonts w:hint="eastAsia" w:ascii="Times New Roman" w:hAnsi="Times New Roman" w:eastAsia="宋体"/>
                      <w:b w:val="0"/>
                      <w:bCs w:val="0"/>
                      <w:color w:val="auto"/>
                      <w:sz w:val="21"/>
                      <w:szCs w:val="21"/>
                    </w:rPr>
                    <w:t>国务院投资主管部门或国务院投资主管部门会同有关部门确认的交通、能源、水利等基础设施项目。</w:t>
                  </w:r>
                </w:p>
                <w:p w14:paraId="4B027AA8">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（6）按照国家重大项目用地保障工作机制要求，国家发展改革委会同有关部门确认的需中央加大建设用地保障力度，确实难以避让的国家重大项目。</w:t>
                  </w:r>
                </w:p>
                <w:p w14:paraId="4E364ED2">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二、优先保护单元中的一般生态空间</w:t>
                  </w:r>
                </w:p>
                <w:p w14:paraId="584091E0">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1.一般生态空间以保护和修复生态环境、提供生态产品和服务为首要任务，因地制宜地发展不影响主体功能定位的适宜产业。</w:t>
                  </w:r>
                </w:p>
                <w:p w14:paraId="1B0DF9CC">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2.一般生态空间内未纳入生态保护红线的饮用水水源保护区等各类法定保护地，其管控要求依照相关法律法规执行。</w:t>
                  </w:r>
                </w:p>
                <w:p w14:paraId="57EBD9C3">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3.一般生态空间内现有合法的水泥厂、矿山开发等生产性设施及生活垃圾处置等民生工程予以保留，应按照法律法规要求落实污染防治和生态保护措施，避免对生态功能造成破坏。</w:t>
                  </w:r>
                </w:p>
                <w:p w14:paraId="63663D02">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三、其它要求</w:t>
                  </w:r>
                </w:p>
                <w:p w14:paraId="49673744">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1.福州市石化中上游项目重点在福州江阴港城经济区、可门港经济区化工新材料产业园布局。</w:t>
                  </w:r>
                </w:p>
                <w:p w14:paraId="48B5EE7E">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2.禁止在闽江马尾罗星塔以上流域范围新、扩建制革项目，严控新（扩）建植物制浆、印染、合成革及人造革、电镀项目。</w:t>
                  </w:r>
                </w:p>
                <w:p w14:paraId="2855D439">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3.禁止在通风廊道和主导风向的上风向布局大气重污染企业，推进建成区大气重污染企业搬迁或升级改造、环境风险企业搬迁或关闭退出。</w:t>
                  </w:r>
                </w:p>
                <w:p w14:paraId="69391D6C">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4.禁止新、改、扩建生产高VOCs含量有机溶剂型涂料、油墨和胶黏剂的项目。</w:t>
                  </w:r>
                </w:p>
                <w:p w14:paraId="5D73D076">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5.持续加强闽清等地建陶产业的环境综合治理，充分衔接国土空间规划和生态环境分区管控，并对照产业政策、城市总体发展规划等要求，进一步明确发展定位，优化产业布局和规模。</w:t>
                  </w:r>
                </w:p>
                <w:p w14:paraId="02C3432A">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6.新建、扩建的涉及重点重金属污染物</w:t>
                  </w:r>
                  <w:r>
                    <w:rPr>
                      <w:rFonts w:hint="eastAsia" w:ascii="Times New Roman" w:hAnsi="Times New Roman" w:eastAsia="宋体"/>
                      <w:b w:val="0"/>
                      <w:bCs w:val="0"/>
                      <w:color w:val="auto"/>
                      <w:sz w:val="21"/>
                      <w:szCs w:val="21"/>
                      <w:vertAlign w:val="superscript"/>
                    </w:rPr>
                    <w:t>［1］</w:t>
                  </w:r>
                  <w:r>
                    <w:rPr>
                      <w:rFonts w:hint="eastAsia" w:ascii="Times New Roman" w:hAnsi="Times New Roman" w:eastAsia="宋体"/>
                      <w:b w:val="0"/>
                      <w:bCs w:val="0"/>
                      <w:color w:val="auto"/>
                      <w:sz w:val="21"/>
                      <w:szCs w:val="21"/>
                    </w:rPr>
                    <w:t>的有色金属冶炼、电镀、制革、铅蓄电池制造企业应优先选择布设在依法合规设立并经规划环评、环境基础设施和环境风险防范措施齐全的产业园区。禁止低端落后产能向闽江中上游地区转移。禁止新建用汞的电石法（聚）氯乙烯生产工艺。加快推进专业电镀企业入园，到2025年底专业电镀企业入园率达到90%以上。</w:t>
                  </w:r>
                </w:p>
                <w:p w14:paraId="3409C3E3">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7.禁止在流域上游新建、扩建重污染企业和项目。</w:t>
                  </w:r>
                </w:p>
                <w:p w14:paraId="482183CA">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8.重要敏感水体及富营养化湖库生态缓冲带除相关政府部门批准的科学研究活动外，禁止其它可能对保护区构成危害或不良影响的大规模生产、建设活动。</w:t>
                  </w:r>
                </w:p>
                <w:p w14:paraId="47902A91">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9.新、改、扩建煤电、钢铁、建材、石化、化工等“两高”项目，严格落实国家、省、市产业规划、产业政策、“三线一单”、规划环评，以及产能置换、煤炭消费减量替代、区域污染削减等相关要求。</w:t>
                  </w:r>
                </w:p>
                <w:p w14:paraId="712F64F2">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10.单元内涉及永久基本农田的，应按照《福建省基本农田保护条例》（2010年修正本）、《国土资源部关于全面实行永久</w:t>
                  </w:r>
                  <w:r>
                    <w:rPr>
                      <w:rFonts w:hint="eastAsia" w:ascii="Times New Roman" w:hAnsi="Times New Roman" w:eastAsia="宋体"/>
                      <w:b w:val="0"/>
                      <w:bCs w:val="0"/>
                      <w:color w:val="auto"/>
                      <w:sz w:val="21"/>
                      <w:szCs w:val="21"/>
                      <w:lang w:eastAsia="zh-CN"/>
                    </w:rPr>
                    <w:t>基本农田</w:t>
                  </w:r>
                  <w:r>
                    <w:rPr>
                      <w:rFonts w:hint="eastAsia" w:ascii="Times New Roman" w:hAnsi="Times New Roman" w:eastAsia="宋体"/>
                      <w:b w:val="0"/>
                      <w:bCs w:val="0"/>
                      <w:color w:val="auto"/>
                      <w:sz w:val="21"/>
                      <w:szCs w:val="21"/>
                    </w:rPr>
                    <w:t>特殊保护的通知》（国土资规〔2018〕1号）、《</w:t>
                  </w:r>
                  <w:r>
                    <w:rPr>
                      <w:rFonts w:hint="eastAsia" w:ascii="Times New Roman" w:hAnsi="Times New Roman" w:eastAsia="宋体"/>
                      <w:b w:val="0"/>
                      <w:bCs w:val="0"/>
                      <w:color w:val="auto"/>
                      <w:sz w:val="21"/>
                      <w:szCs w:val="21"/>
                      <w:lang w:eastAsia="zh-CN"/>
                    </w:rPr>
                    <w:t>中共中央、国务院</w:t>
                  </w:r>
                  <w:r>
                    <w:rPr>
                      <w:rFonts w:hint="eastAsia" w:ascii="Times New Roman" w:hAnsi="Times New Roman" w:eastAsia="宋体"/>
                      <w:b w:val="0"/>
                      <w:bCs w:val="0"/>
                      <w:color w:val="auto"/>
                      <w:sz w:val="21"/>
                      <w:szCs w:val="21"/>
                    </w:rPr>
                    <w:t>关于加强耕地保护和改进占补平衡的意见》（2017年1月9日）等相关文件要求进</w:t>
                  </w:r>
                  <w:r>
                    <w:rPr>
                      <w:rFonts w:hint="eastAsia" w:ascii="Times New Roman" w:hAnsi="Times New Roman" w:eastAsia="宋体"/>
                      <w:b w:val="0"/>
                      <w:bCs w:val="0"/>
                      <w:color w:val="auto"/>
                      <w:sz w:val="21"/>
                      <w:szCs w:val="21"/>
                      <w:lang w:eastAsia="zh-CN"/>
                    </w:rPr>
                    <w:t>行严</w:t>
                  </w:r>
                  <w:r>
                    <w:rPr>
                      <w:rFonts w:hint="eastAsia" w:ascii="Times New Roman" w:hAnsi="Times New Roman" w:eastAsia="宋体"/>
                      <w:b w:val="0"/>
                      <w:bCs w:val="0"/>
                      <w:color w:val="auto"/>
                      <w:sz w:val="21"/>
                      <w:szCs w:val="21"/>
                    </w:rPr>
                    <w:t>格管理，一般建设项目不得占用永久基本农田，重大建设项目选址确实难以避让永久基本农田的，必须依法依规办理。严禁通过擅自调整县乡国土空间规划，规避占用永久基本农田的审批。禁止随意砍伐防风固沙林和农田保护林。严格按照自然资源部、农业农村部、国家林业和草原局《关于严格耕地用途管制有关问题的通知》（自然资发〔2021〕166号）要求全面落实耕地用途管制。</w:t>
                  </w:r>
                </w:p>
              </w:tc>
              <w:tc>
                <w:tcPr>
                  <w:tcW w:w="1244" w:type="pct"/>
                  <w:tcBorders>
                    <w:tl2br w:val="nil"/>
                    <w:tr2bl w:val="nil"/>
                  </w:tcBorders>
                  <w:noWrap w:val="0"/>
                  <w:vAlign w:val="center"/>
                </w:tcPr>
                <w:p w14:paraId="482BA70D">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eastAsia="zh-CN"/>
                    </w:rPr>
                  </w:pPr>
                  <w:r>
                    <w:rPr>
                      <w:rFonts w:hint="eastAsia" w:ascii="Times New Roman" w:hAnsi="Times New Roman" w:eastAsia="宋体"/>
                      <w:b w:val="0"/>
                      <w:bCs w:val="0"/>
                      <w:color w:val="auto"/>
                      <w:sz w:val="21"/>
                      <w:szCs w:val="21"/>
                      <w:lang w:val="en-US" w:eastAsia="zh-CN"/>
                    </w:rPr>
                    <w:t>一、</w:t>
                  </w:r>
                  <w:r>
                    <w:rPr>
                      <w:rFonts w:hint="eastAsia" w:ascii="Times New Roman" w:hAnsi="Times New Roman" w:eastAsia="宋体"/>
                      <w:b w:val="0"/>
                      <w:bCs w:val="0"/>
                      <w:color w:val="auto"/>
                      <w:sz w:val="21"/>
                      <w:szCs w:val="21"/>
                    </w:rPr>
                    <w:t>1</w:t>
                  </w:r>
                  <w:r>
                    <w:rPr>
                      <w:rFonts w:hint="eastAsia" w:ascii="Times New Roman" w:hAnsi="Times New Roman" w:eastAsia="宋体"/>
                      <w:b w:val="0"/>
                      <w:bCs w:val="0"/>
                      <w:color w:val="auto"/>
                      <w:sz w:val="21"/>
                      <w:szCs w:val="21"/>
                      <w:lang w:eastAsia="zh-CN"/>
                    </w:rPr>
                    <w:t>、</w:t>
                  </w:r>
                  <w:r>
                    <w:rPr>
                      <w:rFonts w:hint="eastAsia" w:ascii="Times New Roman" w:hAnsi="Times New Roman" w:eastAsia="宋体"/>
                      <w:b w:val="0"/>
                      <w:bCs w:val="0"/>
                      <w:color w:val="auto"/>
                      <w:sz w:val="21"/>
                      <w:szCs w:val="21"/>
                    </w:rPr>
                    <w:t>本项目位于</w:t>
                  </w:r>
                  <w:r>
                    <w:rPr>
                      <w:rFonts w:hint="eastAsia" w:ascii="Times New Roman" w:hAnsi="Times New Roman" w:eastAsia="宋体"/>
                      <w:color w:val="auto"/>
                      <w:sz w:val="21"/>
                      <w:szCs w:val="21"/>
                      <w:lang w:eastAsia="zh-CN"/>
                    </w:rPr>
                    <w:t>福建省福州市闽侯县上街镇马保村后园32号2号楼1层</w:t>
                  </w:r>
                  <w:r>
                    <w:rPr>
                      <w:rFonts w:hint="eastAsia" w:ascii="Times New Roman" w:hAnsi="Times New Roman" w:eastAsia="宋体"/>
                      <w:b w:val="0"/>
                      <w:bCs w:val="0"/>
                      <w:color w:val="auto"/>
                      <w:sz w:val="21"/>
                      <w:szCs w:val="21"/>
                    </w:rPr>
                    <w:t>，利用已建成</w:t>
                  </w:r>
                  <w:r>
                    <w:rPr>
                      <w:rFonts w:hint="eastAsia" w:ascii="Times New Roman" w:hAnsi="Times New Roman" w:eastAsia="宋体"/>
                      <w:b w:val="0"/>
                      <w:bCs w:val="0"/>
                      <w:color w:val="auto"/>
                      <w:sz w:val="21"/>
                      <w:szCs w:val="21"/>
                      <w:lang w:val="en-US" w:eastAsia="zh-CN"/>
                    </w:rPr>
                    <w:t>闲置</w:t>
                  </w:r>
                  <w:r>
                    <w:rPr>
                      <w:rFonts w:hint="eastAsia" w:ascii="Times New Roman" w:hAnsi="Times New Roman" w:eastAsia="宋体"/>
                      <w:b w:val="0"/>
                      <w:bCs w:val="0"/>
                      <w:color w:val="auto"/>
                      <w:sz w:val="21"/>
                      <w:szCs w:val="21"/>
                    </w:rPr>
                    <w:t>厂房进行</w:t>
                  </w:r>
                  <w:r>
                    <w:rPr>
                      <w:rFonts w:hint="eastAsia" w:ascii="Times New Roman" w:hAnsi="Times New Roman" w:eastAsia="宋体"/>
                      <w:color w:val="auto"/>
                      <w:sz w:val="21"/>
                      <w:szCs w:val="21"/>
                      <w:lang w:val="en-US" w:eastAsia="zh-CN"/>
                    </w:rPr>
                    <w:t>光学元器件的生产</w:t>
                  </w:r>
                  <w:r>
                    <w:rPr>
                      <w:rFonts w:hint="eastAsia" w:ascii="Times New Roman" w:hAnsi="Times New Roman" w:eastAsia="宋体"/>
                      <w:b w:val="0"/>
                      <w:bCs w:val="0"/>
                      <w:color w:val="auto"/>
                      <w:sz w:val="21"/>
                      <w:szCs w:val="21"/>
                    </w:rPr>
                    <w:t>，不属于新建‘必须且无法避让的线性基础设施’等对国土空间规划有特殊要求的建设活动，不涉及种植、放牧、捕捞、养殖，考古研究、旅游业、地质调查与矿产资源勘查开采</w:t>
                  </w:r>
                  <w:r>
                    <w:rPr>
                      <w:rFonts w:hint="eastAsia" w:ascii="Times New Roman" w:hAnsi="Times New Roman" w:eastAsia="宋体"/>
                      <w:b w:val="0"/>
                      <w:bCs w:val="0"/>
                      <w:color w:val="auto"/>
                      <w:sz w:val="21"/>
                      <w:szCs w:val="21"/>
                      <w:lang w:eastAsia="zh-CN"/>
                    </w:rPr>
                    <w:t>；</w:t>
                  </w:r>
                </w:p>
                <w:p w14:paraId="14BFF361">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val="en-US" w:eastAsia="zh-CN"/>
                    </w:rPr>
                  </w:pPr>
                  <w:r>
                    <w:rPr>
                      <w:rFonts w:hint="eastAsia"/>
                      <w:b w:val="0"/>
                      <w:bCs w:val="0"/>
                      <w:color w:val="auto"/>
                      <w:sz w:val="21"/>
                      <w:szCs w:val="21"/>
                      <w:lang w:val="en-US" w:eastAsia="zh-CN"/>
                    </w:rPr>
                    <w:t>2.</w:t>
                  </w:r>
                  <w:r>
                    <w:rPr>
                      <w:rFonts w:hint="eastAsia" w:ascii="Times New Roman" w:hAnsi="Times New Roman" w:eastAsia="宋体"/>
                      <w:b w:val="0"/>
                      <w:bCs w:val="0"/>
                      <w:color w:val="auto"/>
                      <w:sz w:val="21"/>
                      <w:szCs w:val="21"/>
                      <w:lang w:val="en-US" w:eastAsia="zh-CN"/>
                    </w:rPr>
                    <w:t>本项目不属于重大项目范围。</w:t>
                  </w:r>
                </w:p>
                <w:p w14:paraId="749082CF">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二、</w:t>
                  </w:r>
                  <w:r>
                    <w:rPr>
                      <w:rFonts w:hint="eastAsia" w:ascii="Times New Roman" w:hAnsi="Times New Roman" w:eastAsia="宋体"/>
                      <w:b w:val="0"/>
                      <w:bCs w:val="0"/>
                      <w:color w:val="auto"/>
                      <w:sz w:val="21"/>
                      <w:szCs w:val="21"/>
                    </w:rPr>
                    <w:t>本项目位于</w:t>
                  </w:r>
                  <w:r>
                    <w:rPr>
                      <w:rFonts w:hint="eastAsia" w:ascii="Times New Roman" w:hAnsi="Times New Roman" w:eastAsia="宋体"/>
                      <w:color w:val="auto"/>
                      <w:sz w:val="21"/>
                      <w:szCs w:val="21"/>
                      <w:lang w:eastAsia="zh-CN"/>
                    </w:rPr>
                    <w:t>福建省福州市闽侯县上街镇马保村后园32号2号楼1层</w:t>
                  </w:r>
                  <w:r>
                    <w:rPr>
                      <w:rFonts w:hint="eastAsia" w:ascii="Times New Roman" w:hAnsi="Times New Roman" w:eastAsia="宋体"/>
                      <w:b w:val="0"/>
                      <w:bCs w:val="0"/>
                      <w:color w:val="auto"/>
                      <w:sz w:val="21"/>
                      <w:szCs w:val="21"/>
                      <w:lang w:eastAsia="zh-CN"/>
                    </w:rPr>
                    <w:t>，</w:t>
                  </w:r>
                  <w:r>
                    <w:rPr>
                      <w:rFonts w:hint="eastAsia" w:ascii="Times New Roman" w:hAnsi="Times New Roman" w:eastAsia="宋体"/>
                      <w:b w:val="0"/>
                      <w:bCs w:val="0"/>
                      <w:color w:val="auto"/>
                      <w:sz w:val="21"/>
                      <w:szCs w:val="21"/>
                      <w:lang w:val="en-US" w:eastAsia="zh-CN"/>
                    </w:rPr>
                    <w:t>不属于任何法定保护地，并承诺全面落实各项污染防治措施。</w:t>
                  </w:r>
                </w:p>
                <w:p w14:paraId="689106AD">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eastAsia="zh-CN"/>
                    </w:rPr>
                  </w:pPr>
                  <w:r>
                    <w:rPr>
                      <w:rFonts w:hint="eastAsia" w:ascii="Times New Roman" w:hAnsi="Times New Roman" w:eastAsia="宋体"/>
                      <w:b w:val="0"/>
                      <w:bCs w:val="0"/>
                      <w:color w:val="auto"/>
                      <w:sz w:val="21"/>
                      <w:szCs w:val="21"/>
                      <w:lang w:val="en-US" w:eastAsia="zh-CN"/>
                    </w:rPr>
                    <w:t>三、1、2、5、6.本项目位于</w:t>
                  </w:r>
                  <w:r>
                    <w:rPr>
                      <w:rFonts w:hint="eastAsia" w:ascii="Times New Roman" w:hAnsi="Times New Roman" w:eastAsia="宋体"/>
                      <w:color w:val="auto"/>
                      <w:sz w:val="21"/>
                      <w:szCs w:val="21"/>
                      <w:lang w:eastAsia="zh-CN"/>
                    </w:rPr>
                    <w:t>福建省福州市闽侯县上街镇马保村后园32号2号楼1层</w:t>
                  </w:r>
                  <w:r>
                    <w:rPr>
                      <w:rFonts w:hint="eastAsia" w:ascii="Times New Roman" w:hAnsi="Times New Roman" w:eastAsia="宋体"/>
                      <w:b w:val="0"/>
                      <w:bCs w:val="0"/>
                      <w:color w:val="auto"/>
                      <w:sz w:val="21"/>
                      <w:szCs w:val="21"/>
                      <w:lang w:val="en-US" w:eastAsia="zh-CN"/>
                    </w:rPr>
                    <w:t>，主要从事光学元器件的生产，不涉及</w:t>
                  </w:r>
                  <w:r>
                    <w:rPr>
                      <w:rFonts w:hint="eastAsia" w:ascii="Times New Roman" w:hAnsi="Times New Roman" w:eastAsia="宋体"/>
                      <w:b w:val="0"/>
                      <w:bCs w:val="0"/>
                      <w:color w:val="auto"/>
                      <w:sz w:val="21"/>
                      <w:szCs w:val="21"/>
                    </w:rPr>
                    <w:t>植物制浆、印染、合成革及人造革、电镀</w:t>
                  </w:r>
                  <w:r>
                    <w:rPr>
                      <w:rFonts w:hint="eastAsia" w:ascii="Times New Roman" w:hAnsi="Times New Roman" w:eastAsia="宋体"/>
                      <w:b w:val="0"/>
                      <w:bCs w:val="0"/>
                      <w:color w:val="auto"/>
                      <w:sz w:val="21"/>
                      <w:szCs w:val="21"/>
                      <w:lang w:eastAsia="zh-CN"/>
                    </w:rPr>
                    <w:t>、</w:t>
                  </w:r>
                  <w:r>
                    <w:rPr>
                      <w:rFonts w:hint="eastAsia" w:ascii="Times New Roman" w:hAnsi="Times New Roman" w:eastAsia="宋体"/>
                      <w:b w:val="0"/>
                      <w:bCs w:val="0"/>
                      <w:color w:val="auto"/>
                      <w:sz w:val="21"/>
                      <w:szCs w:val="21"/>
                    </w:rPr>
                    <w:t>有色金属冶炼</w:t>
                  </w:r>
                  <w:r>
                    <w:rPr>
                      <w:rFonts w:hint="eastAsia" w:ascii="Times New Roman" w:hAnsi="Times New Roman" w:eastAsia="宋体"/>
                      <w:b w:val="0"/>
                      <w:bCs w:val="0"/>
                      <w:color w:val="auto"/>
                      <w:sz w:val="21"/>
                      <w:szCs w:val="21"/>
                      <w:lang w:eastAsia="zh-CN"/>
                    </w:rPr>
                    <w:t>、</w:t>
                  </w:r>
                  <w:r>
                    <w:rPr>
                      <w:rFonts w:hint="eastAsia" w:ascii="Times New Roman" w:hAnsi="Times New Roman" w:eastAsia="宋体"/>
                      <w:b w:val="0"/>
                      <w:bCs w:val="0"/>
                      <w:color w:val="auto"/>
                      <w:sz w:val="21"/>
                      <w:szCs w:val="21"/>
                    </w:rPr>
                    <w:t>铅蓄电池制造</w:t>
                  </w:r>
                  <w:r>
                    <w:rPr>
                      <w:rFonts w:hint="eastAsia" w:ascii="Times New Roman" w:hAnsi="Times New Roman" w:eastAsia="宋体"/>
                      <w:b w:val="0"/>
                      <w:bCs w:val="0"/>
                      <w:color w:val="auto"/>
                      <w:sz w:val="21"/>
                      <w:szCs w:val="21"/>
                      <w:lang w:eastAsia="zh-CN"/>
                    </w:rPr>
                    <w:t>、</w:t>
                  </w:r>
                  <w:r>
                    <w:rPr>
                      <w:rFonts w:hint="eastAsia" w:ascii="Times New Roman" w:hAnsi="Times New Roman" w:eastAsia="宋体"/>
                      <w:b w:val="0"/>
                      <w:bCs w:val="0"/>
                      <w:color w:val="auto"/>
                      <w:sz w:val="21"/>
                      <w:szCs w:val="21"/>
                    </w:rPr>
                    <w:t>用汞的电石法（聚）氯乙烯生产工艺</w:t>
                  </w:r>
                  <w:r>
                    <w:rPr>
                      <w:rFonts w:hint="eastAsia" w:ascii="Times New Roman" w:hAnsi="Times New Roman" w:eastAsia="宋体"/>
                      <w:b w:val="0"/>
                      <w:bCs w:val="0"/>
                      <w:color w:val="auto"/>
                      <w:sz w:val="21"/>
                      <w:szCs w:val="21"/>
                      <w:lang w:eastAsia="zh-CN"/>
                    </w:rPr>
                    <w:t>；</w:t>
                  </w:r>
                </w:p>
                <w:p w14:paraId="1A20D64D">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highlight w:val="none"/>
                      <w:lang w:eastAsia="zh-CN"/>
                    </w:rPr>
                  </w:pPr>
                  <w:r>
                    <w:rPr>
                      <w:rFonts w:hint="eastAsia"/>
                      <w:b w:val="0"/>
                      <w:bCs w:val="0"/>
                      <w:color w:val="auto"/>
                      <w:sz w:val="21"/>
                      <w:szCs w:val="21"/>
                      <w:lang w:val="en-US" w:eastAsia="zh-CN"/>
                    </w:rPr>
                    <w:t>3.</w:t>
                  </w:r>
                  <w:r>
                    <w:rPr>
                      <w:rFonts w:hint="eastAsia" w:ascii="Times New Roman" w:hAnsi="Times New Roman" w:eastAsia="宋体"/>
                      <w:b w:val="0"/>
                      <w:bCs w:val="0"/>
                      <w:color w:val="auto"/>
                      <w:sz w:val="21"/>
                      <w:szCs w:val="21"/>
                      <w:lang w:val="en-US" w:eastAsia="zh-CN"/>
                    </w:rPr>
                    <w:t>7、不属于</w:t>
                  </w:r>
                  <w:r>
                    <w:rPr>
                      <w:rFonts w:hint="eastAsia" w:ascii="Times New Roman" w:hAnsi="Times New Roman" w:eastAsia="宋体"/>
                      <w:b w:val="0"/>
                      <w:bCs w:val="0"/>
                      <w:color w:val="auto"/>
                      <w:sz w:val="21"/>
                      <w:szCs w:val="21"/>
                    </w:rPr>
                    <w:t>大气重污染企</w:t>
                  </w:r>
                  <w:r>
                    <w:rPr>
                      <w:rFonts w:hint="eastAsia" w:ascii="Times New Roman" w:hAnsi="Times New Roman" w:eastAsia="宋体"/>
                      <w:b w:val="0"/>
                      <w:bCs w:val="0"/>
                      <w:color w:val="auto"/>
                      <w:sz w:val="21"/>
                      <w:szCs w:val="21"/>
                      <w:highlight w:val="none"/>
                    </w:rPr>
                    <w:t>业</w:t>
                  </w:r>
                  <w:r>
                    <w:rPr>
                      <w:rFonts w:hint="eastAsia" w:ascii="Times New Roman" w:hAnsi="Times New Roman" w:eastAsia="宋体"/>
                      <w:b w:val="0"/>
                      <w:bCs w:val="0"/>
                      <w:color w:val="auto"/>
                      <w:sz w:val="21"/>
                      <w:szCs w:val="21"/>
                      <w:highlight w:val="none"/>
                      <w:lang w:eastAsia="zh-CN"/>
                    </w:rPr>
                    <w:t>；</w:t>
                  </w:r>
                </w:p>
                <w:p w14:paraId="73AFD5FC">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4.</w:t>
                  </w:r>
                  <w:r>
                    <w:rPr>
                      <w:rFonts w:hint="default" w:ascii="Times New Roman" w:hAnsi="Times New Roman" w:eastAsia="宋体"/>
                      <w:b w:val="0"/>
                      <w:bCs w:val="0"/>
                      <w:color w:val="auto"/>
                      <w:sz w:val="21"/>
                      <w:szCs w:val="21"/>
                      <w:highlight w:val="none"/>
                      <w:lang w:val="en-US" w:eastAsia="zh-CN"/>
                    </w:rPr>
                    <w:t>本项目使用低VOCs含量原辅材料</w:t>
                  </w:r>
                  <w:r>
                    <w:rPr>
                      <w:rFonts w:hint="eastAsia" w:ascii="Times New Roman" w:hAnsi="Times New Roman" w:eastAsia="宋体"/>
                      <w:b w:val="0"/>
                      <w:bCs w:val="0"/>
                      <w:color w:val="auto"/>
                      <w:sz w:val="21"/>
                      <w:szCs w:val="21"/>
                      <w:highlight w:val="none"/>
                      <w:lang w:val="en-US" w:eastAsia="zh-CN"/>
                    </w:rPr>
                    <w:t>；</w:t>
                  </w:r>
                </w:p>
                <w:p w14:paraId="1CEE5740">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eastAsia="zh-CN"/>
                    </w:rPr>
                  </w:pPr>
                  <w:r>
                    <w:rPr>
                      <w:rFonts w:hint="eastAsia"/>
                      <w:b w:val="0"/>
                      <w:bCs w:val="0"/>
                      <w:color w:val="auto"/>
                      <w:sz w:val="21"/>
                      <w:szCs w:val="21"/>
                      <w:highlight w:val="none"/>
                      <w:lang w:val="en-US" w:eastAsia="zh-CN"/>
                    </w:rPr>
                    <w:t>8.</w:t>
                  </w:r>
                  <w:r>
                    <w:rPr>
                      <w:rFonts w:hint="eastAsia" w:ascii="Times New Roman" w:hAnsi="Times New Roman" w:eastAsia="宋体"/>
                      <w:b w:val="0"/>
                      <w:bCs w:val="0"/>
                      <w:color w:val="auto"/>
                      <w:sz w:val="21"/>
                      <w:szCs w:val="21"/>
                      <w:highlight w:val="none"/>
                      <w:lang w:val="en-US" w:eastAsia="zh-CN"/>
                    </w:rPr>
                    <w:t>附近无</w:t>
                  </w:r>
                  <w:r>
                    <w:rPr>
                      <w:rFonts w:hint="eastAsia" w:ascii="Times New Roman" w:hAnsi="Times New Roman" w:eastAsia="宋体"/>
                      <w:b w:val="0"/>
                      <w:bCs w:val="0"/>
                      <w:color w:val="auto"/>
                      <w:sz w:val="21"/>
                      <w:szCs w:val="21"/>
                      <w:highlight w:val="none"/>
                    </w:rPr>
                    <w:t>重要敏感水体及富营养化湖</w:t>
                  </w:r>
                  <w:r>
                    <w:rPr>
                      <w:rFonts w:hint="eastAsia" w:ascii="Times New Roman" w:hAnsi="Times New Roman" w:eastAsia="宋体"/>
                      <w:b w:val="0"/>
                      <w:bCs w:val="0"/>
                      <w:color w:val="auto"/>
                      <w:sz w:val="21"/>
                      <w:szCs w:val="21"/>
                    </w:rPr>
                    <w:t>库生态缓冲带</w:t>
                  </w:r>
                  <w:r>
                    <w:rPr>
                      <w:rFonts w:hint="eastAsia" w:ascii="Times New Roman" w:hAnsi="Times New Roman" w:eastAsia="宋体"/>
                      <w:b w:val="0"/>
                      <w:bCs w:val="0"/>
                      <w:color w:val="auto"/>
                      <w:sz w:val="21"/>
                      <w:szCs w:val="21"/>
                      <w:lang w:eastAsia="zh-CN"/>
                    </w:rPr>
                    <w:t>；</w:t>
                  </w:r>
                </w:p>
                <w:p w14:paraId="53058E00">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eastAsia="zh-CN"/>
                    </w:rPr>
                  </w:pPr>
                  <w:r>
                    <w:rPr>
                      <w:rFonts w:hint="eastAsia"/>
                      <w:b w:val="0"/>
                      <w:bCs w:val="0"/>
                      <w:color w:val="auto"/>
                      <w:sz w:val="21"/>
                      <w:szCs w:val="21"/>
                      <w:lang w:val="en-US" w:eastAsia="zh-CN"/>
                    </w:rPr>
                    <w:t>9.</w:t>
                  </w:r>
                  <w:r>
                    <w:rPr>
                      <w:rFonts w:hint="eastAsia" w:ascii="Times New Roman" w:hAnsi="Times New Roman" w:eastAsia="宋体"/>
                      <w:b w:val="0"/>
                      <w:bCs w:val="0"/>
                      <w:color w:val="auto"/>
                      <w:sz w:val="21"/>
                      <w:szCs w:val="21"/>
                      <w:lang w:val="en-US" w:eastAsia="zh-CN"/>
                    </w:rPr>
                    <w:t>本项目不涉及</w:t>
                  </w:r>
                  <w:r>
                    <w:rPr>
                      <w:rFonts w:hint="eastAsia" w:ascii="Times New Roman" w:hAnsi="Times New Roman" w:eastAsia="宋体"/>
                      <w:b w:val="0"/>
                      <w:bCs w:val="0"/>
                      <w:color w:val="auto"/>
                      <w:sz w:val="21"/>
                      <w:szCs w:val="21"/>
                    </w:rPr>
                    <w:t>新、改、扩建煤电、钢铁、建材、石化、化工等“两高”项目</w:t>
                  </w:r>
                  <w:r>
                    <w:rPr>
                      <w:rFonts w:hint="eastAsia" w:ascii="Times New Roman" w:hAnsi="Times New Roman" w:eastAsia="宋体"/>
                      <w:b w:val="0"/>
                      <w:bCs w:val="0"/>
                      <w:color w:val="auto"/>
                      <w:sz w:val="21"/>
                      <w:szCs w:val="21"/>
                      <w:lang w:eastAsia="zh-CN"/>
                    </w:rPr>
                    <w:t>，</w:t>
                  </w:r>
                  <w:r>
                    <w:rPr>
                      <w:rFonts w:hint="eastAsia" w:ascii="Times New Roman" w:hAnsi="Times New Roman" w:eastAsia="宋体"/>
                      <w:b w:val="0"/>
                      <w:bCs w:val="0"/>
                      <w:color w:val="auto"/>
                      <w:sz w:val="21"/>
                      <w:szCs w:val="21"/>
                      <w:lang w:val="en-US" w:eastAsia="zh-CN"/>
                    </w:rPr>
                    <w:t>非甲烷总烃实行</w:t>
                  </w:r>
                  <w:r>
                    <w:rPr>
                      <w:rFonts w:hint="eastAsia" w:ascii="Times New Roman" w:hAnsi="Times New Roman" w:eastAsia="宋体"/>
                      <w:b w:val="0"/>
                      <w:bCs w:val="0"/>
                      <w:color w:val="auto"/>
                      <w:sz w:val="21"/>
                      <w:szCs w:val="21"/>
                    </w:rPr>
                    <w:t>减量替代、区域污染削减等相关要求</w:t>
                  </w:r>
                  <w:r>
                    <w:rPr>
                      <w:rFonts w:hint="eastAsia" w:ascii="Times New Roman" w:hAnsi="Times New Roman" w:eastAsia="宋体"/>
                      <w:b w:val="0"/>
                      <w:bCs w:val="0"/>
                      <w:color w:val="auto"/>
                      <w:sz w:val="21"/>
                      <w:szCs w:val="21"/>
                      <w:lang w:eastAsia="zh-CN"/>
                    </w:rPr>
                    <w:t>；</w:t>
                  </w:r>
                </w:p>
                <w:p w14:paraId="0BC76DF6">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 w:val="0"/>
                      <w:bCs w:val="0"/>
                      <w:color w:val="auto"/>
                      <w:sz w:val="21"/>
                      <w:szCs w:val="21"/>
                      <w:lang w:val="en-US" w:eastAsia="zh-CN"/>
                    </w:rPr>
                  </w:pPr>
                  <w:r>
                    <w:rPr>
                      <w:rFonts w:hint="eastAsia"/>
                      <w:b w:val="0"/>
                      <w:bCs w:val="0"/>
                      <w:color w:val="auto"/>
                      <w:sz w:val="21"/>
                      <w:szCs w:val="21"/>
                      <w:lang w:val="en-US" w:eastAsia="zh-CN"/>
                    </w:rPr>
                    <w:t>10.</w:t>
                  </w:r>
                  <w:r>
                    <w:rPr>
                      <w:rFonts w:hint="eastAsia" w:ascii="Times New Roman" w:hAnsi="Times New Roman" w:eastAsia="宋体"/>
                      <w:b w:val="0"/>
                      <w:bCs w:val="0"/>
                      <w:color w:val="auto"/>
                      <w:sz w:val="21"/>
                      <w:szCs w:val="21"/>
                      <w:lang w:val="en-US" w:eastAsia="zh-CN"/>
                    </w:rPr>
                    <w:t>本项目使用已建成厂房，不涉及永久基本农田。</w:t>
                  </w:r>
                </w:p>
              </w:tc>
            </w:tr>
            <w:tr w14:paraId="130DA8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4" w:type="pct"/>
                  <w:vMerge w:val="continue"/>
                  <w:tcBorders>
                    <w:tl2br w:val="nil"/>
                    <w:tr2bl w:val="nil"/>
                  </w:tcBorders>
                  <w:noWrap w:val="0"/>
                  <w:vAlign w:val="center"/>
                </w:tcPr>
                <w:p w14:paraId="1EEB6667">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p>
              </w:tc>
              <w:tc>
                <w:tcPr>
                  <w:tcW w:w="344" w:type="pct"/>
                  <w:tcBorders>
                    <w:tl2br w:val="nil"/>
                    <w:tr2bl w:val="nil"/>
                  </w:tcBorders>
                  <w:noWrap w:val="0"/>
                  <w:vAlign w:val="center"/>
                </w:tcPr>
                <w:p w14:paraId="3B2C78C9">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污染物排放管控</w:t>
                  </w:r>
                </w:p>
              </w:tc>
              <w:tc>
                <w:tcPr>
                  <w:tcW w:w="3056" w:type="pct"/>
                  <w:tcBorders>
                    <w:tl2br w:val="nil"/>
                    <w:tr2bl w:val="nil"/>
                  </w:tcBorders>
                  <w:noWrap w:val="0"/>
                  <w:vAlign w:val="center"/>
                </w:tcPr>
                <w:p w14:paraId="61F479F0">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1.工业类新（改、扩）建项目新增主要污染物（水污染物化学需氧量、氨氮和大气污染物二氧化硫、氮氧化物）排放总量指标应符合区域环境质量和总量控制要求，立足于通过“以新带老”、削减存量，努力实现区域、企业自身总量平衡。总量指标来源、审核和监督管理按照“榕环保综〔2017〕90号”等相关文件执行。</w:t>
                  </w:r>
                </w:p>
                <w:p w14:paraId="18075A5E">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2.新、改、扩建涉VOCs排放项目污染物排放量应满足《福州市“十四五”</w:t>
                  </w:r>
                  <w:r>
                    <w:rPr>
                      <w:rFonts w:hint="eastAsia" w:ascii="Times New Roman" w:hAnsi="Times New Roman" w:eastAsia="宋体"/>
                      <w:b w:val="0"/>
                      <w:bCs w:val="0"/>
                      <w:color w:val="auto"/>
                      <w:sz w:val="21"/>
                      <w:szCs w:val="21"/>
                      <w:lang w:eastAsia="zh-CN"/>
                    </w:rPr>
                    <w:t>空气质量持续改善行动计划</w:t>
                  </w:r>
                  <w:r>
                    <w:rPr>
                      <w:rFonts w:hint="eastAsia" w:ascii="Times New Roman" w:hAnsi="Times New Roman" w:eastAsia="宋体"/>
                      <w:b w:val="0"/>
                      <w:bCs w:val="0"/>
                      <w:color w:val="auto"/>
                      <w:sz w:val="21"/>
                      <w:szCs w:val="21"/>
                    </w:rPr>
                    <w:t>》（榕环保综〔2023〕40号），应从源头加强控制，使用低（无）VOCs含量的原辅材料。</w:t>
                  </w:r>
                </w:p>
                <w:p w14:paraId="78C31221">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3.严格控制新建、改建、扩建钢铁、水泥、平板玻璃、有色金属冶炼、化工等工业项目。新改扩建钢铁、火电项目</w:t>
                  </w:r>
                  <w:r>
                    <w:rPr>
                      <w:rFonts w:hint="eastAsia" w:ascii="Times New Roman" w:hAnsi="Times New Roman" w:eastAsia="宋体"/>
                      <w:b w:val="0"/>
                      <w:bCs w:val="0"/>
                      <w:color w:val="auto"/>
                      <w:sz w:val="21"/>
                      <w:szCs w:val="21"/>
                      <w:lang w:eastAsia="zh-CN"/>
                    </w:rPr>
                    <w:t>应当</w:t>
                  </w:r>
                  <w:r>
                    <w:rPr>
                      <w:rFonts w:hint="eastAsia" w:ascii="Times New Roman" w:hAnsi="Times New Roman" w:eastAsia="宋体"/>
                      <w:b w:val="0"/>
                      <w:bCs w:val="0"/>
                      <w:color w:val="auto"/>
                      <w:sz w:val="21"/>
                      <w:szCs w:val="21"/>
                    </w:rPr>
                    <w:t>执行超低排放限值，有色项目应当执行大气污染物特别排放限值。重点控制区新建化工、石化应当执行大气污染物特别排放限值。</w:t>
                  </w:r>
                </w:p>
                <w:p w14:paraId="34C44021">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4.氟化工、印染、电镀等行业企业实行水污染物特别排放限值。</w:t>
                  </w:r>
                </w:p>
                <w:p w14:paraId="72AA77E0">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5.新、改、扩建重点行业</w:t>
                  </w:r>
                  <w:r>
                    <w:rPr>
                      <w:rFonts w:hint="eastAsia" w:ascii="Times New Roman" w:hAnsi="Times New Roman" w:eastAsia="宋体"/>
                      <w:b w:val="0"/>
                      <w:bCs w:val="0"/>
                      <w:color w:val="auto"/>
                      <w:sz w:val="21"/>
                      <w:szCs w:val="21"/>
                      <w:vertAlign w:val="superscript"/>
                    </w:rPr>
                    <w:t>［2］</w:t>
                  </w:r>
                  <w:r>
                    <w:rPr>
                      <w:rFonts w:hint="eastAsia" w:ascii="Times New Roman" w:hAnsi="Times New Roman" w:eastAsia="宋体"/>
                      <w:b w:val="0"/>
                      <w:bCs w:val="0"/>
                      <w:color w:val="auto"/>
                      <w:sz w:val="21"/>
                      <w:szCs w:val="21"/>
                    </w:rPr>
                    <w:t>建设项目要遵循重点重金属污染物排放“等量替代”原则，总量来源原则上应是同一重点行业内的削减量，当同一重点行业无法满足时可从其他重点行业调剂。</w:t>
                  </w:r>
                </w:p>
                <w:p w14:paraId="16570604">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6.每小时35（含）—65蒸吨燃煤锅炉和位于县级及以上城市建成区内保留的燃煤、燃油、燃生物质锅炉，原则上2024年底前必须全面实现超低排放。</w:t>
                  </w:r>
                </w:p>
                <w:p w14:paraId="1BB007CD">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7.水泥行业新改扩建项目严格对照超低排放、能效标杆水平建设实施；现有项目超低排放改造应按文件（闽环规〔2023〕2号）的时限要求分步推进，2025年底前全面完成</w:t>
                  </w:r>
                  <w:r>
                    <w:rPr>
                      <w:rFonts w:hint="eastAsia" w:ascii="Times New Roman" w:hAnsi="Times New Roman" w:eastAsia="宋体"/>
                      <w:b w:val="0"/>
                      <w:bCs w:val="0"/>
                      <w:color w:val="auto"/>
                      <w:sz w:val="21"/>
                      <w:szCs w:val="21"/>
                      <w:vertAlign w:val="superscript"/>
                    </w:rPr>
                    <w:t>［3］［4］</w:t>
                  </w:r>
                  <w:r>
                    <w:rPr>
                      <w:rFonts w:hint="eastAsia" w:ascii="Times New Roman" w:hAnsi="Times New Roman" w:eastAsia="宋体"/>
                      <w:b w:val="0"/>
                      <w:bCs w:val="0"/>
                      <w:color w:val="auto"/>
                      <w:sz w:val="21"/>
                      <w:szCs w:val="21"/>
                    </w:rPr>
                    <w:t>。</w:t>
                  </w:r>
                </w:p>
                <w:p w14:paraId="207FEC84">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8.化工园区新建项目实施“禁限控”化学物质管控措施，项目在开展环境影响评价时应严格落实相关要求，严格涉新污染物建设项目源头防控和准入管理。以印染、皮革、农药、医药、涂料等行业为重点，推进有毒有害化学物质替代。严格落实废药品、废农药以及抗生素生产过程中产生的废母液、废反应基和废培养基等废物的收集利用处置要求。</w:t>
                  </w:r>
                </w:p>
              </w:tc>
              <w:tc>
                <w:tcPr>
                  <w:tcW w:w="1244" w:type="pct"/>
                  <w:tcBorders>
                    <w:tl2br w:val="nil"/>
                    <w:tr2bl w:val="nil"/>
                  </w:tcBorders>
                  <w:noWrap w:val="0"/>
                  <w:vAlign w:val="center"/>
                </w:tcPr>
                <w:p w14:paraId="619B1F31">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highlight w:val="none"/>
                      <w:lang w:eastAsia="zh-CN"/>
                    </w:rPr>
                  </w:pPr>
                  <w:r>
                    <w:rPr>
                      <w:rFonts w:hint="eastAsia"/>
                      <w:b w:val="0"/>
                      <w:bCs w:val="0"/>
                      <w:color w:val="auto"/>
                      <w:sz w:val="21"/>
                      <w:szCs w:val="21"/>
                      <w:lang w:eastAsia="zh-CN"/>
                    </w:rPr>
                    <w:t>1.</w:t>
                  </w:r>
                  <w:r>
                    <w:rPr>
                      <w:rFonts w:hint="eastAsia" w:ascii="Times New Roman" w:hAnsi="Times New Roman" w:eastAsia="宋体"/>
                      <w:b w:val="0"/>
                      <w:bCs w:val="0"/>
                      <w:color w:val="auto"/>
                      <w:sz w:val="21"/>
                      <w:szCs w:val="21"/>
                      <w:highlight w:val="none"/>
                    </w:rPr>
                    <w:t>本项目</w:t>
                  </w:r>
                  <w:r>
                    <w:rPr>
                      <w:rFonts w:hint="eastAsia" w:ascii="Times New Roman" w:hAnsi="Times New Roman" w:eastAsia="宋体"/>
                      <w:b w:val="0"/>
                      <w:bCs w:val="0"/>
                      <w:color w:val="auto"/>
                      <w:sz w:val="21"/>
                      <w:szCs w:val="21"/>
                      <w:highlight w:val="none"/>
                      <w:lang w:val="en-US" w:eastAsia="zh-CN"/>
                    </w:rPr>
                    <w:t>为新建项目</w:t>
                  </w:r>
                  <w:r>
                    <w:rPr>
                      <w:rFonts w:hint="eastAsia" w:ascii="Times New Roman" w:hAnsi="Times New Roman" w:eastAsia="宋体"/>
                      <w:b w:val="0"/>
                      <w:bCs w:val="0"/>
                      <w:color w:val="auto"/>
                      <w:sz w:val="21"/>
                      <w:szCs w:val="21"/>
                      <w:highlight w:val="none"/>
                      <w:lang w:eastAsia="zh-CN"/>
                    </w:rPr>
                    <w:t>；</w:t>
                  </w:r>
                </w:p>
                <w:p w14:paraId="2316D99D">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highlight w:val="none"/>
                    </w:rPr>
                  </w:pPr>
                  <w:r>
                    <w:rPr>
                      <w:rFonts w:hint="eastAsia"/>
                      <w:b w:val="0"/>
                      <w:bCs w:val="0"/>
                      <w:color w:val="auto"/>
                      <w:sz w:val="21"/>
                      <w:szCs w:val="21"/>
                      <w:highlight w:val="none"/>
                      <w:lang w:eastAsia="zh-CN"/>
                    </w:rPr>
                    <w:t>2.</w:t>
                  </w:r>
                  <w:r>
                    <w:rPr>
                      <w:rFonts w:ascii="Times New Roman" w:hAnsi="Times New Roman" w:eastAsia="宋体"/>
                      <w:b w:val="0"/>
                      <w:bCs w:val="0"/>
                      <w:color w:val="auto"/>
                      <w:sz w:val="21"/>
                      <w:szCs w:val="21"/>
                      <w:highlight w:val="none"/>
                    </w:rPr>
                    <w:t>本项目使用低VOCs含量原辅材料</w:t>
                  </w:r>
                  <w:r>
                    <w:rPr>
                      <w:rFonts w:hint="eastAsia" w:ascii="Times New Roman" w:hAnsi="Times New Roman" w:eastAsia="宋体"/>
                      <w:b w:val="0"/>
                      <w:bCs w:val="0"/>
                      <w:color w:val="auto"/>
                      <w:sz w:val="21"/>
                      <w:szCs w:val="21"/>
                      <w:highlight w:val="none"/>
                    </w:rPr>
                    <w:t>；</w:t>
                  </w:r>
                </w:p>
                <w:p w14:paraId="19EC2486">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highlight w:val="none"/>
                    </w:rPr>
                  </w:pPr>
                  <w:r>
                    <w:rPr>
                      <w:rFonts w:hint="eastAsia"/>
                      <w:b w:val="0"/>
                      <w:bCs w:val="0"/>
                      <w:color w:val="auto"/>
                      <w:sz w:val="21"/>
                      <w:szCs w:val="21"/>
                      <w:highlight w:val="none"/>
                      <w:lang w:eastAsia="zh-CN"/>
                    </w:rPr>
                    <w:t>3.</w:t>
                  </w:r>
                  <w:r>
                    <w:rPr>
                      <w:rFonts w:hint="eastAsia" w:ascii="Times New Roman" w:hAnsi="Times New Roman" w:eastAsia="宋体"/>
                      <w:b w:val="0"/>
                      <w:bCs w:val="0"/>
                      <w:color w:val="auto"/>
                      <w:sz w:val="21"/>
                      <w:szCs w:val="21"/>
                      <w:highlight w:val="none"/>
                    </w:rPr>
                    <w:t>4</w:t>
                  </w:r>
                  <w:r>
                    <w:rPr>
                      <w:rFonts w:hint="eastAsia" w:ascii="Times New Roman" w:hAnsi="Times New Roman" w:eastAsia="宋体"/>
                      <w:b w:val="0"/>
                      <w:bCs w:val="0"/>
                      <w:color w:val="auto"/>
                      <w:sz w:val="21"/>
                      <w:szCs w:val="21"/>
                      <w:highlight w:val="none"/>
                      <w:lang w:eastAsia="zh-CN"/>
                    </w:rPr>
                    <w:t>、</w:t>
                  </w:r>
                  <w:r>
                    <w:rPr>
                      <w:rFonts w:hint="eastAsia" w:ascii="Times New Roman" w:hAnsi="Times New Roman" w:eastAsia="宋体"/>
                      <w:b w:val="0"/>
                      <w:bCs w:val="0"/>
                      <w:color w:val="auto"/>
                      <w:sz w:val="21"/>
                      <w:szCs w:val="21"/>
                      <w:highlight w:val="none"/>
                    </w:rPr>
                    <w:t>本项目不涉及钢铁、水泥、平板玻璃、有色金属冶炼、化工、氟化工、印染、电镀等行业；</w:t>
                  </w:r>
                </w:p>
                <w:p w14:paraId="0CEAE009">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highlight w:val="none"/>
                    </w:rPr>
                  </w:pPr>
                  <w:r>
                    <w:rPr>
                      <w:rFonts w:hint="eastAsia"/>
                      <w:b w:val="0"/>
                      <w:bCs w:val="0"/>
                      <w:color w:val="auto"/>
                      <w:sz w:val="21"/>
                      <w:szCs w:val="21"/>
                      <w:highlight w:val="none"/>
                      <w:lang w:eastAsia="zh-CN"/>
                    </w:rPr>
                    <w:t>5.</w:t>
                  </w:r>
                  <w:r>
                    <w:rPr>
                      <w:rFonts w:hint="eastAsia" w:ascii="Times New Roman" w:hAnsi="Times New Roman" w:eastAsia="宋体"/>
                      <w:b w:val="0"/>
                      <w:bCs w:val="0"/>
                      <w:color w:val="auto"/>
                      <w:sz w:val="21"/>
                      <w:szCs w:val="21"/>
                      <w:highlight w:val="none"/>
                    </w:rPr>
                    <w:t>本项目不涉及重金属污染物排放；</w:t>
                  </w:r>
                </w:p>
                <w:p w14:paraId="3C165E61">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hint="eastAsia"/>
                      <w:b w:val="0"/>
                      <w:bCs w:val="0"/>
                      <w:color w:val="auto"/>
                      <w:sz w:val="21"/>
                      <w:szCs w:val="21"/>
                      <w:highlight w:val="none"/>
                      <w:lang w:eastAsia="zh-CN"/>
                    </w:rPr>
                    <w:t>6.</w:t>
                  </w:r>
                  <w:r>
                    <w:rPr>
                      <w:rFonts w:hint="eastAsia" w:ascii="Times New Roman" w:hAnsi="Times New Roman" w:eastAsia="宋体"/>
                      <w:b w:val="0"/>
                      <w:bCs w:val="0"/>
                      <w:color w:val="auto"/>
                      <w:sz w:val="21"/>
                      <w:szCs w:val="21"/>
                      <w:highlight w:val="none"/>
                      <w:lang w:val="en-US" w:eastAsia="zh-CN"/>
                    </w:rPr>
                    <w:t>7、</w:t>
                  </w:r>
                  <w:r>
                    <w:rPr>
                      <w:rFonts w:hint="eastAsia" w:ascii="Times New Roman" w:hAnsi="Times New Roman" w:eastAsia="宋体"/>
                      <w:b w:val="0"/>
                      <w:bCs w:val="0"/>
                      <w:color w:val="auto"/>
                      <w:sz w:val="21"/>
                      <w:szCs w:val="21"/>
                      <w:highlight w:val="none"/>
                    </w:rPr>
                    <w:t>8</w:t>
                  </w:r>
                  <w:r>
                    <w:rPr>
                      <w:rFonts w:hint="eastAsia" w:ascii="Times New Roman" w:hAnsi="Times New Roman" w:eastAsia="宋体"/>
                      <w:b w:val="0"/>
                      <w:bCs w:val="0"/>
                      <w:color w:val="auto"/>
                      <w:sz w:val="21"/>
                      <w:szCs w:val="21"/>
                      <w:highlight w:val="none"/>
                      <w:lang w:eastAsia="zh-CN"/>
                    </w:rPr>
                    <w:t>、</w:t>
                  </w:r>
                  <w:r>
                    <w:rPr>
                      <w:rFonts w:hint="eastAsia" w:ascii="Times New Roman" w:hAnsi="Times New Roman" w:eastAsia="宋体"/>
                      <w:b w:val="0"/>
                      <w:bCs w:val="0"/>
                      <w:color w:val="auto"/>
                      <w:sz w:val="21"/>
                      <w:szCs w:val="21"/>
                      <w:highlight w:val="none"/>
                    </w:rPr>
                    <w:t>本项目不涉及锅炉</w:t>
                  </w:r>
                  <w:r>
                    <w:rPr>
                      <w:rFonts w:hint="eastAsia" w:ascii="Times New Roman" w:hAnsi="Times New Roman" w:eastAsia="宋体"/>
                      <w:b w:val="0"/>
                      <w:bCs w:val="0"/>
                      <w:color w:val="auto"/>
                      <w:sz w:val="21"/>
                      <w:szCs w:val="21"/>
                    </w:rPr>
                    <w:t>使用，不涉及水泥及化工行业，且项目所在地不属于化工园区。</w:t>
                  </w:r>
                </w:p>
              </w:tc>
            </w:tr>
            <w:tr w14:paraId="10D14E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4" w:type="pct"/>
                  <w:vMerge w:val="continue"/>
                  <w:tcBorders>
                    <w:tl2br w:val="nil"/>
                    <w:tr2bl w:val="nil"/>
                  </w:tcBorders>
                  <w:noWrap w:val="0"/>
                  <w:vAlign w:val="center"/>
                </w:tcPr>
                <w:p w14:paraId="42854BF2">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p>
              </w:tc>
              <w:tc>
                <w:tcPr>
                  <w:tcW w:w="344" w:type="pct"/>
                  <w:tcBorders>
                    <w:tl2br w:val="nil"/>
                    <w:tr2bl w:val="nil"/>
                  </w:tcBorders>
                  <w:noWrap w:val="0"/>
                  <w:vAlign w:val="center"/>
                </w:tcPr>
                <w:p w14:paraId="4C8B1F30">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资源开发效率要求</w:t>
                  </w:r>
                </w:p>
              </w:tc>
              <w:tc>
                <w:tcPr>
                  <w:tcW w:w="3056" w:type="pct"/>
                  <w:tcBorders>
                    <w:tl2br w:val="nil"/>
                    <w:tr2bl w:val="nil"/>
                  </w:tcBorders>
                  <w:noWrap w:val="0"/>
                  <w:vAlign w:val="center"/>
                </w:tcPr>
                <w:p w14:paraId="38F98D2E">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1.到2024年底，全市范围内每小时10蒸吨及以下燃煤锅炉全面淘汰；到2025年底，全市范围内每小时35蒸吨以下燃煤锅炉通过集中供热、清洁能源替代、深度治理等方式全面实现转型、升级、退出，县级及以上城市建成区在用锅炉（燃煤、燃油、燃生物质）全面改用电能等清洁能源或治理达到超低排放水平；禁止新建每小时35蒸吨以下燃煤锅炉，以及每小时10蒸吨及以下燃生物质和其他使用高污染燃料的锅炉。集中供热管网覆盖范围内禁止新建、扩建分散燃煤、燃油等供热锅炉。</w:t>
                  </w:r>
                </w:p>
                <w:p w14:paraId="03DB2B7D">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2.按照“提气、转电、控煤”的发展思路，推动陶瓷行业进一步优化用能结构，实现能源消费清洁低碳化。</w:t>
                  </w:r>
                </w:p>
              </w:tc>
              <w:tc>
                <w:tcPr>
                  <w:tcW w:w="1244" w:type="pct"/>
                  <w:tcBorders>
                    <w:tl2br w:val="nil"/>
                    <w:tr2bl w:val="nil"/>
                  </w:tcBorders>
                  <w:noWrap w:val="0"/>
                  <w:vAlign w:val="center"/>
                </w:tcPr>
                <w:p w14:paraId="29F1D05E">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eastAsia="zh-CN"/>
                    </w:rPr>
                  </w:pPr>
                  <w:r>
                    <w:rPr>
                      <w:rFonts w:hint="eastAsia"/>
                      <w:b w:val="0"/>
                      <w:bCs w:val="0"/>
                      <w:color w:val="auto"/>
                      <w:sz w:val="21"/>
                      <w:szCs w:val="21"/>
                      <w:lang w:val="en-US" w:eastAsia="zh-CN"/>
                    </w:rPr>
                    <w:t>1.</w:t>
                  </w:r>
                  <w:r>
                    <w:rPr>
                      <w:rFonts w:hint="eastAsia" w:ascii="Times New Roman" w:hAnsi="Times New Roman" w:eastAsia="宋体"/>
                      <w:b w:val="0"/>
                      <w:bCs w:val="0"/>
                      <w:color w:val="auto"/>
                      <w:sz w:val="21"/>
                      <w:szCs w:val="21"/>
                    </w:rPr>
                    <w:t>本项目不涉及锅炉使用</w:t>
                  </w:r>
                  <w:r>
                    <w:rPr>
                      <w:rFonts w:hint="eastAsia" w:ascii="Times New Roman" w:hAnsi="Times New Roman" w:eastAsia="宋体"/>
                      <w:b w:val="0"/>
                      <w:bCs w:val="0"/>
                      <w:color w:val="auto"/>
                      <w:sz w:val="21"/>
                      <w:szCs w:val="21"/>
                      <w:lang w:eastAsia="zh-CN"/>
                    </w:rPr>
                    <w:t>；</w:t>
                  </w:r>
                </w:p>
                <w:p w14:paraId="4B2670A3">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hint="eastAsia"/>
                      <w:b w:val="0"/>
                      <w:bCs w:val="0"/>
                      <w:color w:val="auto"/>
                      <w:sz w:val="21"/>
                      <w:szCs w:val="21"/>
                      <w:lang w:val="en-US" w:eastAsia="zh-CN"/>
                    </w:rPr>
                    <w:t>2.</w:t>
                  </w:r>
                  <w:r>
                    <w:rPr>
                      <w:rFonts w:hint="eastAsia" w:ascii="Times New Roman" w:hAnsi="Times New Roman" w:eastAsia="宋体"/>
                      <w:b w:val="0"/>
                      <w:bCs w:val="0"/>
                      <w:color w:val="auto"/>
                      <w:sz w:val="21"/>
                      <w:szCs w:val="21"/>
                    </w:rPr>
                    <w:t>不属于陶瓷行业。</w:t>
                  </w:r>
                </w:p>
              </w:tc>
            </w:tr>
            <w:tr w14:paraId="54BEEE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4" w:type="pct"/>
                  <w:tcBorders>
                    <w:tl2br w:val="nil"/>
                    <w:tr2bl w:val="nil"/>
                  </w:tcBorders>
                  <w:noWrap w:val="0"/>
                  <w:textDirection w:val="tbRlV"/>
                  <w:vAlign w:val="center"/>
                </w:tcPr>
                <w:p w14:paraId="04354427">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海岸线</w:t>
                  </w:r>
                </w:p>
              </w:tc>
              <w:tc>
                <w:tcPr>
                  <w:tcW w:w="344" w:type="pct"/>
                  <w:tcBorders>
                    <w:tl2br w:val="nil"/>
                    <w:tr2bl w:val="nil"/>
                  </w:tcBorders>
                  <w:noWrap w:val="0"/>
                  <w:vAlign w:val="center"/>
                </w:tcPr>
                <w:p w14:paraId="3D2FAA73">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空间布局约束</w:t>
                  </w:r>
                </w:p>
              </w:tc>
              <w:tc>
                <w:tcPr>
                  <w:tcW w:w="3056" w:type="pct"/>
                  <w:tcBorders>
                    <w:tl2br w:val="nil"/>
                    <w:tr2bl w:val="nil"/>
                  </w:tcBorders>
                  <w:noWrap w:val="0"/>
                  <w:vAlign w:val="center"/>
                </w:tcPr>
                <w:p w14:paraId="33BB7A03">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1.严格限制建设项目占用自然岸线，项目选址和平面设计应当避让自然岸线国家重大项目需要新增围填海等改变海域自然属性，以及线性工程等基础设施，渔港、陆岛交通码头、防灾减灾等民生工程，海洋生态修复等公益项目，需要建设非透水构筑物且无法避让的，可以占用自然岸线。确需占用自然岸线的建设项目，要落实集约节约利用等要求，严格进行论证，按照规定允许建设项目占用自然岸线的，应当通过整治修复等措施补充生态恢复岸线，补充长度不少于占用长度。</w:t>
                  </w:r>
                </w:p>
                <w:p w14:paraId="302283D5">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2.适时搬迁或取消松门、长安、小长门等闽江口内港作业区的油品、液体化工品码头功能，适度控制新建企业专用码头，推行码头共用。</w:t>
                  </w:r>
                </w:p>
                <w:p w14:paraId="5D8CE526">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val="en-US" w:eastAsia="zh-CN"/>
                    </w:rPr>
                  </w:pPr>
                  <w:r>
                    <w:rPr>
                      <w:rFonts w:hint="eastAsia" w:ascii="Times New Roman" w:hAnsi="Times New Roman" w:eastAsia="宋体"/>
                      <w:b w:val="0"/>
                      <w:bCs w:val="0"/>
                      <w:color w:val="auto"/>
                      <w:sz w:val="21"/>
                      <w:szCs w:val="21"/>
                      <w:lang w:val="en-US" w:eastAsia="zh-CN"/>
                    </w:rPr>
                    <w:t>3.实施港口建设分类引导和约束，严控港口重复建设。闽江口内港区重点准入对台“三通”客运项目，兼顾能源、集装箱等货运项目；福州（连江）国家远洋渔业基地核心区远洋渔业母港重点准入远洋渔业装卸码头、渔港、锚地、航道建设项目；江阴港区重点准入集装箱运输项目，兼顾散杂货、化工品和商品汽车运输项目；松下港区重点准入粮食、散杂货运输项目；罗源湾港区重点准入煤炭、矿石等散货运输项目。</w:t>
                  </w:r>
                </w:p>
              </w:tc>
              <w:tc>
                <w:tcPr>
                  <w:tcW w:w="1244" w:type="pct"/>
                  <w:tcBorders>
                    <w:tl2br w:val="nil"/>
                    <w:tr2bl w:val="nil"/>
                  </w:tcBorders>
                  <w:noWrap w:val="0"/>
                  <w:vAlign w:val="center"/>
                </w:tcPr>
                <w:p w14:paraId="13084E7B">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eastAsia="zh-CN"/>
                    </w:rPr>
                  </w:pPr>
                  <w:r>
                    <w:rPr>
                      <w:rFonts w:hint="eastAsia"/>
                      <w:b w:val="0"/>
                      <w:bCs w:val="0"/>
                      <w:color w:val="auto"/>
                      <w:sz w:val="21"/>
                      <w:szCs w:val="21"/>
                      <w:lang w:eastAsia="zh-CN"/>
                    </w:rPr>
                    <w:t>1.</w:t>
                  </w:r>
                  <w:r>
                    <w:rPr>
                      <w:rFonts w:hint="eastAsia" w:ascii="Times New Roman" w:hAnsi="Times New Roman" w:eastAsia="宋体"/>
                      <w:b w:val="0"/>
                      <w:bCs w:val="0"/>
                      <w:color w:val="auto"/>
                      <w:sz w:val="21"/>
                      <w:szCs w:val="21"/>
                    </w:rPr>
                    <w:t>本项目选址于</w:t>
                  </w:r>
                  <w:r>
                    <w:rPr>
                      <w:rFonts w:hint="eastAsia" w:ascii="Times New Roman" w:hAnsi="Times New Roman" w:eastAsia="宋体"/>
                      <w:color w:val="auto"/>
                      <w:sz w:val="21"/>
                      <w:szCs w:val="21"/>
                      <w:lang w:eastAsia="zh-CN"/>
                    </w:rPr>
                    <w:t>福建省福州市闽侯县上街镇马保村后园32号2号楼1层</w:t>
                  </w:r>
                  <w:r>
                    <w:rPr>
                      <w:rFonts w:hint="eastAsia" w:ascii="Times New Roman" w:hAnsi="Times New Roman" w:eastAsia="宋体"/>
                      <w:b w:val="0"/>
                      <w:bCs w:val="0"/>
                      <w:color w:val="auto"/>
                      <w:sz w:val="21"/>
                      <w:szCs w:val="21"/>
                    </w:rPr>
                    <w:t>，</w:t>
                  </w:r>
                  <w:r>
                    <w:rPr>
                      <w:rFonts w:hint="eastAsia" w:ascii="Times New Roman" w:hAnsi="Times New Roman" w:eastAsia="宋体"/>
                      <w:b w:val="0"/>
                      <w:bCs w:val="0"/>
                      <w:color w:val="auto"/>
                      <w:sz w:val="21"/>
                      <w:szCs w:val="21"/>
                      <w:lang w:val="en-US" w:eastAsia="zh-CN"/>
                    </w:rPr>
                    <w:t>租赁</w:t>
                  </w:r>
                  <w:r>
                    <w:rPr>
                      <w:rFonts w:hint="eastAsia" w:ascii="Times New Roman" w:hAnsi="Times New Roman" w:eastAsia="宋体"/>
                      <w:b w:val="0"/>
                      <w:bCs w:val="0"/>
                      <w:color w:val="auto"/>
                      <w:sz w:val="21"/>
                      <w:szCs w:val="21"/>
                    </w:rPr>
                    <w:t>已建成</w:t>
                  </w:r>
                  <w:r>
                    <w:rPr>
                      <w:rFonts w:hint="eastAsia" w:ascii="Times New Roman" w:hAnsi="Times New Roman" w:eastAsia="宋体"/>
                      <w:b w:val="0"/>
                      <w:bCs w:val="0"/>
                      <w:color w:val="auto"/>
                      <w:sz w:val="21"/>
                      <w:szCs w:val="21"/>
                      <w:lang w:val="en-US" w:eastAsia="zh-CN"/>
                    </w:rPr>
                    <w:t>闲置</w:t>
                  </w:r>
                  <w:r>
                    <w:rPr>
                      <w:rFonts w:hint="eastAsia" w:ascii="Times New Roman" w:hAnsi="Times New Roman" w:eastAsia="宋体"/>
                      <w:b w:val="0"/>
                      <w:bCs w:val="0"/>
                      <w:color w:val="auto"/>
                      <w:sz w:val="21"/>
                      <w:szCs w:val="21"/>
                    </w:rPr>
                    <w:t>厂房，远离自然岸线</w:t>
                  </w:r>
                  <w:r>
                    <w:rPr>
                      <w:rFonts w:hint="eastAsia" w:ascii="Times New Roman" w:hAnsi="Times New Roman" w:eastAsia="宋体"/>
                      <w:b w:val="0"/>
                      <w:bCs w:val="0"/>
                      <w:color w:val="auto"/>
                      <w:sz w:val="21"/>
                      <w:szCs w:val="21"/>
                      <w:lang w:eastAsia="zh-CN"/>
                    </w:rPr>
                    <w:t>；</w:t>
                  </w:r>
                </w:p>
                <w:p w14:paraId="2D530B92">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eastAsia="zh-CN"/>
                    </w:rPr>
                  </w:pPr>
                  <w:r>
                    <w:rPr>
                      <w:rFonts w:hint="eastAsia"/>
                      <w:b w:val="0"/>
                      <w:bCs w:val="0"/>
                      <w:color w:val="auto"/>
                      <w:sz w:val="21"/>
                      <w:szCs w:val="21"/>
                      <w:lang w:eastAsia="zh-CN"/>
                    </w:rPr>
                    <w:t>2.</w:t>
                  </w:r>
                  <w:r>
                    <w:rPr>
                      <w:rFonts w:hint="eastAsia" w:ascii="Times New Roman" w:hAnsi="Times New Roman" w:eastAsia="宋体"/>
                      <w:b w:val="0"/>
                      <w:bCs w:val="0"/>
                      <w:color w:val="auto"/>
                      <w:sz w:val="21"/>
                      <w:szCs w:val="21"/>
                    </w:rPr>
                    <w:t>3</w:t>
                  </w:r>
                  <w:r>
                    <w:rPr>
                      <w:rFonts w:hint="eastAsia" w:ascii="Times New Roman" w:hAnsi="Times New Roman" w:eastAsia="宋体"/>
                      <w:b w:val="0"/>
                      <w:bCs w:val="0"/>
                      <w:color w:val="auto"/>
                      <w:sz w:val="21"/>
                      <w:szCs w:val="21"/>
                      <w:lang w:eastAsia="zh-CN"/>
                    </w:rPr>
                    <w:t>、</w:t>
                  </w:r>
                  <w:r>
                    <w:rPr>
                      <w:rFonts w:hint="eastAsia" w:ascii="Times New Roman" w:hAnsi="Times New Roman" w:eastAsia="宋体"/>
                      <w:b w:val="0"/>
                      <w:bCs w:val="0"/>
                      <w:color w:val="auto"/>
                      <w:sz w:val="21"/>
                      <w:szCs w:val="21"/>
                    </w:rPr>
                    <w:t>本项目</w:t>
                  </w:r>
                  <w:r>
                    <w:rPr>
                      <w:rFonts w:hint="eastAsia" w:ascii="Times New Roman" w:hAnsi="Times New Roman" w:eastAsia="宋体"/>
                      <w:b w:val="0"/>
                      <w:bCs w:val="0"/>
                      <w:color w:val="auto"/>
                      <w:sz w:val="21"/>
                      <w:szCs w:val="21"/>
                      <w:lang w:eastAsia="zh-CN"/>
                    </w:rPr>
                    <w:t>主要从事</w:t>
                  </w:r>
                  <w:r>
                    <w:rPr>
                      <w:rFonts w:hint="eastAsia" w:ascii="Times New Roman" w:hAnsi="Times New Roman" w:eastAsia="宋体"/>
                      <w:b w:val="0"/>
                      <w:bCs w:val="0"/>
                      <w:color w:val="auto"/>
                      <w:sz w:val="21"/>
                      <w:szCs w:val="21"/>
                      <w:lang w:val="en-US" w:eastAsia="zh-CN"/>
                    </w:rPr>
                    <w:t>光学元器件的</w:t>
                  </w:r>
                  <w:r>
                    <w:rPr>
                      <w:rFonts w:hint="eastAsia" w:ascii="Times New Roman" w:hAnsi="Times New Roman" w:eastAsia="宋体"/>
                      <w:b w:val="0"/>
                      <w:bCs w:val="0"/>
                      <w:color w:val="auto"/>
                      <w:sz w:val="21"/>
                      <w:szCs w:val="21"/>
                      <w:lang w:eastAsia="zh-CN"/>
                    </w:rPr>
                    <w:t>生产</w:t>
                  </w:r>
                  <w:r>
                    <w:rPr>
                      <w:rFonts w:hint="eastAsia" w:ascii="Times New Roman" w:hAnsi="Times New Roman" w:eastAsia="宋体"/>
                      <w:b w:val="0"/>
                      <w:bCs w:val="0"/>
                      <w:color w:val="auto"/>
                      <w:sz w:val="21"/>
                      <w:szCs w:val="21"/>
                    </w:rPr>
                    <w:t>，不属于闽江口内港作业区的油品、液体化工品码头以及港口建设</w:t>
                  </w:r>
                  <w:r>
                    <w:rPr>
                      <w:rFonts w:hint="eastAsia" w:ascii="Times New Roman" w:hAnsi="Times New Roman" w:eastAsia="宋体"/>
                      <w:b w:val="0"/>
                      <w:bCs w:val="0"/>
                      <w:color w:val="auto"/>
                      <w:sz w:val="21"/>
                      <w:szCs w:val="21"/>
                      <w:lang w:eastAsia="zh-CN"/>
                    </w:rPr>
                    <w:t>。</w:t>
                  </w:r>
                </w:p>
              </w:tc>
            </w:tr>
            <w:tr w14:paraId="3BF81E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4" w:type="pct"/>
                  <w:vMerge w:val="restart"/>
                  <w:tcBorders>
                    <w:tl2br w:val="nil"/>
                    <w:tr2bl w:val="nil"/>
                  </w:tcBorders>
                  <w:noWrap w:val="0"/>
                  <w:textDirection w:val="tbRlV"/>
                  <w:vAlign w:val="center"/>
                </w:tcPr>
                <w:p w14:paraId="688F4C8B">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default" w:ascii="Times New Roman" w:hAnsi="Times New Roman" w:eastAsia="宋体"/>
                      <w:b w:val="0"/>
                      <w:bCs w:val="0"/>
                      <w:color w:val="auto"/>
                      <w:sz w:val="21"/>
                      <w:szCs w:val="21"/>
                      <w:lang w:val="en-US"/>
                    </w:rPr>
                  </w:pPr>
                  <w:r>
                    <w:rPr>
                      <w:rFonts w:hint="eastAsia" w:ascii="Times New Roman" w:hAnsi="Times New Roman" w:eastAsia="宋体"/>
                      <w:b w:val="0"/>
                      <w:bCs w:val="0"/>
                      <w:color w:val="auto"/>
                      <w:sz w:val="21"/>
                      <w:szCs w:val="21"/>
                      <w:lang w:val="en-US" w:eastAsia="zh-CN"/>
                    </w:rPr>
                    <w:t>近岸海域</w:t>
                  </w:r>
                </w:p>
              </w:tc>
              <w:tc>
                <w:tcPr>
                  <w:tcW w:w="344" w:type="pct"/>
                  <w:tcBorders>
                    <w:tl2br w:val="nil"/>
                    <w:tr2bl w:val="nil"/>
                  </w:tcBorders>
                  <w:noWrap w:val="0"/>
                  <w:vAlign w:val="center"/>
                </w:tcPr>
                <w:p w14:paraId="36939030">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lang w:val="en-US" w:eastAsia="zh-CN"/>
                    </w:rPr>
                    <w:t>空间布局约束</w:t>
                  </w:r>
                </w:p>
              </w:tc>
              <w:tc>
                <w:tcPr>
                  <w:tcW w:w="3056" w:type="pct"/>
                  <w:tcBorders>
                    <w:tl2br w:val="nil"/>
                    <w:tr2bl w:val="nil"/>
                  </w:tcBorders>
                  <w:noWrap w:val="0"/>
                  <w:vAlign w:val="center"/>
                </w:tcPr>
                <w:p w14:paraId="145D17E4">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1.严格落实国家围填海管控规定，除国家重大项目外，全面禁止围填海。</w:t>
                  </w:r>
                  <w:r>
                    <w:rPr>
                      <w:rFonts w:ascii="Times New Roman" w:hAnsi="Times New Roman" w:eastAsia="宋体"/>
                      <w:b w:val="0"/>
                      <w:bCs w:val="0"/>
                      <w:color w:val="auto"/>
                      <w:sz w:val="21"/>
                      <w:szCs w:val="21"/>
                    </w:rPr>
                    <w:t>2.强化生态保护红线区的管控，确保邻近的交通运输用海、工矿通信用海等功能区开发活动不得影响生态保护红线区的功能。强化闽江口、福清湾及兴化湾重要滨海湿地保护，禁止破坏芦苇荡等植被群落，生产设施与水禽筑巢区、觅食及栖息地等集中分布区须保留安全距离；禁止高噪音等惊扰鸟类的作业，禁止大面积使用栖息水鸟害怕的颜色。</w:t>
                  </w:r>
                </w:p>
                <w:p w14:paraId="536E839E">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3.江阴特殊利用区内设置排污口，需严格论证并执行污水达标排放和设置深水排放口，不得影响</w:t>
                  </w:r>
                  <w:r>
                    <w:rPr>
                      <w:rFonts w:hint="eastAsia"/>
                      <w:b w:val="0"/>
                      <w:bCs w:val="0"/>
                      <w:color w:val="auto"/>
                      <w:sz w:val="21"/>
                      <w:szCs w:val="21"/>
                      <w:lang w:eastAsia="zh-CN"/>
                    </w:rPr>
                    <w:t>邻近</w:t>
                  </w:r>
                  <w:r>
                    <w:rPr>
                      <w:rFonts w:ascii="Times New Roman" w:hAnsi="Times New Roman" w:eastAsia="宋体"/>
                      <w:b w:val="0"/>
                      <w:bCs w:val="0"/>
                      <w:color w:val="auto"/>
                      <w:sz w:val="21"/>
                      <w:szCs w:val="21"/>
                    </w:rPr>
                    <w:t>的兴化湾水鸟省级自然保护区。</w:t>
                  </w:r>
                </w:p>
                <w:p w14:paraId="0A8B8A5B">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4.优化调整环罗源湾区域发展定位和产业布局。大官坂组团发展污染相对较低的石化中下游产业和精细化工产品，并适当控制其发展规模，不再扩大聚酰胺一体化及配套项目规模。松山片区禁止引进、建设集中电镀、制浆、医药、农药、酿造等重污染项目。</w:t>
                  </w:r>
                </w:p>
                <w:p w14:paraId="758FF8C4">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5.严格落实养殖水域滩涂规划，防止超规划养殖反弹回潮，进一步优化海水养殖空间布局禁养区内和规划范围外的海水养殖予以退出；罗源湾禁养区禁止开展水产养殖，限养区不得开展网箱养殖。</w:t>
                  </w:r>
                </w:p>
                <w:p w14:paraId="4E5E5D2F">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6.涉及利用无居民海岛的，原则上仅允许按照相关规定对海岛自然岸线、表面积、岛体、植被改变轻微的低影响利用方式。</w:t>
                  </w:r>
                </w:p>
              </w:tc>
              <w:tc>
                <w:tcPr>
                  <w:tcW w:w="1244" w:type="pct"/>
                  <w:tcBorders>
                    <w:tl2br w:val="nil"/>
                    <w:tr2bl w:val="nil"/>
                  </w:tcBorders>
                  <w:noWrap w:val="0"/>
                  <w:vAlign w:val="center"/>
                </w:tcPr>
                <w:p w14:paraId="0E1EB931">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eastAsia="zh-CN"/>
                    </w:rPr>
                  </w:pPr>
                  <w:r>
                    <w:rPr>
                      <w:rFonts w:hint="eastAsia"/>
                      <w:b w:val="0"/>
                      <w:bCs w:val="0"/>
                      <w:color w:val="auto"/>
                      <w:sz w:val="21"/>
                      <w:szCs w:val="21"/>
                      <w:lang w:val="en-US" w:eastAsia="zh-CN"/>
                    </w:rPr>
                    <w:t>1.</w:t>
                  </w:r>
                  <w:r>
                    <w:rPr>
                      <w:rFonts w:hint="eastAsia" w:ascii="Times New Roman" w:hAnsi="Times New Roman" w:eastAsia="宋体"/>
                      <w:b w:val="0"/>
                      <w:bCs w:val="0"/>
                      <w:color w:val="auto"/>
                      <w:sz w:val="21"/>
                      <w:szCs w:val="21"/>
                    </w:rPr>
                    <w:t>本项目选址于</w:t>
                  </w:r>
                  <w:r>
                    <w:rPr>
                      <w:rFonts w:hint="eastAsia" w:ascii="Times New Roman" w:hAnsi="Times New Roman" w:eastAsia="宋体"/>
                      <w:color w:val="auto"/>
                      <w:sz w:val="21"/>
                      <w:szCs w:val="21"/>
                      <w:lang w:eastAsia="zh-CN"/>
                    </w:rPr>
                    <w:t>福建省福州市闽侯县上街镇马保村后园32号2号楼1层</w:t>
                  </w:r>
                  <w:r>
                    <w:rPr>
                      <w:rFonts w:hint="eastAsia" w:ascii="Times New Roman" w:hAnsi="Times New Roman" w:eastAsia="宋体"/>
                      <w:b w:val="0"/>
                      <w:bCs w:val="0"/>
                      <w:color w:val="auto"/>
                      <w:sz w:val="21"/>
                      <w:szCs w:val="21"/>
                    </w:rPr>
                    <w:t>，利用已建成厂房，本项目</w:t>
                  </w:r>
                  <w:r>
                    <w:rPr>
                      <w:rFonts w:hint="eastAsia" w:ascii="Times New Roman" w:hAnsi="Times New Roman" w:eastAsia="宋体"/>
                      <w:b w:val="0"/>
                      <w:bCs w:val="0"/>
                      <w:color w:val="auto"/>
                      <w:sz w:val="21"/>
                      <w:szCs w:val="21"/>
                      <w:lang w:eastAsia="zh-CN"/>
                    </w:rPr>
                    <w:t>主要从事</w:t>
                  </w:r>
                  <w:r>
                    <w:rPr>
                      <w:rFonts w:hint="eastAsia" w:ascii="Times New Roman" w:hAnsi="Times New Roman" w:eastAsia="宋体"/>
                      <w:b w:val="0"/>
                      <w:bCs w:val="0"/>
                      <w:color w:val="auto"/>
                      <w:sz w:val="21"/>
                      <w:szCs w:val="21"/>
                      <w:lang w:val="en-US" w:eastAsia="zh-CN"/>
                    </w:rPr>
                    <w:t>光学元器件的</w:t>
                  </w:r>
                  <w:r>
                    <w:rPr>
                      <w:rFonts w:hint="eastAsia" w:ascii="Times New Roman" w:hAnsi="Times New Roman" w:eastAsia="宋体"/>
                      <w:b w:val="0"/>
                      <w:bCs w:val="0"/>
                      <w:color w:val="auto"/>
                      <w:sz w:val="21"/>
                      <w:szCs w:val="21"/>
                      <w:lang w:eastAsia="zh-CN"/>
                    </w:rPr>
                    <w:t>生产；</w:t>
                  </w:r>
                </w:p>
                <w:p w14:paraId="6F7B5653">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eastAsia="zh-CN"/>
                    </w:rPr>
                  </w:pPr>
                  <w:r>
                    <w:rPr>
                      <w:rFonts w:hint="eastAsia"/>
                      <w:b w:val="0"/>
                      <w:bCs w:val="0"/>
                      <w:color w:val="auto"/>
                      <w:sz w:val="21"/>
                      <w:szCs w:val="21"/>
                      <w:lang w:val="en-US" w:eastAsia="zh-CN"/>
                    </w:rPr>
                    <w:t>2.</w:t>
                  </w:r>
                  <w:r>
                    <w:rPr>
                      <w:rFonts w:hint="eastAsia" w:ascii="Times New Roman" w:hAnsi="Times New Roman" w:eastAsia="宋体"/>
                      <w:b w:val="0"/>
                      <w:bCs w:val="0"/>
                      <w:color w:val="auto"/>
                      <w:sz w:val="21"/>
                      <w:szCs w:val="21"/>
                    </w:rPr>
                    <w:t>不涉及围填海、海、工矿通信用海等功能区开发活动</w:t>
                  </w:r>
                  <w:r>
                    <w:rPr>
                      <w:rFonts w:hint="eastAsia" w:ascii="Times New Roman" w:hAnsi="Times New Roman" w:eastAsia="宋体"/>
                      <w:b w:val="0"/>
                      <w:bCs w:val="0"/>
                      <w:color w:val="auto"/>
                      <w:sz w:val="21"/>
                      <w:szCs w:val="21"/>
                      <w:lang w:eastAsia="zh-CN"/>
                    </w:rPr>
                    <w:t>；</w:t>
                  </w:r>
                </w:p>
                <w:p w14:paraId="22764C7C">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eastAsia="zh-CN"/>
                    </w:rPr>
                  </w:pPr>
                  <w:r>
                    <w:rPr>
                      <w:rFonts w:hint="eastAsia"/>
                      <w:b w:val="0"/>
                      <w:bCs w:val="0"/>
                      <w:color w:val="auto"/>
                      <w:sz w:val="21"/>
                      <w:szCs w:val="21"/>
                      <w:lang w:val="en-US" w:eastAsia="zh-CN"/>
                    </w:rPr>
                    <w:t>3.</w:t>
                  </w:r>
                  <w:r>
                    <w:rPr>
                      <w:rFonts w:hint="eastAsia" w:ascii="Times New Roman" w:hAnsi="Times New Roman" w:eastAsia="宋体"/>
                      <w:b w:val="0"/>
                      <w:bCs w:val="0"/>
                      <w:color w:val="auto"/>
                      <w:sz w:val="21"/>
                      <w:szCs w:val="21"/>
                      <w:lang w:val="en-US" w:eastAsia="zh-CN"/>
                    </w:rPr>
                    <w:t>4、5、6</w:t>
                  </w:r>
                  <w:r>
                    <w:rPr>
                      <w:rFonts w:hint="eastAsia"/>
                      <w:b w:val="0"/>
                      <w:bCs w:val="0"/>
                      <w:color w:val="auto"/>
                      <w:sz w:val="21"/>
                      <w:szCs w:val="21"/>
                      <w:lang w:val="en-US" w:eastAsia="zh-CN"/>
                    </w:rPr>
                    <w:t>.</w:t>
                  </w:r>
                  <w:r>
                    <w:rPr>
                      <w:rFonts w:hint="eastAsia" w:ascii="Times New Roman" w:hAnsi="Times New Roman" w:eastAsia="宋体"/>
                      <w:b w:val="0"/>
                      <w:bCs w:val="0"/>
                      <w:color w:val="auto"/>
                      <w:sz w:val="21"/>
                      <w:szCs w:val="21"/>
                    </w:rPr>
                    <w:t>不位于闽江口、福清湾及兴化湾重要滨海湿地、江阴特殊利用区、兴化湾水鸟省级自然保护区、罗源湾区、大官坂组团、松山片区、罗源湾禁养区，不涉及利用无居民海岛</w:t>
                  </w:r>
                  <w:r>
                    <w:rPr>
                      <w:rFonts w:hint="eastAsia" w:ascii="Times New Roman" w:hAnsi="Times New Roman" w:eastAsia="宋体"/>
                      <w:b w:val="0"/>
                      <w:bCs w:val="0"/>
                      <w:color w:val="auto"/>
                      <w:sz w:val="21"/>
                      <w:szCs w:val="21"/>
                      <w:lang w:eastAsia="zh-CN"/>
                    </w:rPr>
                    <w:t>。</w:t>
                  </w:r>
                </w:p>
              </w:tc>
            </w:tr>
            <w:tr w14:paraId="10F0CE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4" w:type="pct"/>
                  <w:vMerge w:val="continue"/>
                  <w:tcBorders>
                    <w:tl2br w:val="nil"/>
                    <w:tr2bl w:val="nil"/>
                  </w:tcBorders>
                  <w:noWrap w:val="0"/>
                  <w:textDirection w:val="tbRlV"/>
                  <w:vAlign w:val="center"/>
                </w:tcPr>
                <w:p w14:paraId="6FD7BFF5">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p>
              </w:tc>
              <w:tc>
                <w:tcPr>
                  <w:tcW w:w="344" w:type="pct"/>
                  <w:tcBorders>
                    <w:tl2br w:val="nil"/>
                    <w:tr2bl w:val="nil"/>
                  </w:tcBorders>
                  <w:noWrap w:val="0"/>
                  <w:vAlign w:val="center"/>
                </w:tcPr>
                <w:p w14:paraId="502CD62F">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污染</w:t>
                  </w:r>
                </w:p>
                <w:p w14:paraId="4DD97ACD">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物排</w:t>
                  </w:r>
                </w:p>
                <w:p w14:paraId="1E7C1103">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放管 控</w:t>
                  </w:r>
                </w:p>
              </w:tc>
              <w:tc>
                <w:tcPr>
                  <w:tcW w:w="3056" w:type="pct"/>
                  <w:tcBorders>
                    <w:tl2br w:val="nil"/>
                    <w:tr2bl w:val="nil"/>
                  </w:tcBorders>
                  <w:noWrap w:val="0"/>
                  <w:vAlign w:val="center"/>
                </w:tcPr>
                <w:p w14:paraId="388CA2F6">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1.罗源湾实行主要污染物入海总量控制合理设置湾内排污口，化工废水应全部引至湾外排放，可门经济区污水排放落实湾外深海排放。全面推进罗源湾入海排污口排查溯源、分类整治和起步溪等入海溪流综合整治。提升罗源湾港区污染物接收处理能力。</w:t>
                  </w:r>
                </w:p>
                <w:p w14:paraId="6977E96C">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2.实行闽江口主要污染物入海总量控制，控制闽江入海断面水质，削减氮磷入海总量巩固深化闽江口综合整治成效，持续开展闽江口周边入海溪流水质提升行动，全面推进闽江口入海排污口排查溯源和分类整治。优化闽江口以北连江东部海域养殖结构和布局，控制养殖密度和规模。</w:t>
                  </w:r>
                </w:p>
                <w:p w14:paraId="690E77C5">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3.全面开展福清湾入海排污口排查溯源和分类整治，加强福清湾及龙江沿岸农村生活污水、生活垃圾的收集处理处置。严格控制湾内投饵型网箱养殖规模和密度，实行生态养殖，强化养殖污染防治和养殖尾水治理监管。</w:t>
                  </w:r>
                </w:p>
                <w:p w14:paraId="5AE16A01">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4.兴化湾实行主要污染物入海总量控制，全面开展兴化湾福州段入海排污口排查溯源和分类整治，加快推动沿岸乡镇配套污水管网建设及江阴工业区污水处理厂提标改造，湾内严格控制投饵型网箱养殖规模和密度，实行生态养殖，强化养殖污染防治和养殖尾水治理监管。</w:t>
                  </w:r>
                </w:p>
                <w:p w14:paraId="5C9C4349">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5.近岸海域汇水区域内城镇污水处理设施执行不低于一级A排放标准，推进沿海农村生活污水收集处理。</w:t>
                  </w:r>
                </w:p>
                <w:p w14:paraId="14CFAA5D">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6.出台福州市养殖尾水排放标准，强化养殖尾水治理和排放监测监管。控制养殖规模和密度，发展生态养殖，推进传统养殖设施的升级改造，推广环保型全塑胶鱼排和深水抗风浪网箱。实施海水养殖排污口排查整治，推进分类治理及规范化设置，实施规模化养殖池塘标准化改造。</w:t>
                  </w:r>
                </w:p>
                <w:p w14:paraId="3362A6A5">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7.强化陆海污染联防联控，推动“蓝色海湾”整治项目、海岸带生态保护修复工程等重大工程建设，推进沿海岸线自然化和生态保护修复。</w:t>
                  </w:r>
                </w:p>
                <w:p w14:paraId="4759B9EC">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ascii="Times New Roman" w:hAnsi="Times New Roman" w:eastAsia="宋体"/>
                      <w:b w:val="0"/>
                      <w:bCs w:val="0"/>
                      <w:color w:val="auto"/>
                      <w:sz w:val="21"/>
                      <w:szCs w:val="21"/>
                    </w:rPr>
                    <w:t>8.闽江口内港区现有油品和危险品（液化石油气）码头搬迁前应切实保障现有油污水处理设施的有效性，搬迁后由江阴港区、罗源湾港区在对应码头设立油污水接收处理系统。其他港区的生产性油污水由码头自建油污水处理设施处理达标后排入依托城市污水处理厂，杜绝港区油污水散排。</w:t>
                  </w:r>
                </w:p>
                <w:p w14:paraId="209A0A54">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ascii="Times New Roman" w:hAnsi="Times New Roman" w:eastAsia="宋体"/>
                      <w:b w:val="0"/>
                      <w:bCs w:val="0"/>
                      <w:color w:val="auto"/>
                      <w:sz w:val="21"/>
                      <w:szCs w:val="21"/>
                    </w:rPr>
                    <w:t>9.提升海上环卫队伍专业化水平，强化海陆环卫无缝衔接，完善海漂垃圾收集处置设施建设</w:t>
                  </w:r>
                  <w:r>
                    <w:rPr>
                      <w:rFonts w:hint="eastAsia" w:ascii="Times New Roman" w:hAnsi="Times New Roman" w:eastAsia="宋体"/>
                      <w:b w:val="0"/>
                      <w:bCs w:val="0"/>
                      <w:color w:val="auto"/>
                      <w:sz w:val="21"/>
                      <w:szCs w:val="21"/>
                    </w:rPr>
                    <w:t>实现海滩海面常态化清理保洁，强化渔业垃圾等管控，强化重点旅游岸段及罗源湾、兴化湾等重点岸段的监视监控，定期开展专项整治行动。</w:t>
                  </w:r>
                </w:p>
                <w:p w14:paraId="27D1B90D">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10.巩固深化罗源湾、闽江口、福清湾、兴化湾等重点海湾综合治理，持续改善近岸海域环境质量。</w:t>
                  </w:r>
                </w:p>
                <w:p w14:paraId="55DFDFB6">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11.加强陆海统筹和区域协同，深化闽江、敖江、龙江主要入海河流及占泽溪等入海小流域综合治理；因地制宜加强总氮排放控制，实施入海河流总氮削减工程。</w:t>
                  </w:r>
                </w:p>
                <w:p w14:paraId="01328473">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12.推进省级及以上工业园区完成污水零直排建设，建设福清江阴港城经济区等一批“污水零直排”示范园区。</w:t>
                  </w:r>
                </w:p>
                <w:p w14:paraId="1D745860">
                  <w:pPr>
                    <w:pStyle w:val="47"/>
                    <w:keepNext w:val="0"/>
                    <w:keepLines w:val="0"/>
                    <w:pageBreakBefore w:val="0"/>
                    <w:widowControl/>
                    <w:kinsoku/>
                    <w:wordWrap/>
                    <w:overflowPunct/>
                    <w:topLinePunct w:val="0"/>
                    <w:autoSpaceDE/>
                    <w:autoSpaceDN/>
                    <w:bidi w:val="0"/>
                    <w:adjustRightInd w:val="0"/>
                    <w:snapToGrid w:val="0"/>
                    <w:jc w:val="center"/>
                    <w:textAlignment w:val="auto"/>
                    <w:rPr>
                      <w:rFonts w:ascii="Times New Roman" w:hAnsi="Times New Roman" w:eastAsia="宋体"/>
                      <w:b w:val="0"/>
                      <w:bCs w:val="0"/>
                      <w:color w:val="auto"/>
                      <w:sz w:val="21"/>
                      <w:szCs w:val="21"/>
                    </w:rPr>
                  </w:pPr>
                  <w:r>
                    <w:rPr>
                      <w:rFonts w:hint="eastAsia" w:ascii="Times New Roman" w:hAnsi="Times New Roman" w:eastAsia="宋体"/>
                      <w:b w:val="0"/>
                      <w:bCs w:val="0"/>
                      <w:color w:val="auto"/>
                      <w:sz w:val="21"/>
                      <w:szCs w:val="21"/>
                    </w:rPr>
                    <w:t>13.持续推进福州市美丽海湾保护与建设，到2025年，鉴江半岛</w:t>
                  </w:r>
                  <w:r>
                    <w:rPr>
                      <w:rFonts w:hint="eastAsia" w:ascii="Times New Roman" w:hAnsi="Times New Roman" w:eastAsia="宋体"/>
                      <w:b w:val="0"/>
                      <w:bCs w:val="0"/>
                      <w:color w:val="auto"/>
                      <w:sz w:val="21"/>
                      <w:szCs w:val="21"/>
                      <w:lang w:eastAsia="zh-CN"/>
                    </w:rPr>
                    <w:t>－</w:t>
                  </w:r>
                  <w:r>
                    <w:rPr>
                      <w:rFonts w:hint="eastAsia" w:ascii="Times New Roman" w:hAnsi="Times New Roman" w:eastAsia="宋体"/>
                      <w:b w:val="0"/>
                      <w:bCs w:val="0"/>
                      <w:color w:val="auto"/>
                      <w:sz w:val="21"/>
                      <w:szCs w:val="21"/>
                    </w:rPr>
                    <w:t>黄岐半岛东部海域湾区、长乐东部海域湾区建成国家级美丽海湾。</w:t>
                  </w:r>
                </w:p>
              </w:tc>
              <w:tc>
                <w:tcPr>
                  <w:tcW w:w="1244" w:type="pct"/>
                  <w:tcBorders>
                    <w:tl2br w:val="nil"/>
                    <w:tr2bl w:val="nil"/>
                  </w:tcBorders>
                  <w:noWrap w:val="0"/>
                  <w:vAlign w:val="center"/>
                </w:tcPr>
                <w:p w14:paraId="1808956D">
                  <w:pPr>
                    <w:pStyle w:val="47"/>
                    <w:keepNext w:val="0"/>
                    <w:keepLines w:val="0"/>
                    <w:pageBreakBefore w:val="0"/>
                    <w:widowControl/>
                    <w:kinsoku/>
                    <w:wordWrap/>
                    <w:overflowPunct/>
                    <w:topLinePunct w:val="0"/>
                    <w:autoSpaceDE/>
                    <w:autoSpaceDN/>
                    <w:bidi w:val="0"/>
                    <w:adjustRightInd w:val="0"/>
                    <w:snapToGrid w:val="0"/>
                    <w:jc w:val="center"/>
                    <w:textAlignment w:val="auto"/>
                    <w:rPr>
                      <w:rFonts w:hint="eastAsia" w:ascii="Times New Roman" w:hAnsi="Times New Roman" w:eastAsia="宋体"/>
                      <w:b w:val="0"/>
                      <w:bCs w:val="0"/>
                      <w:color w:val="auto"/>
                      <w:sz w:val="21"/>
                      <w:szCs w:val="21"/>
                      <w:lang w:eastAsia="zh-CN"/>
                    </w:rPr>
                  </w:pPr>
                  <w:r>
                    <w:rPr>
                      <w:rFonts w:hint="eastAsia" w:ascii="Times New Roman" w:hAnsi="Times New Roman" w:eastAsia="宋体"/>
                      <w:b w:val="0"/>
                      <w:bCs w:val="0"/>
                      <w:color w:val="auto"/>
                      <w:sz w:val="21"/>
                      <w:szCs w:val="21"/>
                      <w:lang w:val="en-US" w:eastAsia="zh-CN"/>
                    </w:rPr>
                    <w:t>1~13、</w:t>
                  </w:r>
                  <w:r>
                    <w:rPr>
                      <w:rFonts w:hint="eastAsia" w:ascii="Times New Roman" w:hAnsi="Times New Roman" w:eastAsia="宋体"/>
                      <w:b w:val="0"/>
                      <w:bCs w:val="0"/>
                      <w:color w:val="auto"/>
                      <w:sz w:val="21"/>
                      <w:szCs w:val="21"/>
                    </w:rPr>
                    <w:t>本项目选址于</w:t>
                  </w:r>
                  <w:r>
                    <w:rPr>
                      <w:rFonts w:hint="eastAsia" w:ascii="Times New Roman" w:hAnsi="Times New Roman" w:eastAsia="宋体"/>
                      <w:color w:val="auto"/>
                      <w:sz w:val="21"/>
                      <w:szCs w:val="21"/>
                      <w:lang w:eastAsia="zh-CN"/>
                    </w:rPr>
                    <w:t>福建省福州市闽侯县上街镇马保村后园32号2号楼1层</w:t>
                  </w:r>
                  <w:r>
                    <w:rPr>
                      <w:rFonts w:hint="eastAsia" w:ascii="Times New Roman" w:hAnsi="Times New Roman" w:eastAsia="宋体"/>
                      <w:b w:val="0"/>
                      <w:bCs w:val="0"/>
                      <w:color w:val="auto"/>
                      <w:sz w:val="21"/>
                      <w:szCs w:val="21"/>
                    </w:rPr>
                    <w:t>，利用已建成</w:t>
                  </w:r>
                  <w:r>
                    <w:rPr>
                      <w:rFonts w:hint="eastAsia" w:ascii="Times New Roman" w:hAnsi="Times New Roman" w:eastAsia="宋体"/>
                      <w:b w:val="0"/>
                      <w:bCs w:val="0"/>
                      <w:color w:val="auto"/>
                      <w:sz w:val="21"/>
                      <w:szCs w:val="21"/>
                      <w:lang w:val="en-US" w:eastAsia="zh-CN"/>
                    </w:rPr>
                    <w:t>闲置</w:t>
                  </w:r>
                  <w:r>
                    <w:rPr>
                      <w:rFonts w:hint="eastAsia" w:ascii="Times New Roman" w:hAnsi="Times New Roman" w:eastAsia="宋体"/>
                      <w:b w:val="0"/>
                      <w:bCs w:val="0"/>
                      <w:color w:val="auto"/>
                      <w:sz w:val="21"/>
                      <w:szCs w:val="21"/>
                    </w:rPr>
                    <w:t>厂房，本项目</w:t>
                  </w:r>
                  <w:r>
                    <w:rPr>
                      <w:rFonts w:hint="eastAsia" w:ascii="Times New Roman" w:hAnsi="Times New Roman" w:eastAsia="宋体"/>
                      <w:b w:val="0"/>
                      <w:bCs w:val="0"/>
                      <w:color w:val="auto"/>
                      <w:sz w:val="21"/>
                      <w:szCs w:val="21"/>
                      <w:lang w:eastAsia="zh-CN"/>
                    </w:rPr>
                    <w:t>主要从事</w:t>
                  </w:r>
                  <w:r>
                    <w:rPr>
                      <w:rFonts w:hint="eastAsia" w:ascii="Times New Roman" w:hAnsi="Times New Roman" w:eastAsia="宋体"/>
                      <w:b w:val="0"/>
                      <w:bCs w:val="0"/>
                      <w:color w:val="auto"/>
                      <w:sz w:val="21"/>
                      <w:szCs w:val="21"/>
                      <w:lang w:val="en-US" w:eastAsia="zh-CN"/>
                    </w:rPr>
                    <w:t>光学元器件的</w:t>
                  </w:r>
                  <w:r>
                    <w:rPr>
                      <w:rFonts w:hint="eastAsia" w:ascii="Times New Roman" w:hAnsi="Times New Roman" w:eastAsia="宋体"/>
                      <w:b w:val="0"/>
                      <w:bCs w:val="0"/>
                      <w:color w:val="auto"/>
                      <w:sz w:val="21"/>
                      <w:szCs w:val="21"/>
                      <w:lang w:eastAsia="zh-CN"/>
                    </w:rPr>
                    <w:t>生产</w:t>
                  </w:r>
                  <w:r>
                    <w:rPr>
                      <w:rFonts w:hint="eastAsia" w:ascii="Times New Roman" w:hAnsi="Times New Roman" w:eastAsia="宋体"/>
                      <w:b w:val="0"/>
                      <w:bCs w:val="0"/>
                      <w:color w:val="auto"/>
                      <w:sz w:val="21"/>
                      <w:szCs w:val="21"/>
                    </w:rPr>
                    <w:t>，不涉及围填海、海、工矿通信用海等功能区开发活动，不位于罗源湾、可门经济区、</w:t>
                  </w:r>
                  <w:r>
                    <w:rPr>
                      <w:rFonts w:hint="eastAsia" w:ascii="Times New Roman" w:hAnsi="Times New Roman" w:eastAsia="宋体"/>
                      <w:b w:val="0"/>
                      <w:bCs w:val="0"/>
                      <w:color w:val="auto"/>
                      <w:sz w:val="21"/>
                      <w:szCs w:val="21"/>
                      <w:highlight w:val="none"/>
                    </w:rPr>
                    <w:t>福清湾、兴化湾、江阴工业区、不靠近海湾，不涉及养殖业</w:t>
                  </w:r>
                  <w:r>
                    <w:rPr>
                      <w:rFonts w:hint="eastAsia" w:ascii="Times New Roman" w:hAnsi="Times New Roman" w:eastAsia="宋体"/>
                      <w:b w:val="0"/>
                      <w:bCs w:val="0"/>
                      <w:color w:val="auto"/>
                      <w:sz w:val="21"/>
                      <w:szCs w:val="21"/>
                      <w:highlight w:val="none"/>
                      <w:lang w:eastAsia="zh-CN"/>
                    </w:rPr>
                    <w:t>。</w:t>
                  </w:r>
                </w:p>
              </w:tc>
            </w:tr>
          </w:tbl>
          <w:p w14:paraId="334DFA35">
            <w:pPr>
              <w:pStyle w:val="46"/>
              <w:bidi w:val="0"/>
              <w:rPr>
                <w:rFonts w:hint="default" w:ascii="Times New Roman" w:hAnsi="Times New Roman"/>
                <w:color w:val="auto"/>
                <w:vertAlign w:val="baseline"/>
                <w:lang w:val="en-US" w:eastAsia="zh-CN"/>
              </w:rPr>
            </w:pPr>
            <w:r>
              <w:rPr>
                <w:rFonts w:hint="eastAsia" w:ascii="Times New Roman" w:hAnsi="Times New Roman" w:eastAsia="宋体" w:cs="Times New Roman"/>
                <w:b/>
                <w:color w:val="auto"/>
                <w:kern w:val="0"/>
                <w:sz w:val="24"/>
                <w:szCs w:val="20"/>
                <w:lang w:val="en-US" w:eastAsia="zh-CN" w:bidi="ar-SA"/>
              </w:rPr>
              <w:t>表1.</w:t>
            </w:r>
            <w:r>
              <w:rPr>
                <w:rFonts w:hint="eastAsia" w:ascii="Times New Roman" w:hAnsi="Times New Roman" w:cs="Times New Roman"/>
                <w:b/>
                <w:color w:val="auto"/>
                <w:kern w:val="0"/>
                <w:sz w:val="24"/>
                <w:szCs w:val="20"/>
                <w:lang w:val="en-US" w:eastAsia="zh-CN" w:bidi="ar-SA"/>
              </w:rPr>
              <w:t>6</w:t>
            </w:r>
            <w:r>
              <w:rPr>
                <w:rFonts w:hint="eastAsia" w:ascii="Times New Roman" w:hAnsi="Times New Roman" w:eastAsia="宋体" w:cs="Times New Roman"/>
                <w:b/>
                <w:color w:val="auto"/>
                <w:kern w:val="0"/>
                <w:sz w:val="24"/>
                <w:szCs w:val="20"/>
                <w:lang w:val="en-US" w:eastAsia="zh-CN" w:bidi="ar-SA"/>
              </w:rPr>
              <w:t>-2  本项目与</w:t>
            </w:r>
            <w:r>
              <w:rPr>
                <w:rFonts w:hint="eastAsia" w:ascii="Times New Roman" w:hAnsi="Times New Roman" w:cs="Times New Roman"/>
                <w:b/>
                <w:color w:val="auto"/>
                <w:kern w:val="0"/>
                <w:sz w:val="24"/>
                <w:szCs w:val="20"/>
                <w:lang w:val="en-US" w:eastAsia="zh-CN" w:bidi="ar-SA"/>
              </w:rPr>
              <w:t>闽侯县重点管控单元3</w:t>
            </w:r>
            <w:r>
              <w:rPr>
                <w:rFonts w:hint="eastAsia" w:ascii="Times New Roman" w:hAnsi="Times New Roman" w:eastAsia="宋体" w:cs="Times New Roman"/>
                <w:b/>
                <w:color w:val="auto"/>
                <w:kern w:val="0"/>
                <w:sz w:val="24"/>
                <w:szCs w:val="20"/>
                <w:lang w:val="en-US" w:eastAsia="zh-CN" w:bidi="ar-SA"/>
              </w:rPr>
              <w:t>生态环境准入清单符合性分析</w:t>
            </w:r>
          </w:p>
          <w:tbl>
            <w:tblPr>
              <w:tblStyle w:val="20"/>
              <w:tblW w:w="4996"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52"/>
              <w:gridCol w:w="693"/>
              <w:gridCol w:w="784"/>
              <w:gridCol w:w="496"/>
              <w:gridCol w:w="3543"/>
              <w:gridCol w:w="1597"/>
            </w:tblGrid>
            <w:tr w14:paraId="7D6021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360" w:type="pct"/>
                  <w:tcBorders>
                    <w:tl2br w:val="nil"/>
                    <w:tr2bl w:val="nil"/>
                  </w:tcBorders>
                  <w:noWrap w:val="0"/>
                  <w:vAlign w:val="center"/>
                </w:tcPr>
                <w:p w14:paraId="1B71CAB1">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环境管控单元编码</w:t>
                  </w:r>
                </w:p>
              </w:tc>
              <w:tc>
                <w:tcPr>
                  <w:tcW w:w="452" w:type="pct"/>
                  <w:tcBorders>
                    <w:tl2br w:val="nil"/>
                    <w:tr2bl w:val="nil"/>
                  </w:tcBorders>
                  <w:noWrap w:val="0"/>
                  <w:vAlign w:val="center"/>
                </w:tcPr>
                <w:p w14:paraId="3E59B68A">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环境管控单元名称</w:t>
                  </w:r>
                </w:p>
              </w:tc>
              <w:tc>
                <w:tcPr>
                  <w:tcW w:w="511" w:type="pct"/>
                  <w:tcBorders>
                    <w:tl2br w:val="nil"/>
                    <w:tr2bl w:val="nil"/>
                  </w:tcBorders>
                  <w:noWrap w:val="0"/>
                  <w:vAlign w:val="center"/>
                </w:tcPr>
                <w:p w14:paraId="4C7AF76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管控单元类别</w:t>
                  </w:r>
                </w:p>
              </w:tc>
              <w:tc>
                <w:tcPr>
                  <w:tcW w:w="2634" w:type="pct"/>
                  <w:gridSpan w:val="2"/>
                  <w:tcBorders>
                    <w:tl2br w:val="nil"/>
                    <w:tr2bl w:val="nil"/>
                  </w:tcBorders>
                  <w:noWrap w:val="0"/>
                  <w:vAlign w:val="center"/>
                </w:tcPr>
                <w:p w14:paraId="6B5830CF">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管控要求</w:t>
                  </w:r>
                </w:p>
              </w:tc>
              <w:tc>
                <w:tcPr>
                  <w:tcW w:w="1041" w:type="pct"/>
                  <w:tcBorders>
                    <w:tl2br w:val="nil"/>
                    <w:tr2bl w:val="nil"/>
                  </w:tcBorders>
                  <w:noWrap w:val="0"/>
                  <w:vAlign w:val="center"/>
                </w:tcPr>
                <w:p w14:paraId="498820E8">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符合性</w:t>
                  </w:r>
                </w:p>
              </w:tc>
            </w:tr>
            <w:tr w14:paraId="02138C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38" w:hRule="atLeast"/>
              </w:trPr>
              <w:tc>
                <w:tcPr>
                  <w:tcW w:w="360" w:type="pct"/>
                  <w:vMerge w:val="restart"/>
                  <w:tcBorders>
                    <w:tl2br w:val="nil"/>
                    <w:tr2bl w:val="nil"/>
                  </w:tcBorders>
                  <w:noWrap w:val="0"/>
                  <w:vAlign w:val="center"/>
                </w:tcPr>
                <w:p w14:paraId="3D5EB215">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vertAlign w:val="baseline"/>
                      <w:lang w:val="en-US" w:eastAsia="zh-CN"/>
                    </w:rPr>
                    <w:t>ZH35012120005</w:t>
                  </w:r>
                </w:p>
              </w:tc>
              <w:tc>
                <w:tcPr>
                  <w:tcW w:w="452" w:type="pct"/>
                  <w:vMerge w:val="restart"/>
                  <w:tcBorders>
                    <w:tl2br w:val="nil"/>
                    <w:tr2bl w:val="nil"/>
                  </w:tcBorders>
                  <w:noWrap w:val="0"/>
                  <w:vAlign w:val="center"/>
                </w:tcPr>
                <w:p w14:paraId="2FAB5664">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闽侯县重点管控单元3</w:t>
                  </w:r>
                </w:p>
              </w:tc>
              <w:tc>
                <w:tcPr>
                  <w:tcW w:w="511" w:type="pct"/>
                  <w:vMerge w:val="restart"/>
                  <w:tcBorders>
                    <w:tl2br w:val="nil"/>
                    <w:tr2bl w:val="nil"/>
                  </w:tcBorders>
                  <w:noWrap w:val="0"/>
                  <w:vAlign w:val="center"/>
                </w:tcPr>
                <w:p w14:paraId="644F5EA3">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重点管控单元</w:t>
                  </w:r>
                </w:p>
              </w:tc>
              <w:tc>
                <w:tcPr>
                  <w:tcW w:w="323" w:type="pct"/>
                  <w:tcBorders>
                    <w:tl2br w:val="nil"/>
                    <w:tr2bl w:val="nil"/>
                  </w:tcBorders>
                  <w:noWrap w:val="0"/>
                  <w:vAlign w:val="center"/>
                </w:tcPr>
                <w:p w14:paraId="508A6908">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空间布局约束</w:t>
                  </w:r>
                </w:p>
              </w:tc>
              <w:tc>
                <w:tcPr>
                  <w:tcW w:w="2311" w:type="pct"/>
                  <w:tcBorders>
                    <w:tl2br w:val="nil"/>
                    <w:tr2bl w:val="nil"/>
                  </w:tcBorders>
                  <w:noWrap w:val="0"/>
                  <w:vAlign w:val="center"/>
                </w:tcPr>
                <w:p w14:paraId="7140394A">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严禁在城镇人口密集区新建危险化学品生产企业；现有不符合安全和卫生防护距离要求的危险化学品生产企业2025年底前完成就地改造达标、搬迁进入规范化工园区或关闭退出。城市建成区内现有化工等污染较重的企业应有序搬迁改造或依法关闭。</w:t>
                  </w:r>
                </w:p>
                <w:p w14:paraId="7ECC7D2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2.禁止在通风廊道和主导风向的上风向布局大气重污染企业。严格控制包装印刷、工业涂装、制鞋等高VOCs排放的项目建设，相关新建项目必须进入工业园区。</w:t>
                  </w:r>
                </w:p>
                <w:p w14:paraId="4FF50CD9">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3.禁止开发利用未经评估和无害化处理的列入建设用地污染地块名录及开发利用负面清单的土地。</w:t>
                  </w:r>
                </w:p>
              </w:tc>
              <w:tc>
                <w:tcPr>
                  <w:tcW w:w="1041" w:type="pct"/>
                  <w:tcBorders>
                    <w:tl2br w:val="nil"/>
                    <w:tr2bl w:val="nil"/>
                  </w:tcBorders>
                  <w:noWrap w:val="0"/>
                  <w:vAlign w:val="center"/>
                </w:tcPr>
                <w:p w14:paraId="24F24E37">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eastAsia" w:ascii="Times New Roman" w:hAnsi="Times New Roman" w:eastAsia="宋体"/>
                      <w:color w:val="auto"/>
                      <w:sz w:val="21"/>
                      <w:szCs w:val="21"/>
                      <w:lang w:val="en-US" w:eastAsia="zh-CN"/>
                    </w:rPr>
                  </w:pPr>
                  <w:r>
                    <w:rPr>
                      <w:rFonts w:hint="eastAsia"/>
                      <w:color w:val="auto"/>
                      <w:sz w:val="21"/>
                      <w:szCs w:val="21"/>
                      <w:lang w:val="en-US" w:eastAsia="zh-CN"/>
                    </w:rPr>
                    <w:t>1.</w:t>
                  </w:r>
                  <w:r>
                    <w:rPr>
                      <w:rFonts w:hint="eastAsia" w:ascii="Times New Roman" w:hAnsi="Times New Roman" w:eastAsia="宋体"/>
                      <w:color w:val="auto"/>
                      <w:sz w:val="21"/>
                      <w:szCs w:val="21"/>
                      <w:lang w:val="en-US" w:eastAsia="zh-CN"/>
                    </w:rPr>
                    <w:t>本项目不涉及化工；</w:t>
                  </w:r>
                </w:p>
                <w:p w14:paraId="214DA8F9">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eastAsia" w:ascii="Times New Roman" w:hAnsi="Times New Roman" w:eastAsia="宋体"/>
                      <w:color w:val="auto"/>
                      <w:sz w:val="21"/>
                      <w:szCs w:val="21"/>
                      <w:lang w:val="en-US" w:eastAsia="zh-CN"/>
                    </w:rPr>
                  </w:pPr>
                  <w:r>
                    <w:rPr>
                      <w:rFonts w:hint="eastAsia"/>
                      <w:color w:val="auto"/>
                      <w:sz w:val="21"/>
                      <w:szCs w:val="21"/>
                      <w:lang w:val="en-US" w:eastAsia="zh-CN"/>
                    </w:rPr>
                    <w:t>2.</w:t>
                  </w:r>
                  <w:r>
                    <w:rPr>
                      <w:rFonts w:hint="eastAsia" w:ascii="Times New Roman" w:hAnsi="Times New Roman" w:eastAsia="宋体"/>
                      <w:color w:val="auto"/>
                      <w:sz w:val="21"/>
                      <w:szCs w:val="21"/>
                      <w:lang w:val="en-US" w:eastAsia="zh-CN"/>
                    </w:rPr>
                    <w:t>本项目不涉及包装印刷、工业涂装、制鞋等高VOCs排放的项目；</w:t>
                  </w:r>
                </w:p>
                <w:p w14:paraId="28C06820">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3.</w:t>
                  </w:r>
                  <w:r>
                    <w:rPr>
                      <w:rFonts w:hint="eastAsia" w:ascii="Times New Roman" w:hAnsi="Times New Roman" w:eastAsia="宋体"/>
                      <w:color w:val="auto"/>
                      <w:sz w:val="21"/>
                      <w:szCs w:val="21"/>
                      <w:lang w:val="en-US" w:eastAsia="zh-CN"/>
                    </w:rPr>
                    <w:t>本项目不属于建设用地污染地块名录及开发利用负面清单的土地。符合</w:t>
                  </w:r>
                </w:p>
              </w:tc>
            </w:tr>
            <w:tr w14:paraId="73E424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60" w:type="pct"/>
                  <w:vMerge w:val="continue"/>
                  <w:tcBorders>
                    <w:tl2br w:val="nil"/>
                    <w:tr2bl w:val="nil"/>
                  </w:tcBorders>
                  <w:noWrap w:val="0"/>
                  <w:vAlign w:val="center"/>
                </w:tcPr>
                <w:p w14:paraId="7D1A4CE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p>
              </w:tc>
              <w:tc>
                <w:tcPr>
                  <w:tcW w:w="452" w:type="pct"/>
                  <w:vMerge w:val="continue"/>
                  <w:tcBorders>
                    <w:tl2br w:val="nil"/>
                    <w:tr2bl w:val="nil"/>
                  </w:tcBorders>
                  <w:noWrap w:val="0"/>
                  <w:vAlign w:val="center"/>
                </w:tcPr>
                <w:p w14:paraId="5ADBE1A7">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p>
              </w:tc>
              <w:tc>
                <w:tcPr>
                  <w:tcW w:w="511" w:type="pct"/>
                  <w:vMerge w:val="continue"/>
                  <w:tcBorders>
                    <w:tl2br w:val="nil"/>
                    <w:tr2bl w:val="nil"/>
                  </w:tcBorders>
                  <w:noWrap w:val="0"/>
                  <w:vAlign w:val="center"/>
                </w:tcPr>
                <w:p w14:paraId="4115C9B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p>
              </w:tc>
              <w:tc>
                <w:tcPr>
                  <w:tcW w:w="323" w:type="pct"/>
                  <w:tcBorders>
                    <w:tl2br w:val="nil"/>
                    <w:tr2bl w:val="nil"/>
                  </w:tcBorders>
                  <w:noWrap w:val="0"/>
                  <w:vAlign w:val="center"/>
                </w:tcPr>
                <w:p w14:paraId="3715EB2E">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污染物排放管控</w:t>
                  </w:r>
                </w:p>
              </w:tc>
              <w:tc>
                <w:tcPr>
                  <w:tcW w:w="2311" w:type="pct"/>
                  <w:tcBorders>
                    <w:tl2br w:val="nil"/>
                    <w:tr2bl w:val="nil"/>
                  </w:tcBorders>
                  <w:noWrap w:val="0"/>
                  <w:vAlign w:val="center"/>
                </w:tcPr>
                <w:p w14:paraId="185B8828">
                  <w:pPr>
                    <w:jc w:val="center"/>
                    <w:rPr>
                      <w:rFonts w:hint="eastAsia" w:ascii="Times New Roman" w:hAnsi="Times New Roman" w:eastAsia="宋体"/>
                      <w:color w:val="auto"/>
                      <w:sz w:val="21"/>
                      <w:szCs w:val="21"/>
                      <w:vertAlign w:val="baseline"/>
                      <w:lang w:val="en-US" w:eastAsia="zh-CN"/>
                    </w:rPr>
                  </w:pPr>
                  <w:r>
                    <w:rPr>
                      <w:rFonts w:hint="eastAsia" w:ascii="Times New Roman" w:hAnsi="Times New Roman" w:eastAsia="宋体"/>
                      <w:color w:val="auto"/>
                      <w:sz w:val="21"/>
                      <w:szCs w:val="21"/>
                      <w:vertAlign w:val="baseline"/>
                      <w:lang w:val="en-US" w:eastAsia="zh-CN"/>
                    </w:rPr>
                    <w:t>1.禁止向农田灌溉渠道排放工业废水或者医疗污水。向农田灌溉渠道排放城镇污水以及未综合利用的畜禽养殖废水、农产品加工废水的，应当保证其下游最近的灌溉取水点的水质符合农田灌溉水质标准。</w:t>
                  </w:r>
                </w:p>
                <w:p w14:paraId="15EDD976">
                  <w:pPr>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vertAlign w:val="baseline"/>
                      <w:lang w:val="en-US" w:eastAsia="zh-CN"/>
                    </w:rPr>
                    <w:t>2.落实新增二氧化硫、氮氧化物和VOCs排放总量控制要求。</w:t>
                  </w:r>
                </w:p>
              </w:tc>
              <w:tc>
                <w:tcPr>
                  <w:tcW w:w="1041" w:type="pct"/>
                  <w:tcBorders>
                    <w:tl2br w:val="nil"/>
                    <w:tr2bl w:val="nil"/>
                  </w:tcBorders>
                  <w:noWrap w:val="0"/>
                  <w:vAlign w:val="center"/>
                </w:tcPr>
                <w:p w14:paraId="2DD5BAF8">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w:t>
                  </w:r>
                  <w:r>
                    <w:rPr>
                      <w:rFonts w:hint="eastAsia" w:ascii="Times New Roman" w:hAnsi="Times New Roman" w:eastAsia="宋体"/>
                      <w:color w:val="auto"/>
                      <w:sz w:val="21"/>
                      <w:szCs w:val="21"/>
                      <w:lang w:val="en-US" w:eastAsia="zh-CN"/>
                    </w:rPr>
                    <w:t>本</w:t>
                  </w:r>
                  <w:r>
                    <w:rPr>
                      <w:rFonts w:hint="eastAsia" w:ascii="Times New Roman" w:hAnsi="Times New Roman" w:eastAsia="宋体" w:cs="Times New Roman"/>
                      <w:color w:val="auto"/>
                      <w:kern w:val="0"/>
                      <w:sz w:val="21"/>
                      <w:szCs w:val="21"/>
                      <w:lang w:val="en-US" w:eastAsia="zh-CN" w:bidi="ar-SA"/>
                    </w:rPr>
                    <w:t>项目外排的生产废水和生活污水经处理达标后排入市政管网后纳入大学城污水处理厂</w:t>
                  </w:r>
                  <w:r>
                    <w:rPr>
                      <w:rFonts w:hint="eastAsia" w:ascii="Times New Roman" w:hAnsi="Times New Roman" w:eastAsia="宋体"/>
                      <w:color w:val="auto"/>
                      <w:sz w:val="21"/>
                      <w:szCs w:val="21"/>
                      <w:lang w:val="en-US" w:eastAsia="zh-CN"/>
                    </w:rPr>
                    <w:t>；2、本项目不涉及新增二氧化硫、氮氧化物排放，VOCs排放总量按照控制要求。符合</w:t>
                  </w:r>
                </w:p>
              </w:tc>
            </w:tr>
            <w:tr w14:paraId="4C6753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8" w:hRule="atLeast"/>
              </w:trPr>
              <w:tc>
                <w:tcPr>
                  <w:tcW w:w="360" w:type="pct"/>
                  <w:vMerge w:val="continue"/>
                  <w:tcBorders>
                    <w:tl2br w:val="nil"/>
                    <w:tr2bl w:val="nil"/>
                  </w:tcBorders>
                  <w:noWrap w:val="0"/>
                  <w:vAlign w:val="center"/>
                </w:tcPr>
                <w:p w14:paraId="615AAF63">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p>
              </w:tc>
              <w:tc>
                <w:tcPr>
                  <w:tcW w:w="452" w:type="pct"/>
                  <w:vMerge w:val="continue"/>
                  <w:tcBorders>
                    <w:tl2br w:val="nil"/>
                    <w:tr2bl w:val="nil"/>
                  </w:tcBorders>
                  <w:noWrap w:val="0"/>
                  <w:vAlign w:val="center"/>
                </w:tcPr>
                <w:p w14:paraId="68C2D4F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p>
              </w:tc>
              <w:tc>
                <w:tcPr>
                  <w:tcW w:w="511" w:type="pct"/>
                  <w:vMerge w:val="continue"/>
                  <w:tcBorders>
                    <w:tl2br w:val="nil"/>
                    <w:tr2bl w:val="nil"/>
                  </w:tcBorders>
                  <w:noWrap w:val="0"/>
                  <w:vAlign w:val="center"/>
                </w:tcPr>
                <w:p w14:paraId="04DE3401">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p>
              </w:tc>
              <w:tc>
                <w:tcPr>
                  <w:tcW w:w="323" w:type="pct"/>
                  <w:tcBorders>
                    <w:tl2br w:val="nil"/>
                    <w:tr2bl w:val="nil"/>
                  </w:tcBorders>
                  <w:noWrap w:val="0"/>
                  <w:vAlign w:val="center"/>
                </w:tcPr>
                <w:p w14:paraId="334A84F7">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环境风险防控</w:t>
                  </w:r>
                </w:p>
              </w:tc>
              <w:tc>
                <w:tcPr>
                  <w:tcW w:w="2311" w:type="pct"/>
                  <w:tcBorders>
                    <w:tl2br w:val="nil"/>
                    <w:tr2bl w:val="nil"/>
                  </w:tcBorders>
                  <w:noWrap w:val="0"/>
                  <w:vAlign w:val="center"/>
                </w:tcPr>
                <w:p w14:paraId="756DA59F">
                  <w:pPr>
                    <w:jc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vertAlign w:val="baseline"/>
                      <w:lang w:val="en-US" w:eastAsia="zh-CN"/>
                    </w:rPr>
                    <w:t>单元内现有化学原料和化学制品制造业等具有潜在土壤污染环境风险的企业退役后，应开展土壤环境状况评估，经评估认为污染地块可能损害人体健康和环境，应当进行修复的，由造成污染的单位和个人负责被污染土壤的修复。</w:t>
                  </w:r>
                </w:p>
              </w:tc>
              <w:tc>
                <w:tcPr>
                  <w:tcW w:w="1041" w:type="pct"/>
                  <w:tcBorders>
                    <w:tl2br w:val="nil"/>
                    <w:tr2bl w:val="nil"/>
                  </w:tcBorders>
                  <w:noWrap w:val="0"/>
                  <w:vAlign w:val="center"/>
                </w:tcPr>
                <w:p w14:paraId="36808FF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s="Times New Roman"/>
                      <w:color w:val="auto"/>
                      <w:kern w:val="2"/>
                      <w:sz w:val="21"/>
                      <w:szCs w:val="21"/>
                      <w:vertAlign w:val="baseline"/>
                      <w:lang w:val="en-US" w:eastAsia="zh-CN" w:bidi="ar-SA"/>
                    </w:rPr>
                    <w:t>本项目不涉及</w:t>
                  </w:r>
                </w:p>
              </w:tc>
            </w:tr>
          </w:tbl>
          <w:p w14:paraId="4295E694">
            <w:pPr>
              <w:pStyle w:val="3"/>
              <w:keepNext/>
              <w:keepLines/>
              <w:pageBreakBefore w:val="0"/>
              <w:widowControl w:val="0"/>
              <w:kinsoku/>
              <w:wordWrap/>
              <w:topLinePunct w:val="0"/>
              <w:autoSpaceDE/>
              <w:autoSpaceDN/>
              <w:bidi w:val="0"/>
              <w:adjustRightInd/>
              <w:spacing w:before="0" w:after="0"/>
              <w:ind w:left="0" w:firstLine="0"/>
              <w:textAlignment w:val="auto"/>
              <w:rPr>
                <w:rFonts w:hint="eastAsia" w:ascii="Times New Roman" w:hAnsi="Times New Roman"/>
                <w:b/>
                <w:bCs w:val="0"/>
                <w:color w:val="auto"/>
                <w:lang w:val="en-US" w:eastAsia="zh-CN"/>
              </w:rPr>
            </w:pPr>
            <w:bookmarkStart w:id="22" w:name="_Toc26473"/>
            <w:bookmarkStart w:id="23" w:name="_Toc26376"/>
            <w:r>
              <w:rPr>
                <w:rFonts w:hint="eastAsia" w:ascii="Times New Roman" w:hAnsi="Times New Roman"/>
                <w:b/>
                <w:bCs w:val="0"/>
                <w:color w:val="auto"/>
                <w:lang w:val="en-US" w:eastAsia="zh-CN"/>
              </w:rPr>
              <w:t>1.7与挥发性有机物污染防治相关政策符合性分析</w:t>
            </w:r>
            <w:bookmarkEnd w:id="22"/>
            <w:bookmarkEnd w:id="23"/>
          </w:p>
          <w:p w14:paraId="45AFCB3C">
            <w:pPr>
              <w:pStyle w:val="4"/>
              <w:keepNext/>
              <w:keepLines/>
              <w:pageBreakBefore w:val="0"/>
              <w:widowControl w:val="0"/>
              <w:kinsoku/>
              <w:wordWrap/>
              <w:topLinePunct w:val="0"/>
              <w:autoSpaceDE/>
              <w:autoSpaceDN/>
              <w:bidi w:val="0"/>
              <w:adjustRightInd/>
              <w:ind w:left="0" w:firstLine="0"/>
              <w:textAlignment w:val="auto"/>
              <w:rPr>
                <w:rFonts w:hint="eastAsia" w:ascii="Times New Roman" w:hAnsi="Times New Roman"/>
                <w:color w:val="auto"/>
                <w:lang w:val="en-US" w:eastAsia="zh-CN"/>
              </w:rPr>
            </w:pPr>
            <w:bookmarkStart w:id="24" w:name="_Toc22991"/>
            <w:r>
              <w:rPr>
                <w:rFonts w:hint="eastAsia" w:ascii="Times New Roman" w:hAnsi="Times New Roman"/>
                <w:color w:val="auto"/>
                <w:lang w:val="en-US" w:eastAsia="zh-CN"/>
              </w:rPr>
              <w:t>1.7.1与《重点行业挥发性有机物综合治理方案》（环大气〔2019〕53号）的符合性分析</w:t>
            </w:r>
            <w:bookmarkEnd w:id="24"/>
          </w:p>
          <w:p w14:paraId="5895E761">
            <w:pPr>
              <w:pStyle w:val="46"/>
              <w:bidi w:val="0"/>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表1.</w:t>
            </w:r>
            <w:r>
              <w:rPr>
                <w:rFonts w:hint="eastAsia" w:ascii="Times New Roman" w:hAnsi="Times New Roman" w:cs="Times New Roman"/>
                <w:b/>
                <w:color w:val="auto"/>
                <w:kern w:val="0"/>
                <w:sz w:val="24"/>
                <w:szCs w:val="20"/>
                <w:lang w:val="en-US" w:eastAsia="zh-CN" w:bidi="ar-SA"/>
              </w:rPr>
              <w:t>7</w:t>
            </w:r>
            <w:r>
              <w:rPr>
                <w:rFonts w:hint="eastAsia" w:ascii="Times New Roman" w:hAnsi="Times New Roman" w:eastAsia="宋体" w:cs="Times New Roman"/>
                <w:b/>
                <w:color w:val="auto"/>
                <w:kern w:val="0"/>
                <w:sz w:val="24"/>
                <w:szCs w:val="20"/>
                <w:lang w:val="en-US" w:eastAsia="zh-CN" w:bidi="ar-SA"/>
              </w:rPr>
              <w:t>-1  本项目与《重点行业挥发性有机物综合治理方案》（环大气〔2019〕53号）的符合性分析</w:t>
            </w:r>
          </w:p>
          <w:tbl>
            <w:tblPr>
              <w:tblStyle w:val="19"/>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66"/>
              <w:gridCol w:w="4184"/>
              <w:gridCol w:w="1892"/>
              <w:gridCol w:w="726"/>
            </w:tblGrid>
            <w:tr w14:paraId="2B5ECB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565" w:type="pct"/>
                  <w:tcBorders>
                    <w:tl2br w:val="nil"/>
                    <w:tr2bl w:val="nil"/>
                  </w:tcBorders>
                  <w:noWrap w:val="0"/>
                  <w:vAlign w:val="center"/>
                </w:tcPr>
                <w:p w14:paraId="23736291">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源项</w:t>
                  </w:r>
                </w:p>
              </w:tc>
              <w:tc>
                <w:tcPr>
                  <w:tcW w:w="2727" w:type="pct"/>
                  <w:tcBorders>
                    <w:tl2br w:val="nil"/>
                    <w:tr2bl w:val="nil"/>
                  </w:tcBorders>
                  <w:noWrap w:val="0"/>
                  <w:vAlign w:val="center"/>
                </w:tcPr>
                <w:p w14:paraId="287FA6E4">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检查要点</w:t>
                  </w:r>
                </w:p>
              </w:tc>
              <w:tc>
                <w:tcPr>
                  <w:tcW w:w="1233" w:type="pct"/>
                  <w:tcBorders>
                    <w:tl2br w:val="nil"/>
                    <w:tr2bl w:val="nil"/>
                  </w:tcBorders>
                  <w:noWrap w:val="0"/>
                  <w:vAlign w:val="center"/>
                </w:tcPr>
                <w:p w14:paraId="32BE8BAA">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本项目情况</w:t>
                  </w:r>
                </w:p>
              </w:tc>
              <w:tc>
                <w:tcPr>
                  <w:tcW w:w="473" w:type="pct"/>
                  <w:tcBorders>
                    <w:tl2br w:val="nil"/>
                    <w:tr2bl w:val="nil"/>
                  </w:tcBorders>
                  <w:noWrap w:val="0"/>
                  <w:vAlign w:val="center"/>
                </w:tcPr>
                <w:p w14:paraId="6EF877E5">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符合性</w:t>
                  </w:r>
                </w:p>
              </w:tc>
            </w:tr>
            <w:tr w14:paraId="0AF0EE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66" w:hRule="atLeast"/>
              </w:trPr>
              <w:tc>
                <w:tcPr>
                  <w:tcW w:w="565" w:type="pct"/>
                  <w:tcBorders>
                    <w:tl2br w:val="nil"/>
                    <w:tr2bl w:val="nil"/>
                  </w:tcBorders>
                  <w:noWrap w:val="0"/>
                  <w:vAlign w:val="center"/>
                </w:tcPr>
                <w:p w14:paraId="7D1D451E">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VOCs物料储存</w:t>
                  </w:r>
                </w:p>
              </w:tc>
              <w:tc>
                <w:tcPr>
                  <w:tcW w:w="2727" w:type="pct"/>
                  <w:tcBorders>
                    <w:tl2br w:val="nil"/>
                    <w:tr2bl w:val="nil"/>
                  </w:tcBorders>
                  <w:noWrap w:val="0"/>
                  <w:vAlign w:val="center"/>
                </w:tcPr>
                <w:p w14:paraId="512039A4">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color w:val="auto"/>
                      <w:sz w:val="21"/>
                      <w:szCs w:val="21"/>
                      <w:lang w:val="en-US" w:eastAsia="zh-CN"/>
                    </w:rPr>
                    <w:t>1.</w:t>
                  </w:r>
                  <w:r>
                    <w:rPr>
                      <w:rFonts w:hint="eastAsia" w:ascii="Times New Roman" w:hAnsi="Times New Roman" w:eastAsia="宋体"/>
                      <w:color w:val="auto"/>
                      <w:sz w:val="21"/>
                      <w:szCs w:val="21"/>
                      <w:lang w:val="en-US" w:eastAsia="zh-CN"/>
                    </w:rPr>
                    <w:t>容器或包装袋在非取用状态时是否加盖、封口，保持密闭；盛装过VOCs物料的废包装容器是否加盖密闭。</w:t>
                  </w:r>
                </w:p>
                <w:p w14:paraId="429829F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color w:val="auto"/>
                      <w:sz w:val="21"/>
                      <w:szCs w:val="21"/>
                      <w:lang w:val="en-US" w:eastAsia="zh-CN"/>
                    </w:rPr>
                    <w:t>2.</w:t>
                  </w:r>
                  <w:r>
                    <w:rPr>
                      <w:rFonts w:hint="eastAsia" w:ascii="Times New Roman" w:hAnsi="Times New Roman" w:eastAsia="宋体"/>
                      <w:color w:val="auto"/>
                      <w:sz w:val="21"/>
                      <w:szCs w:val="21"/>
                      <w:lang w:val="en-US" w:eastAsia="zh-CN"/>
                    </w:rPr>
                    <w:t>容器或包装袋是否存放于室内，或存放于设置有雨棚、遮阳和防渗设施的专用场地。</w:t>
                  </w:r>
                </w:p>
              </w:tc>
              <w:tc>
                <w:tcPr>
                  <w:tcW w:w="1233" w:type="pct"/>
                  <w:tcBorders>
                    <w:tl2br w:val="nil"/>
                    <w:tr2bl w:val="nil"/>
                  </w:tcBorders>
                  <w:noWrap w:val="0"/>
                  <w:vAlign w:val="center"/>
                </w:tcPr>
                <w:p w14:paraId="67DECE68">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w:t>
                  </w:r>
                  <w:r>
                    <w:rPr>
                      <w:rFonts w:hint="eastAsia" w:ascii="Times New Roman" w:hAnsi="Times New Roman" w:eastAsia="宋体"/>
                      <w:color w:val="auto"/>
                      <w:sz w:val="21"/>
                      <w:szCs w:val="21"/>
                      <w:lang w:val="en-US" w:eastAsia="zh-CN"/>
                    </w:rPr>
                    <w:t>VOCs物料放在有加盖、封口的容器内，保持密闭；2、容器放于室内</w:t>
                  </w:r>
                </w:p>
              </w:tc>
              <w:tc>
                <w:tcPr>
                  <w:tcW w:w="473" w:type="pct"/>
                  <w:tcBorders>
                    <w:tl2br w:val="nil"/>
                    <w:tr2bl w:val="nil"/>
                  </w:tcBorders>
                  <w:noWrap w:val="0"/>
                  <w:vAlign w:val="center"/>
                </w:tcPr>
                <w:p w14:paraId="666ED37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符合</w:t>
                  </w:r>
                </w:p>
              </w:tc>
            </w:tr>
            <w:tr w14:paraId="50A1CE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229" w:hRule="atLeast"/>
              </w:trPr>
              <w:tc>
                <w:tcPr>
                  <w:tcW w:w="565" w:type="pct"/>
                  <w:tcBorders>
                    <w:tl2br w:val="nil"/>
                    <w:tr2bl w:val="nil"/>
                  </w:tcBorders>
                  <w:noWrap w:val="0"/>
                  <w:vAlign w:val="center"/>
                </w:tcPr>
                <w:p w14:paraId="025B6645">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有组织VOCs排放</w:t>
                  </w:r>
                </w:p>
              </w:tc>
              <w:tc>
                <w:tcPr>
                  <w:tcW w:w="2727" w:type="pct"/>
                  <w:tcBorders>
                    <w:tl2br w:val="nil"/>
                    <w:tr2bl w:val="nil"/>
                  </w:tcBorders>
                  <w:noWrap w:val="0"/>
                  <w:vAlign w:val="center"/>
                </w:tcPr>
                <w:p w14:paraId="649672A3">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color w:val="auto"/>
                      <w:sz w:val="21"/>
                      <w:szCs w:val="21"/>
                      <w:lang w:val="en-US" w:eastAsia="zh-CN"/>
                    </w:rPr>
                    <w:t>1.</w:t>
                  </w:r>
                  <w:r>
                    <w:rPr>
                      <w:rFonts w:hint="eastAsia" w:ascii="Times New Roman" w:hAnsi="Times New Roman" w:eastAsia="宋体"/>
                      <w:color w:val="auto"/>
                      <w:sz w:val="21"/>
                      <w:szCs w:val="21"/>
                      <w:lang w:val="en-US" w:eastAsia="zh-CN"/>
                    </w:rPr>
                    <w:t>VOCs排放浓度是否稳定达标。</w:t>
                  </w:r>
                </w:p>
                <w:p w14:paraId="750328F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color w:val="auto"/>
                      <w:sz w:val="21"/>
                      <w:szCs w:val="21"/>
                      <w:lang w:val="en-US" w:eastAsia="zh-CN"/>
                    </w:rPr>
                    <w:t>2.</w:t>
                  </w:r>
                  <w:r>
                    <w:rPr>
                      <w:rFonts w:hint="eastAsia" w:ascii="Times New Roman" w:hAnsi="Times New Roman" w:eastAsia="宋体"/>
                      <w:color w:val="auto"/>
                      <w:sz w:val="21"/>
                      <w:szCs w:val="21"/>
                      <w:lang w:val="en-US" w:eastAsia="zh-CN"/>
                    </w:rPr>
                    <w:t>车间或生产设施收集排放的废气，VOCs初始排放速率大于等于3千克/小时、重点区域大于等于2千克/小时的，VOCs治理效率是否符合要求；采用的原辅材料符合国家有关低VOCs含量产品规定的除外。</w:t>
                  </w:r>
                </w:p>
                <w:p w14:paraId="53E8FEC3">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color w:val="auto"/>
                      <w:sz w:val="21"/>
                      <w:szCs w:val="21"/>
                      <w:lang w:val="en-US" w:eastAsia="zh-CN"/>
                    </w:rPr>
                    <w:t>3.</w:t>
                  </w:r>
                  <w:r>
                    <w:rPr>
                      <w:rFonts w:hint="eastAsia" w:ascii="Times New Roman" w:hAnsi="Times New Roman" w:eastAsia="宋体"/>
                      <w:color w:val="auto"/>
                      <w:sz w:val="21"/>
                      <w:szCs w:val="21"/>
                      <w:lang w:val="en-US" w:eastAsia="zh-CN"/>
                    </w:rPr>
                    <w:t>是否安装自动监控设施，自动监控设施是否正常运行，是否与生态环境部门联网。</w:t>
                  </w:r>
                </w:p>
              </w:tc>
              <w:tc>
                <w:tcPr>
                  <w:tcW w:w="1233" w:type="pct"/>
                  <w:tcBorders>
                    <w:tl2br w:val="nil"/>
                    <w:tr2bl w:val="nil"/>
                  </w:tcBorders>
                  <w:noWrap w:val="0"/>
                  <w:vAlign w:val="center"/>
                </w:tcPr>
                <w:p w14:paraId="3D6111CF">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color w:val="auto"/>
                      <w:sz w:val="21"/>
                      <w:szCs w:val="21"/>
                      <w:lang w:val="en-US" w:eastAsia="zh-CN"/>
                    </w:rPr>
                    <w:t>1.</w:t>
                  </w:r>
                  <w:r>
                    <w:rPr>
                      <w:rFonts w:hint="eastAsia" w:ascii="Times New Roman" w:hAnsi="Times New Roman" w:eastAsia="宋体"/>
                      <w:color w:val="auto"/>
                      <w:sz w:val="21"/>
                      <w:szCs w:val="21"/>
                      <w:lang w:val="en-US" w:eastAsia="zh-CN"/>
                    </w:rPr>
                    <w:t>本项目VOCs排放浓度能稳定达标；2、排放速率均小于2千克/小时，治理效率符合要求；</w:t>
                  </w:r>
                </w:p>
                <w:p w14:paraId="3180A209">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3.</w:t>
                  </w:r>
                  <w:r>
                    <w:rPr>
                      <w:rFonts w:hint="eastAsia" w:ascii="Times New Roman" w:hAnsi="Times New Roman" w:eastAsia="宋体"/>
                      <w:color w:val="auto"/>
                      <w:sz w:val="21"/>
                      <w:szCs w:val="21"/>
                      <w:lang w:val="en-US" w:eastAsia="zh-CN"/>
                    </w:rPr>
                    <w:t>无安装自动监控设施。</w:t>
                  </w:r>
                </w:p>
              </w:tc>
              <w:tc>
                <w:tcPr>
                  <w:tcW w:w="473" w:type="pct"/>
                  <w:tcBorders>
                    <w:tl2br w:val="nil"/>
                    <w:tr2bl w:val="nil"/>
                  </w:tcBorders>
                  <w:noWrap w:val="0"/>
                  <w:vAlign w:val="center"/>
                </w:tcPr>
                <w:p w14:paraId="01511E00">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符合</w:t>
                  </w:r>
                </w:p>
              </w:tc>
            </w:tr>
            <w:tr w14:paraId="53C2A2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66" w:hRule="atLeast"/>
              </w:trPr>
              <w:tc>
                <w:tcPr>
                  <w:tcW w:w="565" w:type="pct"/>
                  <w:tcBorders>
                    <w:tl2br w:val="nil"/>
                    <w:tr2bl w:val="nil"/>
                  </w:tcBorders>
                  <w:noWrap w:val="0"/>
                  <w:vAlign w:val="center"/>
                </w:tcPr>
                <w:p w14:paraId="6DCD959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废气治理设施</w:t>
                  </w:r>
                </w:p>
              </w:tc>
              <w:tc>
                <w:tcPr>
                  <w:tcW w:w="2727" w:type="pct"/>
                  <w:tcBorders>
                    <w:tl2br w:val="nil"/>
                    <w:tr2bl w:val="nil"/>
                  </w:tcBorders>
                  <w:noWrap w:val="0"/>
                  <w:vAlign w:val="center"/>
                </w:tcPr>
                <w:p w14:paraId="45395F21">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color w:val="auto"/>
                      <w:sz w:val="21"/>
                      <w:szCs w:val="21"/>
                      <w:lang w:val="en-US" w:eastAsia="zh-CN"/>
                    </w:rPr>
                    <w:t>4.</w:t>
                  </w:r>
                  <w:r>
                    <w:rPr>
                      <w:rFonts w:hint="eastAsia" w:ascii="Times New Roman" w:hAnsi="Times New Roman" w:eastAsia="宋体"/>
                      <w:color w:val="auto"/>
                      <w:sz w:val="21"/>
                      <w:szCs w:val="21"/>
                      <w:lang w:val="en-US" w:eastAsia="zh-CN"/>
                    </w:rPr>
                    <w:t>吸附剂种类及填装情况。</w:t>
                  </w:r>
                </w:p>
                <w:p w14:paraId="771BCB18">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color w:val="auto"/>
                      <w:sz w:val="21"/>
                      <w:szCs w:val="21"/>
                      <w:lang w:val="en-US" w:eastAsia="zh-CN"/>
                    </w:rPr>
                    <w:t>5.</w:t>
                  </w:r>
                  <w:r>
                    <w:rPr>
                      <w:rFonts w:hint="eastAsia" w:ascii="Times New Roman" w:hAnsi="Times New Roman" w:eastAsia="宋体"/>
                      <w:color w:val="auto"/>
                      <w:sz w:val="21"/>
                      <w:szCs w:val="21"/>
                      <w:lang w:val="en-US" w:eastAsia="zh-CN"/>
                    </w:rPr>
                    <w:t>一次性吸附剂更换时间和更换量。</w:t>
                  </w:r>
                </w:p>
                <w:p w14:paraId="7AAD32AE">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color w:val="auto"/>
                      <w:sz w:val="21"/>
                      <w:szCs w:val="21"/>
                      <w:lang w:val="en-US" w:eastAsia="zh-CN"/>
                    </w:rPr>
                    <w:t>6.</w:t>
                  </w:r>
                  <w:r>
                    <w:rPr>
                      <w:rFonts w:hint="eastAsia" w:ascii="Times New Roman" w:hAnsi="Times New Roman" w:eastAsia="宋体"/>
                      <w:color w:val="auto"/>
                      <w:sz w:val="21"/>
                      <w:szCs w:val="21"/>
                      <w:lang w:val="en-US" w:eastAsia="zh-CN"/>
                    </w:rPr>
                    <w:t>再生型吸附剂再生周期、更换情况。</w:t>
                  </w:r>
                </w:p>
                <w:p w14:paraId="5B05F6EF">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color w:val="auto"/>
                      <w:sz w:val="21"/>
                      <w:szCs w:val="21"/>
                      <w:lang w:val="en-US" w:eastAsia="zh-CN"/>
                    </w:rPr>
                    <w:t>7.</w:t>
                  </w:r>
                  <w:r>
                    <w:rPr>
                      <w:rFonts w:hint="eastAsia" w:ascii="Times New Roman" w:hAnsi="Times New Roman" w:eastAsia="宋体"/>
                      <w:color w:val="auto"/>
                      <w:sz w:val="21"/>
                      <w:szCs w:val="21"/>
                      <w:lang w:val="en-US" w:eastAsia="zh-CN"/>
                    </w:rPr>
                    <w:t>废吸附剂储存、处置情况。</w:t>
                  </w:r>
                </w:p>
              </w:tc>
              <w:tc>
                <w:tcPr>
                  <w:tcW w:w="1233" w:type="pct"/>
                  <w:tcBorders>
                    <w:tl2br w:val="nil"/>
                    <w:tr2bl w:val="nil"/>
                  </w:tcBorders>
                  <w:noWrap w:val="0"/>
                  <w:vAlign w:val="center"/>
                </w:tcPr>
                <w:p w14:paraId="424679E7">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4~7、吸附填料为活性炭，更换时间和更换量依照环评设计执行，废活性炭存放于危险废物贮存库中，定期委托有资质的单位进行处置</w:t>
                  </w:r>
                </w:p>
              </w:tc>
              <w:tc>
                <w:tcPr>
                  <w:tcW w:w="473" w:type="pct"/>
                  <w:tcBorders>
                    <w:tl2br w:val="nil"/>
                    <w:tr2bl w:val="nil"/>
                  </w:tcBorders>
                  <w:noWrap w:val="0"/>
                  <w:vAlign w:val="center"/>
                </w:tcPr>
                <w:p w14:paraId="4EE24E9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符合</w:t>
                  </w:r>
                </w:p>
              </w:tc>
            </w:tr>
          </w:tbl>
          <w:p w14:paraId="223A49B7">
            <w:pPr>
              <w:pStyle w:val="5"/>
              <w:bidi w:val="0"/>
              <w:rPr>
                <w:rFonts w:hint="eastAsia" w:ascii="Times New Roman" w:hAnsi="Times New Roman"/>
                <w:color w:val="auto"/>
                <w:lang w:val="en-US" w:eastAsia="zh-CN"/>
              </w:rPr>
            </w:pPr>
            <w:r>
              <w:rPr>
                <w:rFonts w:hint="eastAsia" w:ascii="Times New Roman" w:hAnsi="Times New Roman"/>
                <w:color w:val="auto"/>
                <w:lang w:val="en-US" w:eastAsia="zh-CN"/>
              </w:rPr>
              <w:t>本项目通过有效的污染防治措施后，挥发性有机物能够得到合理的控制，符合挥发性有机物污染防治的相关政策的要求。</w:t>
            </w:r>
          </w:p>
          <w:p w14:paraId="577EE0E4">
            <w:pPr>
              <w:pStyle w:val="3"/>
              <w:keepNext/>
              <w:keepLines/>
              <w:pageBreakBefore w:val="0"/>
              <w:widowControl w:val="0"/>
              <w:kinsoku/>
              <w:wordWrap/>
              <w:topLinePunct w:val="0"/>
              <w:autoSpaceDE/>
              <w:autoSpaceDN/>
              <w:bidi w:val="0"/>
              <w:adjustRightInd/>
              <w:spacing w:before="0" w:after="0"/>
              <w:ind w:left="0" w:firstLine="0"/>
              <w:textAlignment w:val="auto"/>
              <w:rPr>
                <w:rFonts w:hint="eastAsia" w:ascii="Times New Roman" w:hAnsi="Times New Roman"/>
                <w:b/>
                <w:bCs w:val="0"/>
                <w:color w:val="auto"/>
                <w:lang w:val="en-US" w:eastAsia="zh-CN"/>
              </w:rPr>
            </w:pPr>
            <w:bookmarkStart w:id="25" w:name="_Toc357"/>
            <w:r>
              <w:rPr>
                <w:rFonts w:hint="eastAsia" w:ascii="Times New Roman" w:hAnsi="Times New Roman"/>
                <w:b/>
                <w:bCs w:val="0"/>
                <w:color w:val="auto"/>
                <w:lang w:val="en-US" w:eastAsia="zh-CN"/>
              </w:rPr>
              <w:t>1.8与清洗剂挥发性有机化合物含量限值相关政策符合性分析</w:t>
            </w:r>
            <w:bookmarkEnd w:id="25"/>
          </w:p>
          <w:p w14:paraId="463CA9B8">
            <w:pPr>
              <w:jc w:val="center"/>
              <w:rPr>
                <w:rFonts w:hint="default" w:ascii="Times New Roman" w:hAnsi="Times New Roman"/>
                <w:color w:val="auto"/>
                <w:lang w:val="en-US" w:eastAsia="zh-CN"/>
              </w:rPr>
            </w:pPr>
            <w:r>
              <w:rPr>
                <w:rFonts w:hint="eastAsia" w:ascii="Times New Roman" w:hAnsi="Times New Roman" w:eastAsia="宋体" w:cs="Times New Roman"/>
                <w:b/>
                <w:color w:val="auto"/>
                <w:kern w:val="0"/>
                <w:sz w:val="24"/>
                <w:szCs w:val="20"/>
                <w:lang w:val="en-US" w:eastAsia="zh-CN" w:bidi="ar-SA"/>
              </w:rPr>
              <w:t>表1.</w:t>
            </w:r>
            <w:r>
              <w:rPr>
                <w:rFonts w:hint="eastAsia" w:ascii="Times New Roman" w:hAnsi="Times New Roman" w:cs="Times New Roman"/>
                <w:b/>
                <w:color w:val="auto"/>
                <w:kern w:val="0"/>
                <w:sz w:val="24"/>
                <w:szCs w:val="20"/>
                <w:lang w:val="en-US" w:eastAsia="zh-CN" w:bidi="ar-SA"/>
              </w:rPr>
              <w:t>8</w:t>
            </w:r>
            <w:r>
              <w:rPr>
                <w:rFonts w:hint="eastAsia" w:ascii="Times New Roman" w:hAnsi="Times New Roman" w:eastAsia="宋体" w:cs="Times New Roman"/>
                <w:b/>
                <w:color w:val="auto"/>
                <w:kern w:val="0"/>
                <w:sz w:val="24"/>
                <w:szCs w:val="20"/>
                <w:lang w:val="en-US" w:eastAsia="zh-CN" w:bidi="ar-SA"/>
              </w:rPr>
              <w:t>-1  本项目与</w:t>
            </w:r>
            <w:r>
              <w:rPr>
                <w:rFonts w:hint="eastAsia" w:ascii="Times New Roman" w:hAnsi="Times New Roman" w:cs="Times New Roman"/>
                <w:b/>
                <w:color w:val="auto"/>
                <w:kern w:val="0"/>
                <w:sz w:val="24"/>
                <w:szCs w:val="20"/>
                <w:lang w:val="en-US" w:eastAsia="zh-CN" w:bidi="ar-SA"/>
              </w:rPr>
              <w:t>清洗剂挥发性有机化合物含量限值相关政策</w:t>
            </w:r>
            <w:r>
              <w:rPr>
                <w:rFonts w:hint="eastAsia" w:ascii="Times New Roman" w:hAnsi="Times New Roman" w:eastAsia="宋体" w:cs="Times New Roman"/>
                <w:b/>
                <w:color w:val="auto"/>
                <w:kern w:val="0"/>
                <w:sz w:val="24"/>
                <w:szCs w:val="20"/>
                <w:lang w:val="en-US" w:eastAsia="zh-CN" w:bidi="ar-SA"/>
              </w:rPr>
              <w:t>的符合性分析</w:t>
            </w:r>
          </w:p>
          <w:tbl>
            <w:tblPr>
              <w:tblStyle w:val="20"/>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20"/>
              <w:gridCol w:w="1712"/>
              <w:gridCol w:w="4136"/>
            </w:tblGrid>
            <w:tr w14:paraId="30D07A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186" w:type="pct"/>
                  <w:tcBorders>
                    <w:tl2br w:val="nil"/>
                    <w:tr2bl w:val="nil"/>
                  </w:tcBorders>
                  <w:vAlign w:val="center"/>
                </w:tcPr>
                <w:p w14:paraId="729D3930">
                  <w:pPr>
                    <w:pStyle w:val="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color w:val="auto"/>
                      <w:sz w:val="21"/>
                      <w:szCs w:val="21"/>
                      <w:vertAlign w:val="baseline"/>
                      <w:lang w:val="en-US" w:eastAsia="zh-CN"/>
                    </w:rPr>
                  </w:pPr>
                  <w:r>
                    <w:rPr>
                      <w:rFonts w:hint="eastAsia" w:ascii="Times New Roman" w:hAnsi="Times New Roman" w:eastAsia="宋体"/>
                      <w:b/>
                      <w:bCs/>
                      <w:color w:val="auto"/>
                      <w:sz w:val="21"/>
                      <w:szCs w:val="21"/>
                      <w:vertAlign w:val="baseline"/>
                      <w:lang w:val="en-US" w:eastAsia="zh-CN"/>
                    </w:rPr>
                    <w:t>标准来源</w:t>
                  </w:r>
                </w:p>
              </w:tc>
              <w:tc>
                <w:tcPr>
                  <w:tcW w:w="1116" w:type="pct"/>
                  <w:tcBorders>
                    <w:tl2br w:val="nil"/>
                    <w:tr2bl w:val="nil"/>
                  </w:tcBorders>
                  <w:vAlign w:val="center"/>
                </w:tcPr>
                <w:p w14:paraId="4D51E603">
                  <w:pPr>
                    <w:pStyle w:val="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color w:val="auto"/>
                      <w:sz w:val="21"/>
                      <w:szCs w:val="21"/>
                      <w:vertAlign w:val="baseline"/>
                      <w:lang w:val="en-US" w:eastAsia="zh-CN"/>
                    </w:rPr>
                  </w:pPr>
                  <w:r>
                    <w:rPr>
                      <w:rFonts w:hint="eastAsia" w:ascii="Times New Roman" w:hAnsi="Times New Roman" w:eastAsia="宋体"/>
                      <w:b/>
                      <w:bCs/>
                      <w:color w:val="auto"/>
                      <w:sz w:val="21"/>
                      <w:szCs w:val="21"/>
                      <w:vertAlign w:val="baseline"/>
                      <w:lang w:val="en-US" w:eastAsia="zh-CN"/>
                    </w:rPr>
                    <w:t>含量</w:t>
                  </w:r>
                  <w:r>
                    <w:rPr>
                      <w:rFonts w:hint="eastAsia"/>
                      <w:b/>
                      <w:bCs/>
                      <w:color w:val="auto"/>
                      <w:sz w:val="21"/>
                      <w:szCs w:val="21"/>
                      <w:vertAlign w:val="baseline"/>
                      <w:lang w:val="en-US" w:eastAsia="zh-CN"/>
                    </w:rPr>
                    <w:t>限制</w:t>
                  </w:r>
                </w:p>
              </w:tc>
              <w:tc>
                <w:tcPr>
                  <w:tcW w:w="2696" w:type="pct"/>
                  <w:tcBorders>
                    <w:tl2br w:val="nil"/>
                    <w:tr2bl w:val="nil"/>
                  </w:tcBorders>
                  <w:vAlign w:val="center"/>
                </w:tcPr>
                <w:p w14:paraId="639A1956">
                  <w:pPr>
                    <w:pStyle w:val="5"/>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b/>
                      <w:bCs/>
                      <w:color w:val="auto"/>
                      <w:sz w:val="21"/>
                      <w:szCs w:val="21"/>
                      <w:vertAlign w:val="baseline"/>
                      <w:lang w:val="en-US" w:eastAsia="zh-CN"/>
                    </w:rPr>
                  </w:pPr>
                  <w:r>
                    <w:rPr>
                      <w:rFonts w:hint="eastAsia" w:ascii="Times New Roman" w:hAnsi="Times New Roman" w:eastAsia="宋体"/>
                      <w:b/>
                      <w:bCs/>
                      <w:color w:val="auto"/>
                      <w:sz w:val="21"/>
                      <w:szCs w:val="21"/>
                      <w:vertAlign w:val="baseline"/>
                      <w:lang w:val="en-US" w:eastAsia="zh-CN"/>
                    </w:rPr>
                    <w:t>原辅材料种类</w:t>
                  </w:r>
                </w:p>
              </w:tc>
            </w:tr>
            <w:tr w14:paraId="1F8098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86" w:type="pct"/>
                  <w:vMerge w:val="restart"/>
                  <w:tcBorders>
                    <w:tl2br w:val="nil"/>
                    <w:tr2bl w:val="nil"/>
                  </w:tcBorders>
                  <w:vAlign w:val="center"/>
                </w:tcPr>
                <w:p w14:paraId="553DF7CC">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pacing w:val="-2"/>
                      <w:sz w:val="21"/>
                      <w:szCs w:val="21"/>
                    </w:rPr>
                    <w:t>《清洗剂挥发性有</w:t>
                  </w:r>
                  <w:r>
                    <w:rPr>
                      <w:rFonts w:ascii="Times New Roman" w:hAnsi="Times New Roman" w:eastAsia="宋体"/>
                      <w:color w:val="auto"/>
                      <w:sz w:val="21"/>
                      <w:szCs w:val="21"/>
                    </w:rPr>
                    <w:t>机化合物含量限值》（GB38508-2020</w:t>
                  </w:r>
                </w:p>
              </w:tc>
              <w:tc>
                <w:tcPr>
                  <w:tcW w:w="1116" w:type="pct"/>
                  <w:vMerge w:val="restart"/>
                  <w:tcBorders>
                    <w:tl2br w:val="nil"/>
                    <w:tr2bl w:val="nil"/>
                  </w:tcBorders>
                  <w:vAlign w:val="center"/>
                </w:tcPr>
                <w:p w14:paraId="363C2E1B">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pacing w:val="-8"/>
                      <w:sz w:val="21"/>
                      <w:szCs w:val="21"/>
                    </w:rPr>
                    <w:t>有机溶剂清洗剂</w:t>
                  </w:r>
                  <w:r>
                    <w:rPr>
                      <w:rFonts w:ascii="Times New Roman" w:hAnsi="Times New Roman" w:eastAsia="宋体"/>
                      <w:color w:val="auto"/>
                      <w:sz w:val="21"/>
                      <w:szCs w:val="21"/>
                    </w:rPr>
                    <w:t>VOCs含量限值≤900g/L</w:t>
                  </w:r>
                </w:p>
              </w:tc>
              <w:tc>
                <w:tcPr>
                  <w:tcW w:w="2696" w:type="pct"/>
                  <w:tcBorders>
                    <w:tl2br w:val="nil"/>
                    <w:tr2bl w:val="nil"/>
                  </w:tcBorders>
                  <w:vAlign w:val="center"/>
                </w:tcPr>
                <w:p w14:paraId="45704F16">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z w:val="21"/>
                      <w:szCs w:val="21"/>
                    </w:rPr>
                    <w:t>本次项目使用有机溶剂乙醇，乙醇的相</w:t>
                  </w:r>
                  <w:r>
                    <w:rPr>
                      <w:rFonts w:ascii="Times New Roman" w:hAnsi="Times New Roman" w:eastAsia="宋体"/>
                      <w:color w:val="auto"/>
                      <w:spacing w:val="-6"/>
                      <w:sz w:val="21"/>
                      <w:szCs w:val="21"/>
                    </w:rPr>
                    <w:t>对密度</w:t>
                  </w:r>
                  <w:r>
                    <w:rPr>
                      <w:rFonts w:ascii="Times New Roman" w:hAnsi="Times New Roman" w:eastAsia="宋体"/>
                      <w:color w:val="auto"/>
                      <w:sz w:val="21"/>
                      <w:szCs w:val="21"/>
                    </w:rPr>
                    <w:t>（水</w:t>
                  </w:r>
                  <w:r>
                    <w:rPr>
                      <w:rFonts w:ascii="Times New Roman" w:hAnsi="Times New Roman" w:eastAsia="宋体"/>
                      <w:color w:val="auto"/>
                      <w:spacing w:val="-3"/>
                      <w:sz w:val="21"/>
                      <w:szCs w:val="21"/>
                    </w:rPr>
                    <w:t>=1）：0.789g/cm</w:t>
                  </w:r>
                  <w:r>
                    <w:rPr>
                      <w:rFonts w:hint="eastAsia" w:ascii="Times New Roman" w:hAnsi="Times New Roman"/>
                      <w:color w:val="auto"/>
                      <w:spacing w:val="-3"/>
                      <w:sz w:val="21"/>
                      <w:szCs w:val="21"/>
                      <w:vertAlign w:val="superscript"/>
                      <w:lang w:val="en-US" w:eastAsia="zh-CN"/>
                    </w:rPr>
                    <w:t>3</w:t>
                  </w:r>
                  <w:r>
                    <w:rPr>
                      <w:rFonts w:ascii="Times New Roman" w:hAnsi="Times New Roman" w:eastAsia="宋体"/>
                      <w:color w:val="auto"/>
                      <w:sz w:val="21"/>
                      <w:szCs w:val="21"/>
                    </w:rPr>
                    <w:t>（20℃），项目用乙醇纯度</w:t>
                  </w:r>
                  <w:r>
                    <w:rPr>
                      <w:rFonts w:ascii="Times New Roman" w:hAnsi="Times New Roman" w:eastAsia="宋体"/>
                      <w:color w:val="auto"/>
                      <w:spacing w:val="-1"/>
                      <w:w w:val="99"/>
                      <w:sz w:val="21"/>
                      <w:szCs w:val="21"/>
                    </w:rPr>
                    <w:t>高达</w:t>
                  </w:r>
                  <w:r>
                    <w:rPr>
                      <w:rFonts w:ascii="Times New Roman" w:hAnsi="Times New Roman" w:eastAsia="宋体"/>
                      <w:color w:val="auto"/>
                      <w:spacing w:val="1"/>
                      <w:w w:val="99"/>
                      <w:sz w:val="21"/>
                      <w:szCs w:val="21"/>
                    </w:rPr>
                    <w:t>99</w:t>
                  </w:r>
                  <w:r>
                    <w:rPr>
                      <w:rFonts w:ascii="Times New Roman" w:hAnsi="Times New Roman" w:eastAsia="宋体"/>
                      <w:color w:val="auto"/>
                      <w:w w:val="99"/>
                      <w:sz w:val="21"/>
                      <w:szCs w:val="21"/>
                    </w:rPr>
                    <w:t>.</w:t>
                  </w:r>
                  <w:r>
                    <w:rPr>
                      <w:rFonts w:ascii="Times New Roman" w:hAnsi="Times New Roman" w:eastAsia="宋体"/>
                      <w:color w:val="auto"/>
                      <w:spacing w:val="-2"/>
                      <w:w w:val="99"/>
                      <w:sz w:val="21"/>
                      <w:szCs w:val="21"/>
                    </w:rPr>
                    <w:t>7%</w:t>
                  </w:r>
                  <w:r>
                    <w:rPr>
                      <w:rFonts w:ascii="Times New Roman" w:hAnsi="Times New Roman" w:eastAsia="宋体"/>
                      <w:color w:val="auto"/>
                      <w:spacing w:val="-14"/>
                      <w:w w:val="99"/>
                      <w:sz w:val="21"/>
                      <w:szCs w:val="21"/>
                    </w:rPr>
                    <w:t>，几乎可视为纯乙</w:t>
                  </w:r>
                  <w:r>
                    <w:rPr>
                      <w:rFonts w:ascii="Times New Roman" w:hAnsi="Times New Roman" w:eastAsia="宋体"/>
                      <w:color w:val="auto"/>
                      <w:sz w:val="21"/>
                      <w:szCs w:val="21"/>
                    </w:rPr>
                    <w:t>醇，按纯乙醇考虑，VOCs含量限值最大为789g/L≤900g/L</w:t>
                  </w:r>
                </w:p>
              </w:tc>
            </w:tr>
            <w:tr w14:paraId="0A95A5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86" w:type="pct"/>
                  <w:vMerge w:val="continue"/>
                  <w:tcBorders>
                    <w:tl2br w:val="nil"/>
                    <w:tr2bl w:val="nil"/>
                  </w:tcBorders>
                  <w:vAlign w:val="center"/>
                </w:tcPr>
                <w:p w14:paraId="20B8865A">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z w:val="21"/>
                      <w:szCs w:val="21"/>
                      <w:vertAlign w:val="baseline"/>
                      <w:lang w:val="en-US" w:eastAsia="zh-CN"/>
                    </w:rPr>
                  </w:pPr>
                </w:p>
              </w:tc>
              <w:tc>
                <w:tcPr>
                  <w:tcW w:w="1116" w:type="pct"/>
                  <w:vMerge w:val="continue"/>
                  <w:tcBorders>
                    <w:tl2br w:val="nil"/>
                    <w:tr2bl w:val="nil"/>
                  </w:tcBorders>
                  <w:vAlign w:val="center"/>
                </w:tcPr>
                <w:p w14:paraId="3C973C8A">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z w:val="21"/>
                      <w:szCs w:val="21"/>
                      <w:vertAlign w:val="baseline"/>
                      <w:lang w:val="en-US" w:eastAsia="zh-CN"/>
                    </w:rPr>
                  </w:pPr>
                </w:p>
              </w:tc>
              <w:tc>
                <w:tcPr>
                  <w:tcW w:w="2696" w:type="pct"/>
                  <w:tcBorders>
                    <w:tl2br w:val="nil"/>
                    <w:tr2bl w:val="nil"/>
                  </w:tcBorders>
                  <w:vAlign w:val="center"/>
                </w:tcPr>
                <w:p w14:paraId="6061479B">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z w:val="21"/>
                      <w:szCs w:val="21"/>
                      <w:vertAlign w:val="baseline"/>
                      <w:lang w:val="en-US" w:eastAsia="zh-CN"/>
                    </w:rPr>
                  </w:pPr>
                  <w:r>
                    <w:rPr>
                      <w:rFonts w:ascii="Times New Roman" w:hAnsi="Times New Roman" w:eastAsia="宋体"/>
                      <w:color w:val="auto"/>
                      <w:sz w:val="21"/>
                      <w:szCs w:val="21"/>
                    </w:rPr>
                    <w:t>本次项目使用有机溶剂除油剂，根据企业提供资料，其相对密度：1.10</w:t>
                  </w:r>
                  <w:r>
                    <w:rPr>
                      <w:rFonts w:hint="eastAsia" w:ascii="Times New Roman" w:hAnsi="Times New Roman"/>
                      <w:color w:val="auto"/>
                      <w:sz w:val="21"/>
                      <w:szCs w:val="21"/>
                      <w:lang w:eastAsia="zh-CN"/>
                    </w:rPr>
                    <w:t>—</w:t>
                  </w:r>
                  <w:r>
                    <w:rPr>
                      <w:rFonts w:ascii="Times New Roman" w:hAnsi="Times New Roman" w:eastAsia="宋体"/>
                      <w:color w:val="auto"/>
                      <w:sz w:val="21"/>
                      <w:szCs w:val="21"/>
                    </w:rPr>
                    <w:t>1.15g/cm</w:t>
                  </w:r>
                  <w:r>
                    <w:rPr>
                      <w:rFonts w:hint="eastAsia" w:ascii="Times New Roman" w:hAnsi="Times New Roman"/>
                      <w:color w:val="auto"/>
                      <w:sz w:val="21"/>
                      <w:szCs w:val="21"/>
                      <w:vertAlign w:val="superscript"/>
                      <w:lang w:val="en-US" w:eastAsia="zh-CN"/>
                    </w:rPr>
                    <w:t>3</w:t>
                  </w:r>
                  <w:r>
                    <w:rPr>
                      <w:rFonts w:ascii="Times New Roman" w:hAnsi="Times New Roman" w:eastAsia="宋体"/>
                      <w:color w:val="auto"/>
                      <w:sz w:val="21"/>
                      <w:szCs w:val="21"/>
                    </w:rPr>
                    <w:t>，则每升除油</w:t>
                  </w:r>
                  <w:r>
                    <w:rPr>
                      <w:rFonts w:ascii="Times New Roman" w:hAnsi="Times New Roman" w:eastAsia="宋体"/>
                      <w:color w:val="auto"/>
                      <w:spacing w:val="-15"/>
                      <w:sz w:val="21"/>
                      <w:szCs w:val="21"/>
                    </w:rPr>
                    <w:t>剂重约</w:t>
                  </w:r>
                  <w:r>
                    <w:rPr>
                      <w:rFonts w:ascii="Times New Roman" w:hAnsi="Times New Roman" w:eastAsia="宋体"/>
                      <w:color w:val="auto"/>
                      <w:sz w:val="21"/>
                      <w:szCs w:val="21"/>
                    </w:rPr>
                    <w:t>1100</w:t>
                  </w:r>
                  <w:r>
                    <w:rPr>
                      <w:rFonts w:hint="eastAsia" w:ascii="Times New Roman" w:hAnsi="Times New Roman"/>
                      <w:color w:val="auto"/>
                      <w:sz w:val="21"/>
                      <w:szCs w:val="21"/>
                      <w:lang w:eastAsia="zh-CN"/>
                    </w:rPr>
                    <w:t>—</w:t>
                  </w:r>
                  <w:r>
                    <w:rPr>
                      <w:rFonts w:ascii="Times New Roman" w:hAnsi="Times New Roman" w:eastAsia="宋体"/>
                      <w:color w:val="auto"/>
                      <w:sz w:val="21"/>
                      <w:szCs w:val="21"/>
                    </w:rPr>
                    <w:t>1150g，又根据</w:t>
                  </w:r>
                  <w:r>
                    <w:rPr>
                      <w:rFonts w:ascii="Times New Roman" w:hAnsi="Times New Roman" w:eastAsia="宋体"/>
                      <w:color w:val="auto"/>
                      <w:spacing w:val="-7"/>
                      <w:sz w:val="21"/>
                      <w:szCs w:val="21"/>
                    </w:rPr>
                    <w:t>企业资料，除油剂</w:t>
                  </w:r>
                  <w:r>
                    <w:rPr>
                      <w:rFonts w:ascii="Times New Roman" w:hAnsi="Times New Roman" w:eastAsia="宋体"/>
                      <w:color w:val="auto"/>
                      <w:sz w:val="21"/>
                      <w:szCs w:val="21"/>
                    </w:rPr>
                    <w:t>85%为固份，其余部分为助剂，按全部挥发计，则挥发分含量约在165</w:t>
                  </w:r>
                  <w:r>
                    <w:rPr>
                      <w:rFonts w:hint="eastAsia" w:ascii="Times New Roman" w:hAnsi="Times New Roman"/>
                      <w:color w:val="auto"/>
                      <w:sz w:val="21"/>
                      <w:szCs w:val="21"/>
                      <w:lang w:eastAsia="zh-CN"/>
                    </w:rPr>
                    <w:t>—</w:t>
                  </w:r>
                  <w:r>
                    <w:rPr>
                      <w:rFonts w:ascii="Times New Roman" w:hAnsi="Times New Roman" w:eastAsia="宋体"/>
                      <w:color w:val="auto"/>
                      <w:sz w:val="21"/>
                      <w:szCs w:val="21"/>
                    </w:rPr>
                    <w:t>173g/L≤900g/</w:t>
                  </w:r>
                  <w:r>
                    <w:rPr>
                      <w:rFonts w:hint="eastAsia" w:ascii="Times New Roman" w:hAnsi="Times New Roman"/>
                      <w:color w:val="auto"/>
                      <w:sz w:val="21"/>
                      <w:szCs w:val="21"/>
                      <w:lang w:val="en-US" w:eastAsia="zh-CN"/>
                    </w:rPr>
                    <w:t>L</w:t>
                  </w:r>
                </w:p>
              </w:tc>
            </w:tr>
            <w:tr w14:paraId="22C831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86" w:type="pct"/>
                  <w:vMerge w:val="continue"/>
                  <w:tcBorders>
                    <w:tl2br w:val="nil"/>
                    <w:tr2bl w:val="nil"/>
                  </w:tcBorders>
                  <w:vAlign w:val="center"/>
                </w:tcPr>
                <w:p w14:paraId="456DCB8A">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z w:val="21"/>
                      <w:szCs w:val="21"/>
                      <w:vertAlign w:val="baseline"/>
                      <w:lang w:val="en-US" w:eastAsia="zh-CN"/>
                    </w:rPr>
                  </w:pPr>
                </w:p>
              </w:tc>
              <w:tc>
                <w:tcPr>
                  <w:tcW w:w="1116" w:type="pct"/>
                  <w:vMerge w:val="continue"/>
                  <w:tcBorders>
                    <w:tl2br w:val="nil"/>
                    <w:tr2bl w:val="nil"/>
                  </w:tcBorders>
                  <w:vAlign w:val="center"/>
                </w:tcPr>
                <w:p w14:paraId="32CB076D">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z w:val="21"/>
                      <w:szCs w:val="21"/>
                      <w:vertAlign w:val="baseline"/>
                      <w:lang w:val="en-US" w:eastAsia="zh-CN"/>
                    </w:rPr>
                  </w:pPr>
                </w:p>
              </w:tc>
              <w:tc>
                <w:tcPr>
                  <w:tcW w:w="2696" w:type="pct"/>
                  <w:tcBorders>
                    <w:tl2br w:val="nil"/>
                    <w:tr2bl w:val="nil"/>
                  </w:tcBorders>
                  <w:vAlign w:val="center"/>
                </w:tcPr>
                <w:p w14:paraId="1C864D37">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z w:val="21"/>
                      <w:szCs w:val="21"/>
                      <w:vertAlign w:val="baseline"/>
                      <w:lang w:val="en-US" w:eastAsia="zh-CN"/>
                    </w:rPr>
                  </w:pPr>
                  <w:r>
                    <w:rPr>
                      <w:rFonts w:ascii="Times New Roman" w:hAnsi="Times New Roman" w:eastAsia="宋体"/>
                      <w:color w:val="auto"/>
                      <w:sz w:val="21"/>
                      <w:szCs w:val="21"/>
                    </w:rPr>
                    <w:t>本次项目使用有机溶剂丙酮，丙酮相对密度（水=1）：0.788g/cm</w:t>
                  </w:r>
                  <w:r>
                    <w:rPr>
                      <w:rFonts w:hint="eastAsia" w:ascii="Times New Roman" w:hAnsi="Times New Roman"/>
                      <w:color w:val="auto"/>
                      <w:sz w:val="21"/>
                      <w:szCs w:val="21"/>
                      <w:vertAlign w:val="superscript"/>
                      <w:lang w:val="en-US" w:eastAsia="zh-CN"/>
                    </w:rPr>
                    <w:t>3</w:t>
                  </w:r>
                  <w:r>
                    <w:rPr>
                      <w:rFonts w:ascii="Times New Roman" w:hAnsi="Times New Roman" w:eastAsia="宋体"/>
                      <w:color w:val="auto"/>
                      <w:sz w:val="21"/>
                      <w:szCs w:val="21"/>
                    </w:rPr>
                    <w:t>项目用丙酮纯度高达99.5%几乎可视为纯丙酮，按纯丙</w:t>
                  </w:r>
                  <w:r>
                    <w:rPr>
                      <w:rFonts w:ascii="Times New Roman" w:hAnsi="Times New Roman" w:eastAsia="宋体"/>
                      <w:color w:val="auto"/>
                      <w:spacing w:val="-5"/>
                      <w:sz w:val="21"/>
                      <w:szCs w:val="21"/>
                    </w:rPr>
                    <w:t>酮考虑，</w:t>
                  </w:r>
                  <w:r>
                    <w:rPr>
                      <w:rFonts w:ascii="Times New Roman" w:hAnsi="Times New Roman" w:eastAsia="宋体"/>
                      <w:color w:val="auto"/>
                      <w:spacing w:val="-17"/>
                      <w:sz w:val="21"/>
                      <w:szCs w:val="21"/>
                    </w:rPr>
                    <w:t>VOCs</w:t>
                  </w:r>
                  <w:r>
                    <w:rPr>
                      <w:rFonts w:ascii="Times New Roman" w:hAnsi="Times New Roman" w:eastAsia="宋体"/>
                      <w:color w:val="auto"/>
                      <w:sz w:val="21"/>
                      <w:szCs w:val="21"/>
                    </w:rPr>
                    <w:t>含量限值最大为788</w:t>
                  </w:r>
                  <w:r>
                    <w:rPr>
                      <w:rFonts w:hint="eastAsia" w:ascii="Times New Roman" w:hAnsi="Times New Roman"/>
                      <w:color w:val="auto"/>
                      <w:sz w:val="21"/>
                      <w:szCs w:val="21"/>
                      <w:lang w:val="en-US" w:eastAsia="zh-CN"/>
                    </w:rPr>
                    <w:t>g</w:t>
                  </w:r>
                  <w:r>
                    <w:rPr>
                      <w:rFonts w:ascii="Times New Roman" w:hAnsi="Times New Roman" w:eastAsia="宋体"/>
                      <w:color w:val="auto"/>
                      <w:sz w:val="21"/>
                      <w:szCs w:val="21"/>
                    </w:rPr>
                    <w:t>/L≤900g/L</w:t>
                  </w:r>
                </w:p>
              </w:tc>
            </w:tr>
            <w:tr w14:paraId="67241F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16" w:hRule="atLeast"/>
              </w:trPr>
              <w:tc>
                <w:tcPr>
                  <w:tcW w:w="1186" w:type="pct"/>
                  <w:vMerge w:val="continue"/>
                  <w:tcBorders>
                    <w:tl2br w:val="nil"/>
                    <w:tr2bl w:val="nil"/>
                  </w:tcBorders>
                  <w:vAlign w:val="center"/>
                </w:tcPr>
                <w:p w14:paraId="173361FA">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z w:val="21"/>
                      <w:szCs w:val="21"/>
                      <w:vertAlign w:val="baseline"/>
                      <w:lang w:val="en-US" w:eastAsia="zh-CN"/>
                    </w:rPr>
                  </w:pPr>
                </w:p>
              </w:tc>
              <w:tc>
                <w:tcPr>
                  <w:tcW w:w="1116" w:type="pct"/>
                  <w:vMerge w:val="continue"/>
                  <w:tcBorders>
                    <w:tl2br w:val="nil"/>
                    <w:tr2bl w:val="nil"/>
                  </w:tcBorders>
                  <w:vAlign w:val="center"/>
                </w:tcPr>
                <w:p w14:paraId="7E068FF3">
                  <w:pPr>
                    <w:pStyle w:val="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z w:val="21"/>
                      <w:szCs w:val="21"/>
                      <w:vertAlign w:val="baseline"/>
                      <w:lang w:val="en-US" w:eastAsia="zh-CN"/>
                    </w:rPr>
                  </w:pPr>
                </w:p>
              </w:tc>
              <w:tc>
                <w:tcPr>
                  <w:tcW w:w="2696" w:type="pct"/>
                  <w:tcBorders>
                    <w:tl2br w:val="nil"/>
                    <w:tr2bl w:val="nil"/>
                  </w:tcBorders>
                  <w:shd w:val="clear" w:color="auto" w:fill="auto"/>
                  <w:vAlign w:val="center"/>
                </w:tcPr>
                <w:p w14:paraId="77B65CD9">
                  <w:pPr>
                    <w:pStyle w:val="59"/>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color w:val="auto"/>
                      <w:kern w:val="2"/>
                      <w:sz w:val="21"/>
                      <w:szCs w:val="21"/>
                      <w:lang w:val="en-US" w:eastAsia="zh-CN" w:bidi="zh-CN"/>
                    </w:rPr>
                  </w:pPr>
                  <w:r>
                    <w:rPr>
                      <w:rFonts w:ascii="Times New Roman" w:hAnsi="Times New Roman" w:eastAsia="宋体"/>
                      <w:color w:val="auto"/>
                      <w:sz w:val="21"/>
                      <w:szCs w:val="21"/>
                    </w:rPr>
                    <w:t>本次项目使用有机溶剂乙醚，乙醚相对密度（水=1）：0.7135g/cm</w:t>
                  </w:r>
                  <w:r>
                    <w:rPr>
                      <w:rFonts w:hint="eastAsia" w:ascii="Times New Roman" w:hAnsi="Times New Roman"/>
                      <w:color w:val="auto"/>
                      <w:sz w:val="21"/>
                      <w:szCs w:val="21"/>
                      <w:vertAlign w:val="superscript"/>
                      <w:lang w:val="en-US" w:eastAsia="zh-CN"/>
                    </w:rPr>
                    <w:t>3</w:t>
                  </w:r>
                  <w:r>
                    <w:rPr>
                      <w:rFonts w:ascii="Times New Roman" w:hAnsi="Times New Roman" w:eastAsia="宋体"/>
                      <w:color w:val="auto"/>
                      <w:sz w:val="21"/>
                      <w:szCs w:val="21"/>
                    </w:rPr>
                    <w:t>（20℃），项目用乙醚纯度</w:t>
                  </w:r>
                  <w:r>
                    <w:rPr>
                      <w:rFonts w:ascii="Times New Roman" w:hAnsi="Times New Roman" w:eastAsia="宋体"/>
                      <w:color w:val="auto"/>
                      <w:spacing w:val="-1"/>
                      <w:w w:val="99"/>
                      <w:sz w:val="21"/>
                      <w:szCs w:val="21"/>
                    </w:rPr>
                    <w:t>高达</w:t>
                  </w:r>
                  <w:r>
                    <w:rPr>
                      <w:rFonts w:ascii="Times New Roman" w:hAnsi="Times New Roman" w:eastAsia="宋体"/>
                      <w:color w:val="auto"/>
                      <w:spacing w:val="1"/>
                      <w:w w:val="99"/>
                      <w:sz w:val="21"/>
                      <w:szCs w:val="21"/>
                    </w:rPr>
                    <w:t>99</w:t>
                  </w:r>
                  <w:r>
                    <w:rPr>
                      <w:rFonts w:ascii="Times New Roman" w:hAnsi="Times New Roman" w:eastAsia="宋体"/>
                      <w:color w:val="auto"/>
                      <w:w w:val="99"/>
                      <w:sz w:val="21"/>
                      <w:szCs w:val="21"/>
                    </w:rPr>
                    <w:t>.</w:t>
                  </w:r>
                  <w:r>
                    <w:rPr>
                      <w:rFonts w:ascii="Times New Roman" w:hAnsi="Times New Roman" w:eastAsia="宋体"/>
                      <w:color w:val="auto"/>
                      <w:spacing w:val="-2"/>
                      <w:w w:val="99"/>
                      <w:sz w:val="21"/>
                      <w:szCs w:val="21"/>
                    </w:rPr>
                    <w:t>5%</w:t>
                  </w:r>
                  <w:r>
                    <w:rPr>
                      <w:rFonts w:ascii="Times New Roman" w:hAnsi="Times New Roman" w:eastAsia="宋体"/>
                      <w:color w:val="auto"/>
                      <w:spacing w:val="-14"/>
                      <w:w w:val="99"/>
                      <w:sz w:val="21"/>
                      <w:szCs w:val="21"/>
                    </w:rPr>
                    <w:t>，几乎可视为纯乙</w:t>
                  </w:r>
                  <w:r>
                    <w:rPr>
                      <w:rFonts w:ascii="Times New Roman" w:hAnsi="Times New Roman" w:eastAsia="宋体"/>
                      <w:color w:val="auto"/>
                      <w:sz w:val="21"/>
                      <w:szCs w:val="21"/>
                    </w:rPr>
                    <w:t>醚，按纯乙醚考虑，VOCs含量限值最大为714</w:t>
                  </w:r>
                  <w:r>
                    <w:rPr>
                      <w:rFonts w:hint="eastAsia" w:ascii="Times New Roman" w:hAnsi="Times New Roman"/>
                      <w:color w:val="auto"/>
                      <w:sz w:val="21"/>
                      <w:szCs w:val="21"/>
                      <w:lang w:val="en-US" w:eastAsia="zh-CN"/>
                    </w:rPr>
                    <w:t>g</w:t>
                  </w:r>
                  <w:r>
                    <w:rPr>
                      <w:rFonts w:ascii="Times New Roman" w:hAnsi="Times New Roman" w:eastAsia="宋体"/>
                      <w:color w:val="auto"/>
                      <w:sz w:val="21"/>
                      <w:szCs w:val="21"/>
                    </w:rPr>
                    <w:t>/L≤900g/L</w:t>
                  </w:r>
                </w:p>
              </w:tc>
            </w:tr>
          </w:tbl>
          <w:p w14:paraId="085E3908">
            <w:pPr>
              <w:pStyle w:val="5"/>
              <w:bidi w:val="0"/>
              <w:rPr>
                <w:rFonts w:hint="default" w:ascii="Times New Roman" w:hAnsi="Times New Roman"/>
                <w:color w:val="auto"/>
                <w:lang w:val="en-US" w:eastAsia="zh-CN"/>
              </w:rPr>
            </w:pPr>
          </w:p>
        </w:tc>
      </w:tr>
    </w:tbl>
    <w:p w14:paraId="4221521C">
      <w:pPr>
        <w:spacing w:line="360" w:lineRule="auto"/>
        <w:outlineLvl w:val="0"/>
        <w:rPr>
          <w:rFonts w:ascii="Times New Roman" w:hAnsi="Times New Roman" w:eastAsia="黑体"/>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7A7B0E6D">
      <w:pPr>
        <w:pStyle w:val="6"/>
        <w:bidi w:val="0"/>
        <w:rPr>
          <w:rFonts w:ascii="Times New Roman" w:hAnsi="Times New Roman" w:eastAsia="黑体"/>
          <w:snapToGrid w:val="0"/>
          <w:color w:val="auto"/>
          <w:szCs w:val="30"/>
        </w:rPr>
      </w:pPr>
      <w:r>
        <w:rPr>
          <w:rFonts w:hint="eastAsia" w:ascii="Times New Roman" w:hAnsi="Times New Roman"/>
          <w:color w:val="auto"/>
        </w:rPr>
        <w:t>二、建设项目工程分析</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4"/>
        <w:gridCol w:w="8616"/>
      </w:tblGrid>
      <w:tr w14:paraId="718979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08" w:hRule="atLeast"/>
          <w:jc w:val="center"/>
        </w:trPr>
        <w:tc>
          <w:tcPr>
            <w:tcW w:w="444" w:type="dxa"/>
            <w:noWrap w:val="0"/>
            <w:vAlign w:val="center"/>
          </w:tcPr>
          <w:p w14:paraId="223FC396">
            <w:pPr>
              <w:adjustRightInd w:val="0"/>
              <w:snapToGrid w:val="0"/>
              <w:spacing w:before="0" w:beforeAutospacing="0" w:after="0" w:afterAutospacing="0"/>
              <w:jc w:val="center"/>
              <w:rPr>
                <w:rFonts w:ascii="Times New Roman" w:hAnsi="Times New Roman" w:cs="宋体"/>
                <w:color w:val="auto"/>
                <w:sz w:val="21"/>
                <w:szCs w:val="21"/>
              </w:rPr>
            </w:pPr>
            <w:r>
              <w:rPr>
                <w:rFonts w:hint="eastAsia" w:ascii="Times New Roman" w:hAnsi="Times New Roman" w:cs="宋体"/>
                <w:color w:val="auto"/>
                <w:sz w:val="21"/>
                <w:szCs w:val="21"/>
              </w:rPr>
              <w:t>建设内容</w:t>
            </w:r>
          </w:p>
        </w:tc>
        <w:tc>
          <w:tcPr>
            <w:tcW w:w="8616" w:type="dxa"/>
            <w:noWrap w:val="0"/>
            <w:vAlign w:val="top"/>
          </w:tcPr>
          <w:p w14:paraId="55EAC13E">
            <w:pPr>
              <w:pStyle w:val="3"/>
              <w:keepNext/>
              <w:keepLines/>
              <w:pageBreakBefore w:val="0"/>
              <w:widowControl w:val="0"/>
              <w:kinsoku/>
              <w:wordWrap/>
              <w:topLinePunct w:val="0"/>
              <w:autoSpaceDE/>
              <w:autoSpaceDN/>
              <w:bidi w:val="0"/>
              <w:adjustRightInd/>
              <w:spacing w:before="0" w:after="0"/>
              <w:ind w:left="0" w:firstLine="0"/>
              <w:textAlignment w:val="auto"/>
              <w:rPr>
                <w:rFonts w:hint="eastAsia" w:ascii="Times New Roman" w:hAnsi="Times New Roman"/>
                <w:b/>
                <w:bCs w:val="0"/>
                <w:color w:val="auto"/>
                <w:lang w:val="en-US" w:eastAsia="zh-CN"/>
              </w:rPr>
            </w:pPr>
            <w:bookmarkStart w:id="26" w:name="_Toc17886"/>
            <w:bookmarkStart w:id="27" w:name="_Toc14524"/>
            <w:r>
              <w:rPr>
                <w:rFonts w:hint="eastAsia" w:ascii="Times New Roman" w:hAnsi="Times New Roman"/>
                <w:b/>
                <w:bCs w:val="0"/>
                <w:color w:val="auto"/>
                <w:lang w:val="en-US" w:eastAsia="zh-CN"/>
              </w:rPr>
              <w:t>2.1项目基本情况</w:t>
            </w:r>
            <w:bookmarkEnd w:id="26"/>
            <w:bookmarkEnd w:id="27"/>
          </w:p>
          <w:p w14:paraId="23A4D3ED">
            <w:pPr>
              <w:pStyle w:val="4"/>
              <w:keepNext/>
              <w:keepLines/>
              <w:pageBreakBefore w:val="0"/>
              <w:widowControl w:val="0"/>
              <w:kinsoku/>
              <w:wordWrap/>
              <w:topLinePunct w:val="0"/>
              <w:autoSpaceDE/>
              <w:autoSpaceDN/>
              <w:bidi w:val="0"/>
              <w:adjustRightInd/>
              <w:ind w:left="0" w:firstLine="0"/>
              <w:textAlignment w:val="auto"/>
              <w:rPr>
                <w:rFonts w:hint="eastAsia" w:ascii="Times New Roman" w:hAnsi="Times New Roman"/>
                <w:color w:val="auto"/>
                <w:lang w:val="en-US" w:eastAsia="zh-CN"/>
              </w:rPr>
            </w:pPr>
            <w:bookmarkStart w:id="28" w:name="_Toc18719"/>
            <w:r>
              <w:rPr>
                <w:rFonts w:hint="eastAsia" w:ascii="Times New Roman" w:hAnsi="Times New Roman"/>
                <w:color w:val="auto"/>
                <w:lang w:val="en-US" w:eastAsia="zh-CN"/>
              </w:rPr>
              <w:t>2.1.1项目由来</w:t>
            </w:r>
            <w:bookmarkEnd w:id="28"/>
          </w:p>
          <w:p w14:paraId="3B221AA0">
            <w:pPr>
              <w:pStyle w:val="56"/>
              <w:bidi w:val="0"/>
              <w:rPr>
                <w:rFonts w:hint="eastAsia"/>
                <w:color w:val="auto"/>
                <w:sz w:val="24"/>
                <w:szCs w:val="24"/>
                <w:lang w:eastAsia="zh-CN"/>
              </w:rPr>
            </w:pPr>
            <w:r>
              <w:rPr>
                <w:rFonts w:hint="eastAsia"/>
                <w:color w:val="auto"/>
                <w:sz w:val="24"/>
                <w:szCs w:val="24"/>
              </w:rPr>
              <w:t>福州创宇光电有限公司是一家2024年10月成立、位于</w:t>
            </w:r>
            <w:r>
              <w:rPr>
                <w:rFonts w:hint="eastAsia"/>
                <w:color w:val="auto"/>
                <w:sz w:val="24"/>
                <w:szCs w:val="24"/>
                <w:lang w:val="en-US" w:eastAsia="zh-CN"/>
              </w:rPr>
              <w:t>福建省福州市闽侯县</w:t>
            </w:r>
            <w:r>
              <w:rPr>
                <w:rFonts w:hint="eastAsia"/>
                <w:color w:val="auto"/>
                <w:sz w:val="24"/>
                <w:szCs w:val="24"/>
              </w:rPr>
              <w:t>的新锐精密光学元件制造商，专注精密光学与晶体元件研发、生产及销售。</w:t>
            </w:r>
            <w:r>
              <w:rPr>
                <w:rFonts w:hint="eastAsia"/>
                <w:color w:val="auto"/>
                <w:sz w:val="24"/>
                <w:szCs w:val="24"/>
                <w:lang w:val="en-US" w:eastAsia="zh-CN"/>
              </w:rPr>
              <w:t>同时</w:t>
            </w:r>
            <w:r>
              <w:rPr>
                <w:rFonts w:hint="eastAsia"/>
                <w:color w:val="auto"/>
                <w:sz w:val="24"/>
                <w:szCs w:val="24"/>
              </w:rPr>
              <w:t>拥有一批具有丰富经验的工程师及娴熟的工艺技术。公司配备了完整的生产加工设备和先进的检测仪器，为产品的高质量和准时交货提供了有力的保障</w:t>
            </w:r>
            <w:r>
              <w:rPr>
                <w:rFonts w:hint="eastAsia"/>
                <w:color w:val="auto"/>
                <w:sz w:val="24"/>
                <w:szCs w:val="24"/>
                <w:lang w:eastAsia="zh-CN"/>
              </w:rPr>
              <w:t>。</w:t>
            </w:r>
          </w:p>
          <w:p w14:paraId="14C958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ascii="Times New Roman" w:hAnsi="Times New Roman" w:eastAsia="宋体" w:cs="Times New Roman"/>
                <w:color w:val="auto"/>
                <w:kern w:val="2"/>
                <w:sz w:val="24"/>
                <w:szCs w:val="24"/>
                <w:lang w:val="en-US" w:eastAsia="zh-CN" w:bidi="ar-SA"/>
              </w:rPr>
              <w:t>福州创宇光电有限公司为了</w:t>
            </w:r>
            <w:r>
              <w:rPr>
                <w:rFonts w:hint="eastAsia" w:ascii="Times New Roman" w:hAnsi="Times New Roman"/>
                <w:color w:val="auto"/>
                <w:sz w:val="24"/>
                <w:szCs w:val="24"/>
                <w:lang w:val="en-US" w:eastAsia="zh-CN"/>
              </w:rPr>
              <w:t>发展更好的市场前景，决定将企业建</w:t>
            </w:r>
            <w:r>
              <w:rPr>
                <w:rFonts w:hint="eastAsia" w:ascii="Times New Roman" w:hAnsi="Times New Roman" w:eastAsia="宋体" w:cs="Times New Roman"/>
                <w:color w:val="auto"/>
                <w:sz w:val="24"/>
                <w:szCs w:val="24"/>
                <w:lang w:val="en-US" w:eastAsia="zh-CN"/>
              </w:rPr>
              <w:t>设在</w:t>
            </w:r>
            <w:r>
              <w:rPr>
                <w:rFonts w:hint="eastAsia" w:ascii="Times New Roman" w:hAnsi="Times New Roman" w:eastAsia="宋体" w:cs="Times New Roman"/>
                <w:color w:val="auto"/>
                <w:kern w:val="0"/>
                <w:sz w:val="24"/>
                <w:szCs w:val="24"/>
                <w:lang w:val="en-US" w:eastAsia="zh-CN" w:bidi="ar-SA"/>
              </w:rPr>
              <w:t>福建省</w:t>
            </w:r>
            <w:r>
              <w:rPr>
                <w:rFonts w:hint="eastAsia" w:ascii="Times New Roman" w:hAnsi="Times New Roman" w:cs="Times New Roman"/>
                <w:color w:val="auto"/>
                <w:sz w:val="24"/>
                <w:szCs w:val="24"/>
                <w:lang w:val="en-US" w:eastAsia="zh-CN"/>
              </w:rPr>
              <w:t>福州市闽侯县上街镇马保村后园32号2号楼1层（租赁福州鑫美榕纸业有限公司闲置厂房）。</w:t>
            </w:r>
            <w:r>
              <w:rPr>
                <w:rFonts w:ascii="Times New Roman" w:hAnsi="Times New Roman"/>
                <w:color w:val="auto"/>
                <w:sz w:val="24"/>
                <w:szCs w:val="24"/>
              </w:rPr>
              <w:t>本项目总投资1000万元，租用</w:t>
            </w:r>
            <w:r>
              <w:rPr>
                <w:rFonts w:hint="eastAsia" w:ascii="Times New Roman" w:hAnsi="Times New Roman" w:cs="Times New Roman"/>
                <w:color w:val="auto"/>
                <w:sz w:val="24"/>
                <w:szCs w:val="24"/>
                <w:lang w:val="en-US" w:eastAsia="zh-CN"/>
              </w:rPr>
              <w:t>福州鑫美榕纸业有限公司闲置厂房</w:t>
            </w:r>
            <w:r>
              <w:rPr>
                <w:rFonts w:ascii="Times New Roman" w:hAnsi="Times New Roman"/>
                <w:color w:val="auto"/>
                <w:sz w:val="24"/>
                <w:szCs w:val="24"/>
              </w:rPr>
              <w:t>面积</w:t>
            </w:r>
            <w:r>
              <w:rPr>
                <w:rFonts w:hint="eastAsia" w:ascii="Times New Roman" w:hAnsi="Times New Roman"/>
                <w:color w:val="auto"/>
                <w:sz w:val="24"/>
                <w:szCs w:val="24"/>
                <w:lang w:val="en-US" w:eastAsia="zh-CN"/>
              </w:rPr>
              <w:t>2100</w:t>
            </w:r>
            <w:r>
              <w:rPr>
                <w:rFonts w:ascii="Times New Roman" w:hAnsi="Times New Roman"/>
                <w:color w:val="auto"/>
                <w:sz w:val="24"/>
                <w:szCs w:val="24"/>
              </w:rPr>
              <w:t>平方米。</w:t>
            </w:r>
            <w:r>
              <w:rPr>
                <w:rFonts w:hint="eastAsia" w:ascii="Times New Roman" w:hAnsi="Times New Roman"/>
                <w:color w:val="auto"/>
                <w:sz w:val="24"/>
                <w:szCs w:val="24"/>
              </w:rPr>
              <w:t>购买球面铣磨机、球面抛光机、光驰镀膜机、超洗机等先进设备。原材料外购光学玻璃材料、抛光粉、清洗剂、金刚砂、钻石粉、乙醚、乙醇、丙酮、磨削液等。工艺</w:t>
            </w:r>
            <w:r>
              <w:rPr>
                <w:rFonts w:hint="eastAsia"/>
                <w:color w:val="auto"/>
                <w:sz w:val="24"/>
                <w:szCs w:val="24"/>
                <w:lang w:eastAsia="zh-CN"/>
              </w:rPr>
              <w:t>：</w:t>
            </w:r>
            <w:r>
              <w:rPr>
                <w:rFonts w:hint="eastAsia" w:ascii="Times New Roman" w:hAnsi="Times New Roman"/>
                <w:color w:val="auto"/>
                <w:sz w:val="24"/>
                <w:szCs w:val="24"/>
              </w:rPr>
              <w:t>原料-铣磨-倒边-研磨-抛光-清洗-镀膜--检测-组装。建设年产光学元器件200万片。</w:t>
            </w:r>
            <w:r>
              <w:rPr>
                <w:rFonts w:ascii="Times New Roman" w:hAnsi="Times New Roman"/>
                <w:color w:val="auto"/>
                <w:sz w:val="24"/>
                <w:szCs w:val="24"/>
              </w:rPr>
              <w:t>主要建筑面积：</w:t>
            </w:r>
            <w:r>
              <w:rPr>
                <w:rFonts w:hint="eastAsia" w:ascii="Times New Roman" w:hAnsi="Times New Roman"/>
                <w:color w:val="auto"/>
                <w:sz w:val="24"/>
                <w:szCs w:val="24"/>
                <w:lang w:val="en-US" w:eastAsia="zh-CN"/>
              </w:rPr>
              <w:t>2100</w:t>
            </w:r>
            <w:r>
              <w:rPr>
                <w:rFonts w:ascii="Times New Roman" w:hAnsi="Times New Roman"/>
                <w:color w:val="auto"/>
                <w:sz w:val="24"/>
                <w:szCs w:val="24"/>
              </w:rPr>
              <w:t>平方米，生产能力</w:t>
            </w:r>
            <w:r>
              <w:rPr>
                <w:rFonts w:hint="eastAsia"/>
                <w:color w:val="auto"/>
                <w:sz w:val="24"/>
                <w:szCs w:val="24"/>
                <w:lang w:val="en-US" w:eastAsia="zh-CN"/>
              </w:rPr>
              <w:t>为</w:t>
            </w:r>
            <w:r>
              <w:rPr>
                <w:rFonts w:ascii="Times New Roman" w:hAnsi="Times New Roman"/>
                <w:color w:val="auto"/>
                <w:sz w:val="24"/>
                <w:szCs w:val="24"/>
              </w:rPr>
              <w:t>年产200万片光学</w:t>
            </w:r>
            <w:r>
              <w:rPr>
                <w:rFonts w:hint="eastAsia" w:ascii="Times New Roman" w:hAnsi="Times New Roman"/>
                <w:color w:val="auto"/>
                <w:sz w:val="24"/>
                <w:szCs w:val="24"/>
                <w:lang w:val="en-US" w:eastAsia="zh-CN"/>
              </w:rPr>
              <w:t>元器件</w:t>
            </w:r>
            <w:r>
              <w:rPr>
                <w:rFonts w:hint="eastAsia" w:ascii="Times New Roman" w:hAnsi="Times New Roman"/>
                <w:color w:val="auto"/>
                <w:sz w:val="24"/>
                <w:szCs w:val="24"/>
                <w:lang w:eastAsia="zh-CN"/>
              </w:rPr>
              <w:t>。</w:t>
            </w:r>
          </w:p>
          <w:p w14:paraId="5462D3E4">
            <w:pPr>
              <w:pStyle w:val="5"/>
              <w:bidi w:val="0"/>
              <w:rPr>
                <w:rFonts w:hint="eastAsia"/>
                <w:color w:val="auto"/>
                <w:sz w:val="24"/>
                <w:szCs w:val="24"/>
                <w:lang w:val="en-US" w:eastAsia="zh-CN"/>
              </w:rPr>
            </w:pPr>
            <w:r>
              <w:rPr>
                <w:rFonts w:hint="eastAsia" w:ascii="Times New Roman" w:hAnsi="Times New Roman"/>
                <w:color w:val="auto"/>
                <w:sz w:val="24"/>
                <w:szCs w:val="24"/>
                <w:lang w:val="en-US" w:eastAsia="zh-CN"/>
              </w:rPr>
              <w:t>根据《中华人民共和国环境保护法》《中华人民共和国环境影响评价法》《建设项目环境保护管理条例》，本项目需进行环境影响评价工作，再对照《建设项目环境影响评价分类管理名录》（2021年版），本项目属于“三十七、仪器仪表制造业40”中的“光学仪器制造404”，本项目工艺流程包括铣磨、抛光、</w:t>
            </w:r>
            <w:r>
              <w:rPr>
                <w:rFonts w:hint="eastAsia"/>
                <w:color w:val="auto"/>
                <w:sz w:val="24"/>
                <w:szCs w:val="24"/>
                <w:lang w:val="en-US" w:eastAsia="zh-CN"/>
              </w:rPr>
              <w:t>清洗、镀膜</w:t>
            </w:r>
            <w:r>
              <w:rPr>
                <w:rFonts w:hint="eastAsia" w:ascii="Times New Roman" w:hAnsi="Times New Roman"/>
                <w:color w:val="auto"/>
                <w:sz w:val="24"/>
                <w:szCs w:val="24"/>
                <w:lang w:val="en-US" w:eastAsia="zh-CN"/>
              </w:rPr>
              <w:t>等工序，使用原辅材料包括乙醚、乙醇、丙酮等，因此本项目应当编制环境影响报告表。</w:t>
            </w:r>
            <w:r>
              <w:rPr>
                <w:rFonts w:hint="eastAsia"/>
                <w:color w:val="auto"/>
                <w:sz w:val="24"/>
                <w:szCs w:val="24"/>
                <w:lang w:val="en-US" w:eastAsia="zh-CN"/>
              </w:rPr>
              <w:t>详见表2.1-1。</w:t>
            </w:r>
          </w:p>
          <w:p w14:paraId="52574C61">
            <w:pPr>
              <w:pStyle w:val="5"/>
              <w:bidi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为此</w:t>
            </w:r>
            <w:r>
              <w:rPr>
                <w:rFonts w:hint="eastAsia"/>
                <w:color w:val="auto"/>
                <w:sz w:val="24"/>
                <w:szCs w:val="24"/>
                <w:lang w:val="en-US" w:eastAsia="zh-CN"/>
              </w:rPr>
              <w:t>福州创宇光电有限公司</w:t>
            </w:r>
            <w:r>
              <w:rPr>
                <w:rFonts w:hint="eastAsia" w:ascii="Times New Roman" w:hAnsi="Times New Roman"/>
                <w:color w:val="auto"/>
                <w:sz w:val="24"/>
                <w:szCs w:val="24"/>
                <w:lang w:val="en-US" w:eastAsia="zh-CN"/>
              </w:rPr>
              <w:t>委托我公司承担该项目环境影响报告表的编制工作（委托书详见附件一）。我公司技术人员经过现场勘察和工程分析，依据《环境影响评价技术导则》的要求，编制《</w:t>
            </w:r>
            <w:r>
              <w:rPr>
                <w:rFonts w:hint="eastAsia"/>
                <w:color w:val="auto"/>
                <w:sz w:val="24"/>
                <w:szCs w:val="24"/>
                <w:lang w:val="en-US" w:eastAsia="zh-CN"/>
              </w:rPr>
              <w:t>创宇光电年产200万片光学元器件项目</w:t>
            </w:r>
            <w:r>
              <w:rPr>
                <w:rFonts w:hint="eastAsia" w:ascii="Times New Roman" w:hAnsi="Times New Roman"/>
                <w:color w:val="auto"/>
                <w:sz w:val="24"/>
                <w:szCs w:val="24"/>
                <w:lang w:val="en-US" w:eastAsia="zh-CN"/>
              </w:rPr>
              <w:t>环境影响报告表》对项目产生的污染和对环境的影响进行分析，从环境保护角度评估项目建设的可行性。</w:t>
            </w:r>
          </w:p>
          <w:p w14:paraId="59CCC538">
            <w:pPr>
              <w:pStyle w:val="46"/>
              <w:bidi w:val="0"/>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表2.1-</w:t>
            </w:r>
            <w:r>
              <w:rPr>
                <w:rFonts w:hint="eastAsia" w:cs="Times New Roman"/>
                <w:b/>
                <w:color w:val="auto"/>
                <w:kern w:val="0"/>
                <w:sz w:val="24"/>
                <w:szCs w:val="20"/>
                <w:lang w:val="en-US" w:eastAsia="zh-CN" w:bidi="ar-SA"/>
              </w:rPr>
              <w:t>1</w:t>
            </w:r>
            <w:r>
              <w:rPr>
                <w:rFonts w:hint="eastAsia" w:ascii="Times New Roman" w:hAnsi="Times New Roman" w:eastAsia="宋体" w:cs="Times New Roman"/>
                <w:b/>
                <w:color w:val="auto"/>
                <w:kern w:val="0"/>
                <w:sz w:val="24"/>
                <w:szCs w:val="20"/>
                <w:lang w:val="en-US" w:eastAsia="zh-CN" w:bidi="ar-SA"/>
              </w:rPr>
              <w:t xml:space="preserve">  </w:t>
            </w:r>
            <w:r>
              <w:rPr>
                <w:rFonts w:hint="default" w:ascii="Times New Roman" w:hAnsi="Times New Roman" w:eastAsia="宋体" w:cs="Times New Roman"/>
                <w:b/>
                <w:color w:val="auto"/>
                <w:kern w:val="0"/>
                <w:sz w:val="24"/>
                <w:szCs w:val="20"/>
                <w:lang w:val="en-US" w:eastAsia="zh-CN" w:bidi="ar-SA"/>
              </w:rPr>
              <w:t>建设项目环境影响评价分类管理名录</w:t>
            </w:r>
            <w:r>
              <w:rPr>
                <w:rFonts w:hint="eastAsia" w:ascii="Times New Roman" w:hAnsi="Times New Roman" w:eastAsia="宋体" w:cs="Times New Roman"/>
                <w:b/>
                <w:color w:val="auto"/>
                <w:kern w:val="0"/>
                <w:sz w:val="24"/>
                <w:szCs w:val="20"/>
                <w:lang w:val="en-US" w:eastAsia="zh-CN" w:bidi="ar-SA"/>
              </w:rPr>
              <w:t>（</w:t>
            </w:r>
            <w:r>
              <w:rPr>
                <w:rFonts w:hint="default" w:ascii="Times New Roman" w:hAnsi="Times New Roman" w:eastAsia="宋体" w:cs="Times New Roman"/>
                <w:b/>
                <w:color w:val="auto"/>
                <w:kern w:val="0"/>
                <w:sz w:val="24"/>
                <w:szCs w:val="20"/>
                <w:lang w:val="en-US" w:eastAsia="zh-CN" w:bidi="ar-SA"/>
              </w:rPr>
              <w:t>摘录</w:t>
            </w:r>
            <w:r>
              <w:rPr>
                <w:rFonts w:hint="eastAsia" w:ascii="Times New Roman" w:hAnsi="Times New Roman" w:eastAsia="宋体" w:cs="Times New Roman"/>
                <w:b/>
                <w:color w:val="auto"/>
                <w:kern w:val="0"/>
                <w:sz w:val="24"/>
                <w:szCs w:val="20"/>
                <w:lang w:val="en-US" w:eastAsia="zh-CN" w:bidi="ar-SA"/>
              </w:rPr>
              <w:t>）</w:t>
            </w:r>
          </w:p>
          <w:tbl>
            <w:tblPr>
              <w:tblStyle w:val="19"/>
              <w:tblW w:w="4998"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2025"/>
              <w:gridCol w:w="1508"/>
              <w:gridCol w:w="3451"/>
              <w:gridCol w:w="955"/>
            </w:tblGrid>
            <w:tr w14:paraId="05D3233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479" w:type="pct"/>
                  <w:gridSpan w:val="2"/>
                  <w:tcBorders>
                    <w:tl2br w:val="single" w:color="auto" w:sz="4" w:space="0"/>
                  </w:tcBorders>
                  <w:shd w:val="clear" w:color="auto" w:fill="auto"/>
                  <w:noWrap w:val="0"/>
                  <w:vAlign w:val="center"/>
                </w:tcPr>
                <w:p w14:paraId="5511D17F">
                  <w:pPr>
                    <w:widowControl w:val="0"/>
                    <w:bidi w:val="0"/>
                    <w:adjustRightInd w:val="0"/>
                    <w:snapToGrid w:val="0"/>
                    <w:spacing w:before="10" w:beforeLines="10" w:after="10" w:afterLines="10" w:line="240" w:lineRule="auto"/>
                    <w:jc w:val="right"/>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 xml:space="preserve">            环评类别</w:t>
                  </w:r>
                </w:p>
                <w:p w14:paraId="568AAE19">
                  <w:pPr>
                    <w:widowControl w:val="0"/>
                    <w:bidi w:val="0"/>
                    <w:adjustRightInd w:val="0"/>
                    <w:snapToGrid w:val="0"/>
                    <w:spacing w:before="10" w:beforeLines="10" w:after="10" w:afterLines="10" w:line="240" w:lineRule="auto"/>
                    <w:jc w:val="left"/>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项目类别</w:t>
                  </w:r>
                </w:p>
              </w:tc>
              <w:tc>
                <w:tcPr>
                  <w:tcW w:w="898" w:type="pct"/>
                  <w:shd w:val="clear" w:color="auto" w:fill="auto"/>
                  <w:noWrap w:val="0"/>
                  <w:vAlign w:val="center"/>
                </w:tcPr>
                <w:p w14:paraId="1FDE12C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报告书</w:t>
                  </w:r>
                </w:p>
              </w:tc>
              <w:tc>
                <w:tcPr>
                  <w:tcW w:w="2055" w:type="pct"/>
                  <w:shd w:val="clear" w:color="auto" w:fill="A4A4A4"/>
                  <w:noWrap w:val="0"/>
                  <w:vAlign w:val="center"/>
                </w:tcPr>
                <w:p w14:paraId="53A5EFA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报告表</w:t>
                  </w:r>
                </w:p>
              </w:tc>
              <w:tc>
                <w:tcPr>
                  <w:tcW w:w="566" w:type="pct"/>
                  <w:noWrap w:val="0"/>
                  <w:vAlign w:val="center"/>
                </w:tcPr>
                <w:p w14:paraId="43C5370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登记表</w:t>
                  </w:r>
                </w:p>
              </w:tc>
            </w:tr>
            <w:tr w14:paraId="7EF4FCB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shd w:val="clear" w:color="auto" w:fill="A4A4A4"/>
                  <w:noWrap w:val="0"/>
                  <w:vAlign w:val="center"/>
                </w:tcPr>
                <w:p w14:paraId="6B94BB12">
                  <w:pPr>
                    <w:widowControl w:val="0"/>
                    <w:bidi w:val="0"/>
                    <w:adjustRightInd w:val="0"/>
                    <w:snapToGrid w:val="0"/>
                    <w:spacing w:before="10" w:beforeLines="10" w:after="10" w:afterLines="10" w:line="240" w:lineRule="auto"/>
                    <w:jc w:val="left"/>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三十七、仪器仪表制造业40</w:t>
                  </w:r>
                </w:p>
              </w:tc>
            </w:tr>
            <w:tr w14:paraId="0ECED5F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3" w:type="pct"/>
                  <w:shd w:val="clear" w:color="auto" w:fill="auto"/>
                  <w:noWrap w:val="0"/>
                  <w:vAlign w:val="center"/>
                </w:tcPr>
                <w:p w14:paraId="2A56BFC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83</w:t>
                  </w:r>
                </w:p>
              </w:tc>
              <w:tc>
                <w:tcPr>
                  <w:tcW w:w="1206" w:type="pct"/>
                  <w:shd w:val="clear" w:color="auto" w:fill="auto"/>
                  <w:noWrap w:val="0"/>
                  <w:vAlign w:val="center"/>
                </w:tcPr>
                <w:p w14:paraId="346CB67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通用仪器仪表制造401；专用仪器仪表制造402；钟表与计时仪器制造403*；光学仪器制造404；衡器制造405；其他仪器仪表制造业409</w:t>
                  </w:r>
                </w:p>
              </w:tc>
              <w:tc>
                <w:tcPr>
                  <w:tcW w:w="898" w:type="pct"/>
                  <w:shd w:val="clear" w:color="auto" w:fill="auto"/>
                  <w:noWrap w:val="0"/>
                  <w:vAlign w:val="center"/>
                </w:tcPr>
                <w:p w14:paraId="3F32AEC3">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有电镀工艺的；年用溶剂型涂料（含稀</w:t>
                  </w:r>
                </w:p>
                <w:p w14:paraId="312FD22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释剂）10吨及以上的</w:t>
                  </w:r>
                </w:p>
              </w:tc>
              <w:tc>
                <w:tcPr>
                  <w:tcW w:w="2055" w:type="pct"/>
                  <w:shd w:val="clear" w:color="auto" w:fill="A4A4A4"/>
                  <w:noWrap w:val="0"/>
                  <w:vAlign w:val="center"/>
                </w:tcPr>
                <w:p w14:paraId="6718E35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其他（仅分割、焊接、组装的除外；年用非溶剂型低VOCs含量涂料10吨以下的除外）</w:t>
                  </w:r>
                </w:p>
              </w:tc>
              <w:tc>
                <w:tcPr>
                  <w:tcW w:w="566" w:type="pct"/>
                  <w:noWrap w:val="0"/>
                  <w:vAlign w:val="center"/>
                </w:tcPr>
                <w:p w14:paraId="322167D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w:t>
                  </w:r>
                </w:p>
              </w:tc>
            </w:tr>
          </w:tbl>
          <w:p w14:paraId="099513C9">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29" w:name="_Toc29362"/>
            <w:r>
              <w:rPr>
                <w:rFonts w:hint="eastAsia" w:ascii="Times New Roman" w:hAnsi="Times New Roman" w:eastAsia="宋体" w:cs="Times New Roman"/>
                <w:b/>
                <w:color w:val="auto"/>
                <w:kern w:val="2"/>
                <w:sz w:val="24"/>
                <w:szCs w:val="24"/>
                <w:lang w:val="en-US" w:eastAsia="zh-CN" w:bidi="ar-SA"/>
              </w:rPr>
              <w:t>2.1.2项目基本情况</w:t>
            </w:r>
            <w:bookmarkEnd w:id="29"/>
          </w:p>
          <w:p w14:paraId="265727F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（1）项目名称：</w:t>
            </w:r>
            <w:r>
              <w:rPr>
                <w:rFonts w:hint="eastAsia" w:cs="宋体"/>
                <w:color w:val="auto"/>
                <w:kern w:val="2"/>
                <w:sz w:val="24"/>
                <w:szCs w:val="24"/>
                <w:lang w:val="en-US" w:eastAsia="zh-CN" w:bidi="ar-SA"/>
              </w:rPr>
              <w:t>创宇光电年产200万片光学元器件项目</w:t>
            </w:r>
            <w:r>
              <w:rPr>
                <w:rFonts w:hint="eastAsia" w:ascii="Times New Roman" w:hAnsi="Times New Roman" w:eastAsia="宋体" w:cs="宋体"/>
                <w:color w:val="auto"/>
                <w:kern w:val="2"/>
                <w:sz w:val="24"/>
                <w:szCs w:val="24"/>
                <w:lang w:val="en-US" w:eastAsia="zh-CN" w:bidi="ar-SA"/>
              </w:rPr>
              <w:t>；</w:t>
            </w:r>
          </w:p>
          <w:p w14:paraId="4138AEA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（2）建设单位：</w:t>
            </w:r>
            <w:r>
              <w:rPr>
                <w:rFonts w:hint="eastAsia" w:cs="宋体"/>
                <w:color w:val="auto"/>
                <w:kern w:val="2"/>
                <w:sz w:val="24"/>
                <w:szCs w:val="24"/>
                <w:lang w:val="en-US" w:eastAsia="zh-CN" w:bidi="ar-SA"/>
              </w:rPr>
              <w:t>福州创宇光电有限公司</w:t>
            </w:r>
            <w:r>
              <w:rPr>
                <w:rFonts w:hint="eastAsia" w:ascii="Times New Roman" w:hAnsi="Times New Roman" w:eastAsia="宋体" w:cs="宋体"/>
                <w:color w:val="auto"/>
                <w:kern w:val="2"/>
                <w:sz w:val="24"/>
                <w:szCs w:val="24"/>
                <w:lang w:val="en-US" w:eastAsia="zh-CN" w:bidi="ar-SA"/>
              </w:rPr>
              <w:t>；</w:t>
            </w:r>
          </w:p>
          <w:p w14:paraId="573FD90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（3）建设地点：</w:t>
            </w:r>
            <w:r>
              <w:rPr>
                <w:rFonts w:hint="eastAsia" w:ascii="Times New Roman" w:hAnsi="Times New Roman" w:eastAsia="宋体" w:cs="宋体"/>
                <w:color w:val="auto"/>
                <w:kern w:val="2"/>
                <w:sz w:val="24"/>
                <w:szCs w:val="24"/>
                <w:lang w:val="en-US" w:eastAsia="zh-CN" w:bidi="ar-SA"/>
              </w:rPr>
              <w:t>福建省福州市闽侯县上街镇马保村后园32号2号楼1层；</w:t>
            </w:r>
          </w:p>
          <w:p w14:paraId="57AF4AAA">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（4）项目</w:t>
            </w:r>
            <w:r>
              <w:rPr>
                <w:rFonts w:hint="eastAsia" w:cs="宋体"/>
                <w:color w:val="auto"/>
                <w:kern w:val="2"/>
                <w:sz w:val="24"/>
                <w:szCs w:val="24"/>
                <w:lang w:val="en-US" w:eastAsia="zh-CN" w:bidi="ar-SA"/>
              </w:rPr>
              <w:t>拟</w:t>
            </w:r>
            <w:r>
              <w:rPr>
                <w:rFonts w:hint="default" w:ascii="Times New Roman" w:hAnsi="Times New Roman" w:eastAsia="宋体" w:cs="宋体"/>
                <w:color w:val="auto"/>
                <w:kern w:val="2"/>
                <w:sz w:val="24"/>
                <w:szCs w:val="24"/>
                <w:lang w:val="en-US" w:eastAsia="zh-CN" w:bidi="ar-SA"/>
              </w:rPr>
              <w:t>投资：</w:t>
            </w:r>
            <w:r>
              <w:rPr>
                <w:rFonts w:hint="eastAsia" w:cs="宋体"/>
                <w:color w:val="auto"/>
                <w:kern w:val="2"/>
                <w:sz w:val="24"/>
                <w:szCs w:val="24"/>
                <w:lang w:val="en-US" w:eastAsia="zh-CN" w:bidi="ar-SA"/>
              </w:rPr>
              <w:t>1000</w:t>
            </w:r>
            <w:r>
              <w:rPr>
                <w:rFonts w:hint="default" w:ascii="Times New Roman" w:hAnsi="Times New Roman" w:eastAsia="宋体" w:cs="宋体"/>
                <w:color w:val="auto"/>
                <w:kern w:val="2"/>
                <w:sz w:val="24"/>
                <w:szCs w:val="24"/>
                <w:lang w:val="en-US" w:eastAsia="zh-CN" w:bidi="ar-SA"/>
              </w:rPr>
              <w:t>万元</w:t>
            </w:r>
            <w:r>
              <w:rPr>
                <w:rFonts w:hint="eastAsia" w:ascii="Times New Roman" w:hAnsi="Times New Roman" w:eastAsia="宋体" w:cs="宋体"/>
                <w:color w:val="auto"/>
                <w:kern w:val="2"/>
                <w:sz w:val="24"/>
                <w:szCs w:val="24"/>
                <w:lang w:val="en-US" w:eastAsia="zh-CN" w:bidi="ar-SA"/>
              </w:rPr>
              <w:t>；</w:t>
            </w:r>
          </w:p>
          <w:p w14:paraId="0DE58436">
            <w:pPr>
              <w:widowControl w:val="0"/>
              <w:bidi w:val="0"/>
              <w:spacing w:line="360" w:lineRule="auto"/>
              <w:ind w:firstLine="480" w:firstLineChars="200"/>
              <w:jc w:val="both"/>
              <w:rPr>
                <w:rFonts w:hint="default" w:ascii="Times New Roman" w:hAnsi="Times New Roman" w:eastAsia="宋体" w:cs="宋体"/>
                <w:color w:val="auto"/>
                <w:kern w:val="2"/>
                <w:sz w:val="24"/>
                <w:szCs w:val="24"/>
                <w:vertAlign w:val="baseline"/>
                <w:lang w:val="en-US" w:eastAsia="zh-CN" w:bidi="ar-SA"/>
              </w:rPr>
            </w:pPr>
            <w:r>
              <w:rPr>
                <w:rFonts w:hint="default" w:ascii="Times New Roman" w:hAnsi="Times New Roman" w:eastAsia="宋体" w:cs="宋体"/>
                <w:color w:val="auto"/>
                <w:kern w:val="2"/>
                <w:sz w:val="24"/>
                <w:szCs w:val="24"/>
                <w:lang w:val="en-US" w:eastAsia="zh-CN" w:bidi="ar-SA"/>
              </w:rPr>
              <w:t>（5）建设规模：</w:t>
            </w:r>
            <w:r>
              <w:rPr>
                <w:rFonts w:hint="eastAsia" w:ascii="Times New Roman" w:hAnsi="Times New Roman" w:eastAsia="宋体" w:cs="宋体"/>
                <w:color w:val="auto"/>
                <w:kern w:val="2"/>
                <w:sz w:val="24"/>
                <w:szCs w:val="24"/>
                <w:lang w:val="en-US" w:eastAsia="zh-CN" w:bidi="ar-SA"/>
              </w:rPr>
              <w:t>建筑</w:t>
            </w:r>
            <w:r>
              <w:rPr>
                <w:rFonts w:hint="default" w:ascii="Times New Roman" w:hAnsi="Times New Roman" w:eastAsia="宋体" w:cs="宋体"/>
                <w:color w:val="auto"/>
                <w:kern w:val="2"/>
                <w:sz w:val="24"/>
                <w:szCs w:val="24"/>
                <w:lang w:val="en-US" w:eastAsia="zh-CN" w:bidi="ar-SA"/>
              </w:rPr>
              <w:t>面积</w:t>
            </w:r>
            <w:r>
              <w:rPr>
                <w:rFonts w:hint="eastAsia" w:cs="宋体"/>
                <w:color w:val="auto"/>
                <w:kern w:val="2"/>
                <w:sz w:val="24"/>
                <w:szCs w:val="24"/>
                <w:lang w:val="en-US" w:eastAsia="zh-CN" w:bidi="ar-SA"/>
              </w:rPr>
              <w:t>2100</w:t>
            </w:r>
            <w:r>
              <w:rPr>
                <w:rFonts w:hint="default" w:ascii="Times New Roman" w:hAnsi="Times New Roman" w:eastAsia="宋体" w:cs="宋体"/>
                <w:color w:val="auto"/>
                <w:kern w:val="2"/>
                <w:sz w:val="24"/>
                <w:szCs w:val="24"/>
                <w:lang w:val="en-US" w:eastAsia="zh-CN" w:bidi="ar-SA"/>
              </w:rPr>
              <w:t>m</w:t>
            </w:r>
            <w:r>
              <w:rPr>
                <w:rFonts w:hint="default" w:ascii="Times New Roman" w:hAnsi="Times New Roman" w:eastAsia="宋体" w:cs="宋体"/>
                <w:color w:val="auto"/>
                <w:kern w:val="2"/>
                <w:sz w:val="24"/>
                <w:szCs w:val="24"/>
                <w:vertAlign w:val="superscript"/>
                <w:lang w:val="en-US" w:eastAsia="zh-CN" w:bidi="ar-SA"/>
              </w:rPr>
              <w:t>2</w:t>
            </w:r>
            <w:r>
              <w:rPr>
                <w:rFonts w:hint="eastAsia" w:ascii="Times New Roman" w:hAnsi="Times New Roman" w:eastAsia="宋体" w:cs="宋体"/>
                <w:color w:val="auto"/>
                <w:kern w:val="2"/>
                <w:sz w:val="24"/>
                <w:szCs w:val="24"/>
                <w:vertAlign w:val="baseline"/>
                <w:lang w:val="en-US" w:eastAsia="zh-CN" w:bidi="ar-SA"/>
              </w:rPr>
              <w:t>；</w:t>
            </w:r>
          </w:p>
          <w:p w14:paraId="2CAA9C7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（6）生产规模：</w:t>
            </w:r>
            <w:r>
              <w:rPr>
                <w:rFonts w:ascii="Times New Roman" w:hAnsi="Times New Roman" w:eastAsia="宋体" w:cs="宋体"/>
                <w:color w:val="auto"/>
                <w:spacing w:val="-2"/>
                <w:sz w:val="24"/>
                <w:szCs w:val="24"/>
              </w:rPr>
              <w:t>年产200万片</w:t>
            </w:r>
            <w:r>
              <w:rPr>
                <w:rFonts w:hint="eastAsia" w:ascii="Times New Roman" w:hAnsi="Times New Roman" w:eastAsia="宋体" w:cs="宋体"/>
                <w:color w:val="auto"/>
                <w:spacing w:val="-2"/>
                <w:sz w:val="24"/>
                <w:szCs w:val="24"/>
                <w:lang w:val="en-US" w:eastAsia="zh-CN"/>
              </w:rPr>
              <w:t>光学元器件</w:t>
            </w:r>
            <w:r>
              <w:rPr>
                <w:rFonts w:ascii="Times New Roman" w:hAnsi="Times New Roman" w:eastAsia="宋体" w:cs="宋体"/>
                <w:color w:val="auto"/>
                <w:spacing w:val="-2"/>
                <w:sz w:val="24"/>
                <w:szCs w:val="24"/>
              </w:rPr>
              <w:t>项目</w:t>
            </w:r>
            <w:r>
              <w:rPr>
                <w:rFonts w:hint="eastAsia" w:ascii="Times New Roman" w:hAnsi="Times New Roman" w:eastAsia="宋体" w:cs="宋体"/>
                <w:color w:val="auto"/>
                <w:kern w:val="2"/>
                <w:sz w:val="24"/>
                <w:szCs w:val="24"/>
                <w:lang w:val="en-US" w:eastAsia="zh-CN" w:bidi="ar-SA"/>
              </w:rPr>
              <w:t>；</w:t>
            </w:r>
          </w:p>
          <w:p w14:paraId="7347E2B5">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（7）职工人数：</w:t>
            </w:r>
            <w:r>
              <w:rPr>
                <w:rFonts w:hint="eastAsia" w:cs="宋体"/>
                <w:color w:val="auto"/>
                <w:kern w:val="2"/>
                <w:sz w:val="24"/>
                <w:szCs w:val="24"/>
                <w:lang w:val="en-US" w:eastAsia="zh-CN" w:bidi="ar-SA"/>
              </w:rPr>
              <w:t>项目</w:t>
            </w:r>
            <w:r>
              <w:rPr>
                <w:rFonts w:hint="default" w:ascii="Times New Roman" w:hAnsi="Times New Roman" w:eastAsia="宋体" w:cs="宋体"/>
                <w:color w:val="auto"/>
                <w:kern w:val="2"/>
                <w:sz w:val="24"/>
                <w:szCs w:val="24"/>
                <w:lang w:val="en-US" w:eastAsia="zh-CN" w:bidi="ar-SA"/>
              </w:rPr>
              <w:t>劳动定员</w:t>
            </w:r>
            <w:r>
              <w:rPr>
                <w:rFonts w:hint="eastAsia" w:cs="宋体"/>
                <w:color w:val="auto"/>
                <w:kern w:val="2"/>
                <w:sz w:val="24"/>
                <w:szCs w:val="24"/>
                <w:lang w:val="en-US" w:eastAsia="zh-CN" w:bidi="ar-SA"/>
              </w:rPr>
              <w:t>60</w:t>
            </w:r>
            <w:r>
              <w:rPr>
                <w:rFonts w:hint="default" w:ascii="Times New Roman" w:hAnsi="Times New Roman" w:eastAsia="宋体" w:cs="宋体"/>
                <w:color w:val="auto"/>
                <w:kern w:val="2"/>
                <w:sz w:val="24"/>
                <w:szCs w:val="24"/>
                <w:lang w:val="en-US" w:eastAsia="zh-CN" w:bidi="ar-SA"/>
              </w:rPr>
              <w:t>人</w:t>
            </w:r>
            <w:r>
              <w:rPr>
                <w:rFonts w:hint="eastAsia" w:ascii="Times New Roman" w:hAnsi="Times New Roman"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不</w:t>
            </w:r>
            <w:r>
              <w:rPr>
                <w:rFonts w:hint="eastAsia" w:cs="宋体"/>
                <w:color w:val="auto"/>
                <w:kern w:val="2"/>
                <w:sz w:val="24"/>
                <w:szCs w:val="24"/>
                <w:lang w:val="en-US" w:eastAsia="zh-CN" w:bidi="ar-SA"/>
              </w:rPr>
              <w:t>设置食</w:t>
            </w:r>
            <w:r>
              <w:rPr>
                <w:rFonts w:hint="default" w:ascii="Times New Roman" w:hAnsi="Times New Roman" w:eastAsia="宋体" w:cs="宋体"/>
                <w:color w:val="auto"/>
                <w:kern w:val="2"/>
                <w:sz w:val="24"/>
                <w:szCs w:val="24"/>
                <w:lang w:val="en-US" w:eastAsia="zh-CN" w:bidi="ar-SA"/>
              </w:rPr>
              <w:t>宿</w:t>
            </w:r>
            <w:r>
              <w:rPr>
                <w:rFonts w:hint="eastAsia" w:ascii="Times New Roman" w:hAnsi="Times New Roman" w:eastAsia="宋体" w:cs="宋体"/>
                <w:color w:val="auto"/>
                <w:kern w:val="2"/>
                <w:sz w:val="24"/>
                <w:szCs w:val="24"/>
                <w:lang w:val="en-US" w:eastAsia="zh-CN" w:bidi="ar-SA"/>
              </w:rPr>
              <w:t>；</w:t>
            </w:r>
          </w:p>
          <w:p w14:paraId="2808CC4B">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（8）工作制度</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年工作</w:t>
            </w:r>
            <w:r>
              <w:rPr>
                <w:rFonts w:hint="eastAsia" w:cs="宋体"/>
                <w:color w:val="auto"/>
                <w:kern w:val="2"/>
                <w:sz w:val="24"/>
                <w:szCs w:val="24"/>
                <w:lang w:val="en-US" w:eastAsia="zh-CN" w:bidi="ar-SA"/>
              </w:rPr>
              <w:t>300</w:t>
            </w:r>
            <w:r>
              <w:rPr>
                <w:rFonts w:hint="default" w:ascii="Times New Roman" w:hAnsi="Times New Roman" w:eastAsia="宋体" w:cs="宋体"/>
                <w:color w:val="auto"/>
                <w:kern w:val="2"/>
                <w:sz w:val="24"/>
                <w:szCs w:val="24"/>
                <w:lang w:val="en-US" w:eastAsia="zh-CN" w:bidi="ar-SA"/>
              </w:rPr>
              <w:t>天，</w:t>
            </w:r>
            <w:r>
              <w:rPr>
                <w:rFonts w:hint="eastAsia" w:ascii="Times New Roman" w:hAnsi="Times New Roman" w:eastAsia="宋体" w:cs="宋体"/>
                <w:color w:val="auto"/>
                <w:kern w:val="2"/>
                <w:sz w:val="24"/>
                <w:szCs w:val="24"/>
                <w:lang w:val="en-US" w:eastAsia="zh-CN" w:bidi="ar-SA"/>
              </w:rPr>
              <w:t>单</w:t>
            </w:r>
            <w:r>
              <w:rPr>
                <w:rFonts w:hint="default" w:ascii="Times New Roman" w:hAnsi="Times New Roman" w:eastAsia="宋体" w:cs="宋体"/>
                <w:color w:val="auto"/>
                <w:kern w:val="2"/>
                <w:sz w:val="24"/>
                <w:szCs w:val="24"/>
                <w:lang w:val="en-US" w:eastAsia="zh-CN" w:bidi="ar-SA"/>
              </w:rPr>
              <w:t>班制，每班</w:t>
            </w:r>
            <w:r>
              <w:rPr>
                <w:rFonts w:hint="eastAsia" w:ascii="Times New Roman" w:hAnsi="Times New Roman" w:eastAsia="宋体" w:cs="宋体"/>
                <w:color w:val="auto"/>
                <w:kern w:val="2"/>
                <w:sz w:val="24"/>
                <w:szCs w:val="24"/>
                <w:lang w:val="en-US" w:eastAsia="zh-CN" w:bidi="ar-SA"/>
              </w:rPr>
              <w:t>8</w:t>
            </w:r>
            <w:r>
              <w:rPr>
                <w:rFonts w:hint="default" w:ascii="Times New Roman" w:hAnsi="Times New Roman" w:eastAsia="宋体" w:cs="宋体"/>
                <w:color w:val="auto"/>
                <w:kern w:val="2"/>
                <w:sz w:val="24"/>
                <w:szCs w:val="24"/>
                <w:lang w:val="en-US" w:eastAsia="zh-CN" w:bidi="ar-SA"/>
              </w:rPr>
              <w:t>小时</w:t>
            </w:r>
            <w:r>
              <w:rPr>
                <w:rFonts w:hint="eastAsia" w:ascii="Times New Roman" w:hAnsi="Times New Roman" w:eastAsia="宋体" w:cs="宋体"/>
                <w:color w:val="auto"/>
                <w:kern w:val="2"/>
                <w:sz w:val="24"/>
                <w:szCs w:val="24"/>
                <w:lang w:val="en-US" w:eastAsia="zh-CN" w:bidi="ar-SA"/>
              </w:rPr>
              <w:t>；</w:t>
            </w:r>
          </w:p>
          <w:p w14:paraId="29784983">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（9）建设性质：</w:t>
            </w:r>
            <w:r>
              <w:rPr>
                <w:rFonts w:hint="eastAsia" w:cs="宋体"/>
                <w:color w:val="auto"/>
                <w:kern w:val="2"/>
                <w:sz w:val="24"/>
                <w:szCs w:val="24"/>
                <w:lang w:val="en-US" w:eastAsia="zh-CN" w:bidi="ar-SA"/>
              </w:rPr>
              <w:t>新</w:t>
            </w:r>
            <w:r>
              <w:rPr>
                <w:rFonts w:hint="default" w:ascii="Times New Roman" w:hAnsi="Times New Roman" w:eastAsia="宋体" w:cs="宋体"/>
                <w:color w:val="auto"/>
                <w:kern w:val="2"/>
                <w:sz w:val="24"/>
                <w:szCs w:val="24"/>
                <w:lang w:val="en-US" w:eastAsia="zh-CN" w:bidi="ar-SA"/>
              </w:rPr>
              <w:t>建</w:t>
            </w:r>
            <w:r>
              <w:rPr>
                <w:rFonts w:hint="eastAsia" w:ascii="Times New Roman" w:hAnsi="Times New Roman" w:eastAsia="宋体" w:cs="宋体"/>
                <w:color w:val="auto"/>
                <w:kern w:val="2"/>
                <w:sz w:val="24"/>
                <w:szCs w:val="24"/>
                <w:lang w:val="en-US" w:eastAsia="zh-CN" w:bidi="ar-SA"/>
              </w:rPr>
              <w:t>。</w:t>
            </w:r>
          </w:p>
          <w:p w14:paraId="5AFFC45E">
            <w:pPr>
              <w:pStyle w:val="43"/>
              <w:keepNext w:val="0"/>
              <w:keepLines w:val="0"/>
              <w:pageBreakBefore w:val="0"/>
              <w:widowControl/>
              <w:kinsoku/>
              <w:wordWrap/>
              <w:overflowPunct/>
              <w:topLinePunct w:val="0"/>
              <w:autoSpaceDE/>
              <w:autoSpaceDN/>
              <w:bidi w:val="0"/>
              <w:adjustRightInd/>
              <w:snapToGrid/>
              <w:spacing w:line="360" w:lineRule="auto"/>
              <w:ind w:left="0"/>
              <w:textAlignment w:val="auto"/>
              <w:outlineLvl w:val="9"/>
              <w:rPr>
                <w:rFonts w:ascii="Times New Roman" w:hAnsi="Times New Roman" w:eastAsia="宋体" w:cs="Times New Roman"/>
                <w:b/>
                <w:bCs/>
                <w:color w:val="auto"/>
                <w:spacing w:val="-2"/>
                <w:sz w:val="24"/>
                <w:szCs w:val="24"/>
                <w:lang w:eastAsia="zh-CN"/>
              </w:rPr>
            </w:pPr>
            <w:r>
              <w:rPr>
                <w:rFonts w:ascii="Times New Roman" w:hAnsi="Times New Roman" w:eastAsia="宋体" w:cs="Times New Roman"/>
                <w:b/>
                <w:bCs/>
                <w:color w:val="auto"/>
                <w:spacing w:val="-2"/>
                <w:sz w:val="24"/>
                <w:szCs w:val="24"/>
                <w:lang w:eastAsia="zh-CN"/>
              </w:rPr>
              <w:t>2.1.3项目产品方案</w:t>
            </w:r>
          </w:p>
          <w:p w14:paraId="6EC70DC8">
            <w:pPr>
              <w:pStyle w:val="43"/>
              <w:keepNext w:val="0"/>
              <w:keepLines w:val="0"/>
              <w:pageBreakBefore w:val="0"/>
              <w:widowControl w:val="0"/>
              <w:kinsoku/>
              <w:wordWrap/>
              <w:overflowPunct/>
              <w:topLinePunct w:val="0"/>
              <w:autoSpaceDE/>
              <w:autoSpaceDN/>
              <w:bidi w:val="0"/>
              <w:adjustRightInd/>
              <w:snapToGrid/>
              <w:spacing w:line="360" w:lineRule="auto"/>
              <w:ind w:left="0" w:firstLine="472" w:firstLineChars="200"/>
              <w:textAlignment w:val="auto"/>
              <w:rPr>
                <w:rFonts w:ascii="Times New Roman" w:hAnsi="Times New Roman"/>
                <w:color w:val="auto"/>
                <w:sz w:val="24"/>
                <w:szCs w:val="24"/>
              </w:rPr>
            </w:pPr>
            <w:r>
              <w:rPr>
                <w:rFonts w:ascii="Times New Roman" w:hAnsi="Times New Roman"/>
                <w:color w:val="auto"/>
                <w:spacing w:val="-2"/>
                <w:sz w:val="24"/>
                <w:szCs w:val="24"/>
              </w:rPr>
              <w:t>本项目产品方案见表</w:t>
            </w:r>
            <w:r>
              <w:rPr>
                <w:rFonts w:ascii="Times New Roman" w:hAnsi="Times New Roman" w:eastAsia="Times New Roman" w:cs="Times New Roman"/>
                <w:color w:val="auto"/>
                <w:spacing w:val="-2"/>
                <w:sz w:val="24"/>
                <w:szCs w:val="24"/>
              </w:rPr>
              <w:t>2.1-2</w:t>
            </w:r>
            <w:r>
              <w:rPr>
                <w:rFonts w:ascii="Times New Roman" w:hAnsi="Times New Roman"/>
                <w:color w:val="auto"/>
                <w:spacing w:val="-2"/>
                <w:sz w:val="24"/>
                <w:szCs w:val="24"/>
              </w:rPr>
              <w:t>。</w:t>
            </w:r>
          </w:p>
          <w:p w14:paraId="721287D8">
            <w:pPr>
              <w:pStyle w:val="4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b/>
                <w:bCs/>
                <w:color w:val="auto"/>
                <w:spacing w:val="-2"/>
                <w:sz w:val="24"/>
                <w:szCs w:val="24"/>
              </w:rPr>
            </w:pPr>
            <w:r>
              <w:rPr>
                <w:rFonts w:ascii="Times New Roman" w:hAnsi="Times New Roman"/>
                <w:b/>
                <w:bCs/>
                <w:color w:val="auto"/>
                <w:spacing w:val="-2"/>
                <w:sz w:val="24"/>
                <w:szCs w:val="24"/>
              </w:rPr>
              <w:t>表</w:t>
            </w:r>
            <w:r>
              <w:rPr>
                <w:rFonts w:ascii="Times New Roman" w:hAnsi="Times New Roman" w:eastAsia="Times New Roman" w:cs="Times New Roman"/>
                <w:b/>
                <w:bCs/>
                <w:color w:val="auto"/>
                <w:spacing w:val="-2"/>
                <w:sz w:val="24"/>
                <w:szCs w:val="24"/>
              </w:rPr>
              <w:t>2.1-2</w:t>
            </w:r>
            <w:r>
              <w:rPr>
                <w:rFonts w:hint="eastAsia" w:ascii="Times New Roman" w:hAnsi="Times New Roman" w:eastAsia="宋体" w:cs="Times New Roman"/>
                <w:b/>
                <w:bCs/>
                <w:color w:val="auto"/>
                <w:spacing w:val="-2"/>
                <w:sz w:val="24"/>
                <w:szCs w:val="24"/>
                <w:lang w:val="en-US" w:eastAsia="zh-CN"/>
              </w:rPr>
              <w:t xml:space="preserve">  </w:t>
            </w:r>
            <w:r>
              <w:rPr>
                <w:rFonts w:ascii="Times New Roman" w:hAnsi="Times New Roman"/>
                <w:b/>
                <w:bCs/>
                <w:color w:val="auto"/>
                <w:spacing w:val="-2"/>
                <w:sz w:val="24"/>
                <w:szCs w:val="24"/>
              </w:rPr>
              <w:t>本项目产品方案一览表</w:t>
            </w:r>
          </w:p>
          <w:p w14:paraId="64994599">
            <w:pPr>
              <w:pStyle w:val="4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b/>
                <w:bCs/>
                <w:color w:val="auto"/>
                <w:spacing w:val="-2"/>
                <w:sz w:val="24"/>
                <w:szCs w:val="24"/>
                <w:lang w:val="en-US" w:eastAsia="zh-CN"/>
              </w:rPr>
            </w:pPr>
            <w:r>
              <w:rPr>
                <w:rFonts w:hint="eastAsia" w:ascii="Times New Roman" w:hAnsi="Times New Roman"/>
                <w:b/>
                <w:bCs/>
                <w:color w:val="auto"/>
                <w:spacing w:val="-2"/>
                <w:sz w:val="24"/>
                <w:szCs w:val="24"/>
                <w:lang w:val="en-US" w:eastAsia="zh-CN"/>
              </w:rPr>
              <w:t>*</w:t>
            </w:r>
          </w:p>
          <w:p w14:paraId="47627590">
            <w:pPr>
              <w:pStyle w:val="4"/>
              <w:bidi w:val="0"/>
              <w:rPr>
                <w:rFonts w:hint="eastAsia" w:ascii="Times New Roman" w:hAnsi="Times New Roman"/>
                <w:color w:val="auto"/>
                <w:lang w:val="en-US" w:eastAsia="zh-CN"/>
              </w:rPr>
            </w:pPr>
            <w:bookmarkStart w:id="30" w:name="_Toc11254"/>
            <w:r>
              <w:rPr>
                <w:rFonts w:hint="eastAsia" w:ascii="Times New Roman" w:hAnsi="Times New Roman"/>
                <w:color w:val="auto"/>
                <w:lang w:val="en-US" w:eastAsia="zh-CN"/>
              </w:rPr>
              <w:t>2.1.4项目组成及建设内容</w:t>
            </w:r>
            <w:bookmarkEnd w:id="30"/>
          </w:p>
          <w:p w14:paraId="2EF24A3C">
            <w:pPr>
              <w:pStyle w:val="5"/>
              <w:bidi w:val="0"/>
              <w:rPr>
                <w:rFonts w:hint="eastAsia" w:ascii="Times New Roman" w:hAnsi="Times New Roman"/>
                <w:color w:val="auto"/>
                <w:lang w:val="en-US" w:eastAsia="zh-CN"/>
              </w:rPr>
            </w:pPr>
            <w:r>
              <w:rPr>
                <w:rFonts w:hint="eastAsia"/>
                <w:color w:val="auto"/>
                <w:lang w:val="en-US" w:eastAsia="zh-CN"/>
              </w:rPr>
              <w:t>项目</w:t>
            </w:r>
            <w:r>
              <w:rPr>
                <w:rFonts w:hint="eastAsia" w:ascii="Times New Roman" w:hAnsi="Times New Roman"/>
                <w:color w:val="auto"/>
                <w:lang w:val="en-US" w:eastAsia="zh-CN"/>
              </w:rPr>
              <w:t>组成及建设内容见表2.1-3。</w:t>
            </w:r>
          </w:p>
          <w:p w14:paraId="7C5B6037">
            <w:pPr>
              <w:pStyle w:val="46"/>
              <w:bidi w:val="0"/>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表2.1-3  项目组成及建设内容一览表</w:t>
            </w:r>
          </w:p>
          <w:p w14:paraId="3ACD1E35">
            <w:pPr>
              <w:pStyle w:val="46"/>
              <w:bidi w:val="0"/>
              <w:rPr>
                <w:rFonts w:hint="default" w:ascii="Times New Roman" w:hAnsi="Times New Roman" w:eastAsia="宋体" w:cs="Times New Roman"/>
                <w:b/>
                <w:color w:val="auto"/>
                <w:kern w:val="0"/>
                <w:sz w:val="24"/>
                <w:szCs w:val="20"/>
                <w:lang w:val="en-US" w:eastAsia="zh-CN" w:bidi="ar-SA"/>
              </w:rPr>
            </w:pPr>
            <w:r>
              <w:rPr>
                <w:rFonts w:hint="eastAsia" w:cs="Times New Roman"/>
                <w:b/>
                <w:color w:val="auto"/>
                <w:kern w:val="0"/>
                <w:sz w:val="24"/>
                <w:szCs w:val="20"/>
                <w:lang w:val="en-US" w:eastAsia="zh-CN" w:bidi="ar-SA"/>
              </w:rPr>
              <w:t>*</w:t>
            </w:r>
          </w:p>
          <w:p w14:paraId="47CFB9B5">
            <w:pPr>
              <w:pStyle w:val="4"/>
              <w:bidi w:val="0"/>
              <w:rPr>
                <w:rFonts w:hint="eastAsia" w:ascii="Times New Roman" w:hAnsi="Times New Roman"/>
                <w:color w:val="auto"/>
                <w:lang w:val="en-US" w:eastAsia="zh-CN"/>
              </w:rPr>
            </w:pPr>
            <w:bookmarkStart w:id="31" w:name="_Toc19363"/>
            <w:r>
              <w:rPr>
                <w:rFonts w:hint="eastAsia" w:ascii="Times New Roman" w:hAnsi="Times New Roman"/>
                <w:color w:val="auto"/>
                <w:lang w:val="en-US" w:eastAsia="zh-CN"/>
              </w:rPr>
              <w:t>2.1.5项目主要生产设备</w:t>
            </w:r>
            <w:bookmarkEnd w:id="31"/>
          </w:p>
          <w:p w14:paraId="025F8381">
            <w:pPr>
              <w:pStyle w:val="27"/>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ind w:firstLine="482" w:firstLineChars="200"/>
              <w:jc w:val="both"/>
              <w:textAlignment w:val="auto"/>
              <w:rPr>
                <w:rFonts w:hint="eastAsia" w:ascii="Times New Roman" w:hAnsi="Times New Roman"/>
                <w:color w:val="auto"/>
                <w:lang w:val="en-US" w:eastAsia="zh-CN"/>
              </w:rPr>
            </w:pPr>
            <w:r>
              <w:rPr>
                <w:rFonts w:hint="eastAsia"/>
                <w:color w:val="auto"/>
                <w:lang w:val="en-US" w:eastAsia="zh-CN"/>
              </w:rPr>
              <w:t>项目</w:t>
            </w:r>
            <w:r>
              <w:rPr>
                <w:rFonts w:hint="eastAsia" w:ascii="Times New Roman" w:hAnsi="Times New Roman"/>
                <w:color w:val="auto"/>
                <w:lang w:val="en-US" w:eastAsia="zh-CN"/>
              </w:rPr>
              <w:t>主要设备见表2.1-4。</w:t>
            </w:r>
          </w:p>
          <w:p w14:paraId="67162C94">
            <w:pPr>
              <w:pStyle w:val="46"/>
              <w:bidi w:val="0"/>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表2.1-4  项目主要设备一览表</w:t>
            </w:r>
          </w:p>
          <w:p w14:paraId="71C40C80">
            <w:pPr>
              <w:pStyle w:val="46"/>
              <w:bidi w:val="0"/>
              <w:rPr>
                <w:rFonts w:hint="default" w:ascii="Times New Roman" w:hAnsi="Times New Roman" w:eastAsia="宋体" w:cs="Times New Roman"/>
                <w:b/>
                <w:color w:val="auto"/>
                <w:kern w:val="0"/>
                <w:sz w:val="24"/>
                <w:szCs w:val="20"/>
                <w:lang w:val="en-US" w:eastAsia="zh-CN" w:bidi="ar-SA"/>
              </w:rPr>
            </w:pPr>
            <w:r>
              <w:rPr>
                <w:rFonts w:hint="eastAsia" w:cs="Times New Roman"/>
                <w:b/>
                <w:color w:val="auto"/>
                <w:kern w:val="0"/>
                <w:sz w:val="24"/>
                <w:szCs w:val="20"/>
                <w:lang w:val="en-US" w:eastAsia="zh-CN" w:bidi="ar-SA"/>
              </w:rPr>
              <w:t>*</w:t>
            </w:r>
          </w:p>
          <w:p w14:paraId="51B69737">
            <w:pPr>
              <w:pStyle w:val="4"/>
              <w:bidi w:val="0"/>
              <w:rPr>
                <w:rFonts w:hint="eastAsia" w:ascii="Times New Roman" w:hAnsi="Times New Roman"/>
                <w:color w:val="auto"/>
                <w:lang w:val="en-US" w:eastAsia="zh-CN"/>
              </w:rPr>
            </w:pPr>
            <w:bookmarkStart w:id="32" w:name="_Toc30810"/>
            <w:r>
              <w:rPr>
                <w:rFonts w:hint="eastAsia" w:ascii="Times New Roman" w:hAnsi="Times New Roman"/>
                <w:color w:val="auto"/>
                <w:lang w:val="en-US" w:eastAsia="zh-CN"/>
              </w:rPr>
              <w:t>2.1.6主要原辅材料</w:t>
            </w:r>
            <w:bookmarkEnd w:id="32"/>
          </w:p>
          <w:p w14:paraId="37ACAE1E">
            <w:pPr>
              <w:pStyle w:val="46"/>
              <w:bidi w:val="0"/>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表2.1-5  项目主要原辅材料一览表</w:t>
            </w:r>
          </w:p>
          <w:p w14:paraId="30B92A1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宋体"/>
                <w:color w:val="auto"/>
                <w:sz w:val="24"/>
                <w:szCs w:val="24"/>
                <w:lang w:val="en-US" w:eastAsia="zh-CN"/>
              </w:rPr>
            </w:pPr>
            <w:r>
              <w:rPr>
                <w:rFonts w:hint="eastAsia" w:cs="宋体"/>
                <w:color w:val="auto"/>
                <w:kern w:val="2"/>
                <w:sz w:val="24"/>
                <w:szCs w:val="24"/>
                <w:lang w:val="en-US" w:eastAsia="zh-CN" w:bidi="ar-SA"/>
              </w:rPr>
              <w:t>*</w:t>
            </w:r>
            <w:bookmarkStart w:id="33" w:name="_Toc32402"/>
          </w:p>
          <w:p w14:paraId="6CDB177D">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2.1.7项目主要能源消耗</w:t>
            </w:r>
            <w:bookmarkEnd w:id="33"/>
          </w:p>
          <w:p w14:paraId="3A585B83">
            <w:pPr>
              <w:pStyle w:val="46"/>
              <w:bidi w:val="0"/>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表2.1-6  项目主要能源消耗一览表</w:t>
            </w:r>
          </w:p>
          <w:p w14:paraId="03E31C8B">
            <w:pPr>
              <w:pStyle w:val="46"/>
              <w:bidi w:val="0"/>
              <w:rPr>
                <w:rFonts w:hint="default" w:ascii="Times New Roman" w:hAnsi="Times New Roman" w:eastAsia="宋体" w:cs="Times New Roman"/>
                <w:b/>
                <w:color w:val="auto"/>
                <w:kern w:val="0"/>
                <w:sz w:val="24"/>
                <w:szCs w:val="20"/>
                <w:lang w:val="en-US" w:eastAsia="zh-CN" w:bidi="ar-SA"/>
              </w:rPr>
            </w:pPr>
            <w:r>
              <w:rPr>
                <w:rFonts w:hint="eastAsia" w:cs="Times New Roman"/>
                <w:b/>
                <w:color w:val="auto"/>
                <w:kern w:val="0"/>
                <w:sz w:val="24"/>
                <w:szCs w:val="20"/>
                <w:lang w:val="en-US" w:eastAsia="zh-CN" w:bidi="ar-SA"/>
              </w:rPr>
              <w:t>*</w:t>
            </w:r>
          </w:p>
          <w:p w14:paraId="0031A313">
            <w:pPr>
              <w:pStyle w:val="4"/>
              <w:bidi w:val="0"/>
              <w:rPr>
                <w:rFonts w:hint="eastAsia" w:ascii="Times New Roman" w:hAnsi="Times New Roman"/>
                <w:color w:val="auto"/>
                <w:lang w:val="en-US" w:eastAsia="zh-CN"/>
              </w:rPr>
            </w:pPr>
            <w:bookmarkStart w:id="34" w:name="_Toc20306"/>
            <w:r>
              <w:rPr>
                <w:rFonts w:hint="eastAsia" w:ascii="Times New Roman" w:hAnsi="Times New Roman"/>
                <w:color w:val="auto"/>
                <w:lang w:val="en-US" w:eastAsia="zh-CN"/>
              </w:rPr>
              <w:t>2.1.8项目水平衡</w:t>
            </w:r>
            <w:bookmarkEnd w:id="34"/>
          </w:p>
          <w:p w14:paraId="0FA9C6E8">
            <w:pPr>
              <w:pStyle w:val="4"/>
              <w:keepNext/>
              <w:keepLines/>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eastAsia="宋体" w:cs="宋体"/>
                <w:b w:val="0"/>
                <w:color w:val="auto"/>
                <w:kern w:val="2"/>
                <w:sz w:val="24"/>
                <w:szCs w:val="24"/>
                <w:lang w:val="en-US" w:eastAsia="zh-CN" w:bidi="ar-SA"/>
              </w:rPr>
            </w:pPr>
            <w:bookmarkStart w:id="35" w:name="_Toc4490"/>
            <w:r>
              <w:rPr>
                <w:rFonts w:hint="eastAsia" w:ascii="Times New Roman" w:hAnsi="Times New Roman" w:eastAsia="宋体" w:cs="宋体"/>
                <w:b w:val="0"/>
                <w:color w:val="auto"/>
                <w:kern w:val="2"/>
                <w:sz w:val="24"/>
                <w:szCs w:val="24"/>
                <w:lang w:val="en-US" w:eastAsia="zh-CN" w:bidi="ar-SA"/>
              </w:rPr>
              <w:t>生活污水经化粪池处理达标后排入市政管网，纳入大学城污水处理厂；铣磨废水、抛光废水、磨边废水、超洗废水经过三级沉淀池沉淀处理达标后排入市政管网，纳入大学城污水处理厂；纯水槽的纯水与非纯净废水直接排入市政管网，纳入大学城污水处理。</w:t>
            </w:r>
            <w:bookmarkEnd w:id="35"/>
          </w:p>
          <w:p w14:paraId="6FE4AC09">
            <w:pPr>
              <w:pStyle w:val="5"/>
              <w:bidi w:val="0"/>
              <w:rPr>
                <w:rFonts w:hint="eastAsia" w:ascii="Times New Roman" w:hAnsi="Times New Roman"/>
                <w:color w:val="auto"/>
                <w:lang w:val="en-US" w:eastAsia="zh-CN"/>
              </w:rPr>
            </w:pPr>
            <w:r>
              <w:rPr>
                <w:rFonts w:hint="eastAsia" w:ascii="Times New Roman" w:hAnsi="Times New Roman"/>
                <w:color w:val="auto"/>
                <w:lang w:val="en-US" w:eastAsia="zh-CN"/>
              </w:rPr>
              <w:t>①铣磨用水</w:t>
            </w:r>
          </w:p>
          <w:p w14:paraId="098B0799">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铣磨工序</w:t>
            </w:r>
            <w:r>
              <w:rPr>
                <w:rFonts w:hint="eastAsia" w:ascii="Times New Roman" w:hAnsi="Times New Roman"/>
                <w:color w:val="auto"/>
                <w:lang w:val="en-US" w:eastAsia="zh-CN"/>
              </w:rPr>
              <w:t>是</w:t>
            </w:r>
            <w:r>
              <w:rPr>
                <w:rFonts w:hint="default" w:ascii="Times New Roman" w:hAnsi="Times New Roman"/>
                <w:color w:val="auto"/>
                <w:lang w:val="en-US" w:eastAsia="zh-CN"/>
              </w:rPr>
              <w:t>在铣磨机上对光学玻璃进行铣磨操作。</w:t>
            </w:r>
            <w:r>
              <w:rPr>
                <w:rFonts w:hint="eastAsia" w:ascii="Times New Roman" w:hAnsi="Times New Roman" w:eastAsia="宋体" w:cs="宋体"/>
                <w:color w:val="auto"/>
                <w:kern w:val="2"/>
                <w:sz w:val="24"/>
                <w:szCs w:val="24"/>
                <w:highlight w:val="none"/>
                <w:lang w:val="en-US" w:eastAsia="zh-CN" w:bidi="ar-SA"/>
              </w:rPr>
              <w:t>铣磨新鲜水使用量为</w:t>
            </w:r>
            <w:r>
              <w:rPr>
                <w:rFonts w:hint="eastAsia" w:cs="宋体"/>
                <w:color w:val="auto"/>
                <w:kern w:val="2"/>
                <w:sz w:val="24"/>
                <w:szCs w:val="24"/>
                <w:highlight w:val="none"/>
                <w:lang w:val="en-US" w:eastAsia="zh-CN" w:bidi="ar-SA"/>
              </w:rPr>
              <w:t>4</w:t>
            </w:r>
            <w:r>
              <w:rPr>
                <w:rFonts w:hint="eastAsia" w:ascii="Times New Roman" w:hAnsi="Times New Roman" w:eastAsia="宋体" w:cs="宋体"/>
                <w:color w:val="auto"/>
                <w:kern w:val="2"/>
                <w:sz w:val="24"/>
                <w:szCs w:val="24"/>
                <w:highlight w:val="none"/>
                <w:lang w:val="en-US" w:eastAsia="zh-CN" w:bidi="ar-SA"/>
              </w:rPr>
              <w:t>00t/a，废水产生量为</w:t>
            </w:r>
            <w:r>
              <w:rPr>
                <w:rFonts w:hint="eastAsia" w:cs="宋体"/>
                <w:color w:val="auto"/>
                <w:kern w:val="2"/>
                <w:sz w:val="24"/>
                <w:szCs w:val="24"/>
                <w:highlight w:val="none"/>
                <w:lang w:val="en-US" w:eastAsia="zh-CN" w:bidi="ar-SA"/>
              </w:rPr>
              <w:t>4</w:t>
            </w:r>
            <w:r>
              <w:rPr>
                <w:rFonts w:hint="eastAsia" w:ascii="Times New Roman" w:hAnsi="Times New Roman" w:eastAsia="宋体" w:cs="宋体"/>
                <w:color w:val="auto"/>
                <w:kern w:val="2"/>
                <w:sz w:val="24"/>
                <w:szCs w:val="24"/>
                <w:highlight w:val="none"/>
                <w:lang w:val="en-US" w:eastAsia="zh-CN" w:bidi="ar-SA"/>
              </w:rPr>
              <w:t>00t/a</w:t>
            </w:r>
            <w:r>
              <w:rPr>
                <w:rFonts w:hint="default" w:ascii="Times New Roman" w:hAnsi="Times New Roman"/>
                <w:color w:val="auto"/>
                <w:lang w:val="en-US" w:eastAsia="zh-CN"/>
              </w:rPr>
              <w:t>。</w:t>
            </w:r>
          </w:p>
          <w:p w14:paraId="02BE20B1">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②磨边用水</w:t>
            </w:r>
          </w:p>
          <w:p w14:paraId="313247CD">
            <w:pPr>
              <w:pStyle w:val="5"/>
              <w:bidi w:val="0"/>
              <w:rPr>
                <w:rFonts w:hint="default" w:ascii="Times New Roman" w:hAnsi="Times New Roman"/>
                <w:color w:val="auto"/>
                <w:lang w:val="en-US" w:eastAsia="zh-CN"/>
              </w:rPr>
            </w:pPr>
            <w:r>
              <w:rPr>
                <w:rFonts w:hint="default" w:ascii="Times New Roman" w:hAnsi="Times New Roman" w:eastAsia="宋体" w:cs="宋体"/>
                <w:color w:val="auto"/>
                <w:kern w:val="2"/>
                <w:sz w:val="24"/>
                <w:szCs w:val="24"/>
                <w:highlight w:val="none"/>
                <w:lang w:val="en-US" w:eastAsia="zh-CN" w:bidi="ar-SA"/>
              </w:rPr>
              <w:t>磨边工序新鲜水使用量为</w:t>
            </w:r>
            <w:r>
              <w:rPr>
                <w:rFonts w:hint="eastAsia" w:cs="宋体"/>
                <w:color w:val="auto"/>
                <w:kern w:val="2"/>
                <w:sz w:val="24"/>
                <w:szCs w:val="24"/>
                <w:highlight w:val="none"/>
                <w:lang w:val="en-US" w:eastAsia="zh-CN" w:bidi="ar-SA"/>
              </w:rPr>
              <w:t>8</w:t>
            </w:r>
            <w:r>
              <w:rPr>
                <w:rFonts w:hint="eastAsia" w:ascii="Times New Roman" w:hAnsi="Times New Roman" w:eastAsia="宋体" w:cs="宋体"/>
                <w:color w:val="auto"/>
                <w:kern w:val="2"/>
                <w:sz w:val="24"/>
                <w:szCs w:val="24"/>
                <w:highlight w:val="none"/>
                <w:lang w:val="en-US" w:eastAsia="zh-CN" w:bidi="ar-SA"/>
              </w:rPr>
              <w:t>00</w:t>
            </w:r>
            <w:r>
              <w:rPr>
                <w:rFonts w:hint="default" w:ascii="Times New Roman" w:hAnsi="Times New Roman" w:eastAsia="宋体" w:cs="宋体"/>
                <w:color w:val="auto"/>
                <w:kern w:val="2"/>
                <w:sz w:val="24"/>
                <w:szCs w:val="24"/>
                <w:highlight w:val="none"/>
                <w:lang w:val="en-US" w:eastAsia="zh-CN" w:bidi="ar-SA"/>
              </w:rPr>
              <w:t>t/a，磨边废水产生量为</w:t>
            </w:r>
            <w:r>
              <w:rPr>
                <w:rFonts w:hint="eastAsia" w:cs="宋体"/>
                <w:color w:val="auto"/>
                <w:kern w:val="2"/>
                <w:sz w:val="24"/>
                <w:szCs w:val="24"/>
                <w:highlight w:val="none"/>
                <w:lang w:val="en-US" w:eastAsia="zh-CN" w:bidi="ar-SA"/>
              </w:rPr>
              <w:t>8</w:t>
            </w:r>
            <w:r>
              <w:rPr>
                <w:rFonts w:hint="eastAsia" w:ascii="Times New Roman" w:hAnsi="Times New Roman" w:eastAsia="宋体" w:cs="宋体"/>
                <w:color w:val="auto"/>
                <w:kern w:val="2"/>
                <w:sz w:val="24"/>
                <w:szCs w:val="24"/>
                <w:highlight w:val="none"/>
                <w:lang w:val="en-US" w:eastAsia="zh-CN" w:bidi="ar-SA"/>
              </w:rPr>
              <w:t>00</w:t>
            </w:r>
            <w:r>
              <w:rPr>
                <w:rFonts w:hint="default" w:ascii="Times New Roman" w:hAnsi="Times New Roman" w:eastAsia="宋体" w:cs="宋体"/>
                <w:color w:val="auto"/>
                <w:kern w:val="2"/>
                <w:sz w:val="24"/>
                <w:szCs w:val="24"/>
                <w:highlight w:val="none"/>
                <w:lang w:val="en-US" w:eastAsia="zh-CN" w:bidi="ar-SA"/>
              </w:rPr>
              <w:t>t/a</w:t>
            </w:r>
            <w:r>
              <w:rPr>
                <w:rFonts w:hint="default" w:ascii="Times New Roman" w:hAnsi="Times New Roman"/>
                <w:color w:val="auto"/>
                <w:lang w:val="en-US" w:eastAsia="zh-CN"/>
              </w:rPr>
              <w:t>。</w:t>
            </w:r>
          </w:p>
          <w:p w14:paraId="21841750">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③</w:t>
            </w:r>
            <w:r>
              <w:rPr>
                <w:rFonts w:hint="eastAsia"/>
                <w:color w:val="auto"/>
                <w:lang w:val="en-US" w:eastAsia="zh-CN"/>
              </w:rPr>
              <w:t>超洗废水</w:t>
            </w:r>
          </w:p>
          <w:p w14:paraId="2A8BECFF">
            <w:pPr>
              <w:pStyle w:val="5"/>
              <w:bidi w:val="0"/>
              <w:rPr>
                <w:rFonts w:hint="eastAsia"/>
                <w:color w:val="auto"/>
                <w:lang w:val="en-US" w:eastAsia="zh-CN"/>
              </w:rPr>
            </w:pPr>
            <w:r>
              <w:rPr>
                <w:rFonts w:hint="default" w:ascii="Times New Roman" w:hAnsi="Times New Roman" w:eastAsia="宋体" w:cs="宋体"/>
                <w:color w:val="auto"/>
                <w:kern w:val="2"/>
                <w:sz w:val="24"/>
                <w:szCs w:val="24"/>
                <w:highlight w:val="none"/>
                <w:lang w:val="en-US" w:eastAsia="zh-CN" w:bidi="ar-SA"/>
              </w:rPr>
              <w:t>本工序</w:t>
            </w:r>
            <w:r>
              <w:rPr>
                <w:rFonts w:hint="eastAsia" w:ascii="Times New Roman" w:hAnsi="Times New Roman" w:cs="宋体"/>
                <w:color w:val="auto"/>
                <w:kern w:val="2"/>
                <w:sz w:val="24"/>
                <w:szCs w:val="24"/>
                <w:highlight w:val="none"/>
                <w:lang w:val="en-US" w:eastAsia="zh-CN" w:bidi="ar-SA"/>
              </w:rPr>
              <w:t>纯水</w:t>
            </w:r>
            <w:r>
              <w:rPr>
                <w:rFonts w:hint="eastAsia" w:ascii="Times New Roman" w:hAnsi="Times New Roman" w:eastAsia="宋体" w:cs="宋体"/>
                <w:color w:val="auto"/>
                <w:kern w:val="2"/>
                <w:sz w:val="24"/>
                <w:szCs w:val="24"/>
                <w:highlight w:val="none"/>
                <w:lang w:val="en-US" w:eastAsia="zh-CN" w:bidi="ar-SA"/>
              </w:rPr>
              <w:t>制备</w:t>
            </w:r>
            <w:r>
              <w:rPr>
                <w:rFonts w:hint="eastAsia" w:ascii="Times New Roman" w:hAnsi="Times New Roman" w:cs="宋体"/>
                <w:color w:val="auto"/>
                <w:kern w:val="2"/>
                <w:sz w:val="24"/>
                <w:szCs w:val="24"/>
                <w:highlight w:val="none"/>
                <w:lang w:val="en-US" w:eastAsia="zh-CN" w:bidi="ar-SA"/>
              </w:rPr>
              <w:t>使用</w:t>
            </w:r>
            <w:r>
              <w:rPr>
                <w:rFonts w:hint="eastAsia" w:cs="宋体"/>
                <w:color w:val="auto"/>
                <w:kern w:val="2"/>
                <w:sz w:val="24"/>
                <w:szCs w:val="24"/>
                <w:highlight w:val="none"/>
                <w:lang w:val="en-US" w:eastAsia="zh-CN" w:bidi="ar-SA"/>
              </w:rPr>
              <w:t>24</w:t>
            </w:r>
            <w:r>
              <w:rPr>
                <w:rFonts w:hint="eastAsia" w:ascii="Times New Roman" w:hAnsi="Times New Roman" w:cs="宋体"/>
                <w:color w:val="auto"/>
                <w:kern w:val="2"/>
                <w:sz w:val="24"/>
                <w:szCs w:val="24"/>
                <w:highlight w:val="none"/>
                <w:lang w:val="en-US" w:eastAsia="zh-CN" w:bidi="ar-SA"/>
              </w:rPr>
              <w:t>00</w:t>
            </w:r>
            <w:r>
              <w:rPr>
                <w:rFonts w:hint="eastAsia" w:ascii="Times New Roman" w:hAnsi="Times New Roman" w:eastAsia="宋体" w:cs="宋体"/>
                <w:color w:val="auto"/>
                <w:kern w:val="2"/>
                <w:sz w:val="24"/>
                <w:szCs w:val="24"/>
                <w:highlight w:val="none"/>
                <w:lang w:val="en-US" w:eastAsia="zh-CN" w:bidi="ar-SA"/>
              </w:rPr>
              <w:t>t/a</w:t>
            </w:r>
            <w:r>
              <w:rPr>
                <w:rFonts w:hint="eastAsia" w:ascii="Times New Roman" w:hAnsi="Times New Roman" w:cs="宋体"/>
                <w:color w:val="auto"/>
                <w:kern w:val="2"/>
                <w:sz w:val="24"/>
                <w:szCs w:val="24"/>
                <w:highlight w:val="none"/>
                <w:lang w:val="en-US" w:eastAsia="zh-CN" w:bidi="ar-SA"/>
              </w:rPr>
              <w:t>新鲜水，</w:t>
            </w:r>
            <w:r>
              <w:rPr>
                <w:rFonts w:hint="eastAsia" w:ascii="Times New Roman" w:hAnsi="Times New Roman" w:eastAsia="宋体" w:cs="宋体"/>
                <w:color w:val="auto"/>
                <w:kern w:val="2"/>
                <w:sz w:val="24"/>
                <w:szCs w:val="24"/>
                <w:highlight w:val="none"/>
                <w:lang w:val="en-US" w:eastAsia="zh-CN" w:bidi="ar-SA"/>
              </w:rPr>
              <w:t>通过超声波清洗机对镜片进行超声波清洗</w:t>
            </w:r>
            <w:r>
              <w:rPr>
                <w:rFonts w:hint="default" w:ascii="Times New Roman" w:hAnsi="Times New Roman" w:eastAsia="宋体"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制备出纯净</w:t>
            </w:r>
            <w:r>
              <w:rPr>
                <w:rFonts w:hint="default" w:ascii="Times New Roman" w:hAnsi="Times New Roman" w:eastAsia="宋体" w:cs="宋体"/>
                <w:color w:val="auto"/>
                <w:kern w:val="2"/>
                <w:sz w:val="24"/>
                <w:szCs w:val="24"/>
                <w:highlight w:val="none"/>
                <w:lang w:val="en-US" w:eastAsia="zh-CN" w:bidi="ar-SA"/>
              </w:rPr>
              <w:t>水</w:t>
            </w:r>
            <w:r>
              <w:rPr>
                <w:rFonts w:hint="eastAsia" w:ascii="Times New Roman" w:hAnsi="Times New Roman" w:eastAsia="宋体" w:cs="宋体"/>
                <w:color w:val="auto"/>
                <w:kern w:val="2"/>
                <w:sz w:val="24"/>
                <w:szCs w:val="24"/>
                <w:highlight w:val="none"/>
                <w:lang w:val="en-US" w:eastAsia="zh-CN" w:bidi="ar-SA"/>
              </w:rPr>
              <w:t>的产生</w:t>
            </w:r>
            <w:r>
              <w:rPr>
                <w:rFonts w:hint="default" w:ascii="Times New Roman" w:hAnsi="Times New Roman" w:eastAsia="宋体" w:cs="宋体"/>
                <w:color w:val="auto"/>
                <w:kern w:val="2"/>
                <w:sz w:val="24"/>
                <w:szCs w:val="24"/>
                <w:highlight w:val="none"/>
                <w:lang w:val="en-US" w:eastAsia="zh-CN" w:bidi="ar-SA"/>
              </w:rPr>
              <w:t>量为</w:t>
            </w:r>
            <w:r>
              <w:rPr>
                <w:rFonts w:hint="eastAsia" w:cs="宋体"/>
                <w:color w:val="auto"/>
                <w:kern w:val="2"/>
                <w:sz w:val="24"/>
                <w:szCs w:val="24"/>
                <w:highlight w:val="none"/>
                <w:lang w:val="en-US" w:eastAsia="zh-CN" w:bidi="ar-SA"/>
              </w:rPr>
              <w:t>1440</w:t>
            </w:r>
            <w:r>
              <w:rPr>
                <w:rFonts w:hint="default" w:ascii="Times New Roman" w:hAnsi="Times New Roman" w:eastAsia="宋体" w:cs="宋体"/>
                <w:color w:val="auto"/>
                <w:kern w:val="2"/>
                <w:sz w:val="24"/>
                <w:szCs w:val="24"/>
                <w:highlight w:val="none"/>
                <w:lang w:val="en-US" w:eastAsia="zh-CN" w:bidi="ar-SA"/>
              </w:rPr>
              <w:t>t/a，</w:t>
            </w:r>
            <w:r>
              <w:rPr>
                <w:rFonts w:hint="eastAsia" w:ascii="Times New Roman" w:hAnsi="Times New Roman" w:eastAsia="宋体" w:cs="宋体"/>
                <w:color w:val="auto"/>
                <w:kern w:val="2"/>
                <w:sz w:val="24"/>
                <w:szCs w:val="24"/>
                <w:highlight w:val="none"/>
                <w:lang w:val="en-US" w:eastAsia="zh-CN" w:bidi="ar-SA"/>
              </w:rPr>
              <w:t>产生的</w:t>
            </w:r>
            <w:r>
              <w:rPr>
                <w:rFonts w:hint="eastAsia" w:cs="宋体"/>
                <w:color w:val="auto"/>
                <w:kern w:val="2"/>
                <w:sz w:val="24"/>
                <w:szCs w:val="24"/>
                <w:highlight w:val="none"/>
                <w:lang w:val="en-US" w:eastAsia="zh-CN" w:bidi="ar-SA"/>
              </w:rPr>
              <w:t>960</w:t>
            </w:r>
            <w:r>
              <w:rPr>
                <w:rFonts w:hint="eastAsia" w:ascii="Times New Roman" w:hAnsi="Times New Roman" w:eastAsia="宋体" w:cs="宋体"/>
                <w:color w:val="auto"/>
                <w:kern w:val="2"/>
                <w:sz w:val="24"/>
                <w:szCs w:val="24"/>
                <w:highlight w:val="none"/>
                <w:lang w:val="en-US" w:eastAsia="zh-CN" w:bidi="ar-SA"/>
              </w:rPr>
              <w:t>t/a非纯净水</w:t>
            </w:r>
            <w:r>
              <w:rPr>
                <w:rFonts w:hint="eastAsia"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lang w:val="en-US" w:eastAsia="zh-CN" w:bidi="ar-SA"/>
              </w:rPr>
              <w:t>除油剂槽的</w:t>
            </w:r>
            <w:r>
              <w:rPr>
                <w:rFonts w:hint="eastAsia" w:cs="宋体"/>
                <w:color w:val="auto"/>
                <w:kern w:val="2"/>
                <w:sz w:val="24"/>
                <w:szCs w:val="24"/>
                <w:lang w:val="en-US" w:eastAsia="zh-CN" w:bidi="ar-SA"/>
              </w:rPr>
              <w:t>废除油剂作为危险废物，委托有资质的单位</w:t>
            </w:r>
            <w:r>
              <w:rPr>
                <w:rFonts w:hint="eastAsia" w:ascii="Times New Roman" w:hAnsi="Times New Roman" w:eastAsia="宋体" w:cs="宋体"/>
                <w:color w:val="auto"/>
                <w:kern w:val="2"/>
                <w:sz w:val="24"/>
                <w:szCs w:val="24"/>
                <w:lang w:val="en-US" w:eastAsia="zh-CN" w:bidi="ar-SA"/>
              </w:rPr>
              <w:t>处理，产生量为</w:t>
            </w:r>
            <w:r>
              <w:rPr>
                <w:rFonts w:hint="eastAsia" w:cs="宋体"/>
                <w:color w:val="auto"/>
                <w:kern w:val="2"/>
                <w:sz w:val="24"/>
                <w:szCs w:val="24"/>
                <w:lang w:val="en-US" w:eastAsia="zh-CN" w:bidi="ar-SA"/>
              </w:rPr>
              <w:t>1.2</w:t>
            </w:r>
            <w:r>
              <w:rPr>
                <w:rFonts w:hint="eastAsia" w:ascii="Times New Roman" w:hAnsi="Times New Roman" w:eastAsia="宋体" w:cs="宋体"/>
                <w:color w:val="auto"/>
                <w:kern w:val="2"/>
                <w:sz w:val="24"/>
                <w:szCs w:val="24"/>
                <w:lang w:val="en-US" w:eastAsia="zh-CN" w:bidi="ar-SA"/>
              </w:rPr>
              <w:t>t/a</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highlight w:val="none"/>
                <w:lang w:val="en-US" w:eastAsia="zh-CN" w:bidi="ar-SA"/>
              </w:rPr>
              <w:t>药水槽中的清洗剂废水，</w:t>
            </w:r>
            <w:r>
              <w:rPr>
                <w:rFonts w:hint="eastAsia" w:ascii="Times New Roman" w:hAnsi="Times New Roman" w:eastAsia="宋体" w:cs="Times New Roman"/>
                <w:color w:val="auto"/>
                <w:sz w:val="24"/>
                <w:szCs w:val="20"/>
                <w:highlight w:val="none"/>
                <w:lang w:val="en-US" w:eastAsia="zh-CN"/>
              </w:rPr>
              <w:t>经过三级沉淀池沉淀处理达标</w:t>
            </w:r>
            <w:r>
              <w:rPr>
                <w:rFonts w:hint="eastAsia" w:cs="Times New Roman"/>
                <w:color w:val="auto"/>
                <w:sz w:val="24"/>
                <w:szCs w:val="20"/>
                <w:highlight w:val="none"/>
                <w:lang w:val="en-US" w:eastAsia="zh-CN"/>
              </w:rPr>
              <w:t>后进</w:t>
            </w:r>
            <w:r>
              <w:rPr>
                <w:rFonts w:hint="eastAsia" w:ascii="Times New Roman" w:hAnsi="Times New Roman" w:eastAsia="宋体" w:cs="Times New Roman"/>
                <w:color w:val="auto"/>
                <w:sz w:val="24"/>
                <w:szCs w:val="20"/>
                <w:highlight w:val="none"/>
                <w:lang w:val="en-US" w:eastAsia="zh-CN"/>
              </w:rPr>
              <w:t>入市政管网，纳入大学城污水处理厂，</w:t>
            </w:r>
            <w:r>
              <w:rPr>
                <w:rFonts w:hint="eastAsia" w:ascii="Times New Roman" w:hAnsi="Times New Roman" w:eastAsia="宋体" w:cs="宋体"/>
                <w:color w:val="auto"/>
                <w:kern w:val="2"/>
                <w:sz w:val="24"/>
                <w:szCs w:val="24"/>
                <w:highlight w:val="none"/>
                <w:lang w:val="en-US" w:eastAsia="zh-CN" w:bidi="ar-SA"/>
              </w:rPr>
              <w:t>排放量为</w:t>
            </w:r>
            <w:r>
              <w:rPr>
                <w:rFonts w:hint="eastAsia" w:cs="宋体"/>
                <w:color w:val="auto"/>
                <w:kern w:val="2"/>
                <w:sz w:val="24"/>
                <w:szCs w:val="24"/>
                <w:highlight w:val="none"/>
                <w:lang w:val="en-US" w:eastAsia="zh-CN" w:bidi="ar-SA"/>
              </w:rPr>
              <w:t>18.16</w:t>
            </w:r>
            <w:r>
              <w:rPr>
                <w:rFonts w:hint="eastAsia" w:ascii="Times New Roman" w:hAnsi="Times New Roman" w:eastAsia="宋体" w:cs="宋体"/>
                <w:color w:val="auto"/>
                <w:kern w:val="2"/>
                <w:sz w:val="24"/>
                <w:szCs w:val="24"/>
                <w:highlight w:val="none"/>
                <w:lang w:val="en-US" w:eastAsia="zh-CN" w:bidi="ar-SA"/>
              </w:rPr>
              <w:t>t/a；纯水槽中的纯净水直接排入市政管网，纳入大学城污水处理厂，排放量为</w:t>
            </w:r>
            <w:r>
              <w:rPr>
                <w:rFonts w:hint="eastAsia" w:cs="宋体"/>
                <w:color w:val="auto"/>
                <w:kern w:val="2"/>
                <w:sz w:val="24"/>
                <w:szCs w:val="24"/>
                <w:highlight w:val="none"/>
                <w:lang w:val="en-US" w:eastAsia="zh-CN" w:bidi="ar-SA"/>
              </w:rPr>
              <w:t>1280</w:t>
            </w:r>
            <w:r>
              <w:rPr>
                <w:rFonts w:hint="eastAsia" w:ascii="Times New Roman" w:hAnsi="Times New Roman" w:eastAsia="宋体" w:cs="宋体"/>
                <w:color w:val="auto"/>
                <w:kern w:val="2"/>
                <w:sz w:val="24"/>
                <w:szCs w:val="24"/>
                <w:highlight w:val="none"/>
                <w:lang w:val="en-US" w:eastAsia="zh-CN" w:bidi="ar-SA"/>
              </w:rPr>
              <w:t>t/a。</w:t>
            </w:r>
            <w:r>
              <w:rPr>
                <w:rFonts w:hint="eastAsia"/>
                <w:color w:val="auto"/>
                <w:lang w:val="en-US" w:eastAsia="zh-CN"/>
              </w:rPr>
              <w:t>由于纯水制备设备更新优化，</w:t>
            </w:r>
            <w:r>
              <w:rPr>
                <w:rFonts w:hint="default" w:ascii="Times New Roman" w:hAnsi="Times New Roman"/>
                <w:color w:val="auto"/>
                <w:lang w:val="en-US" w:eastAsia="zh-CN"/>
              </w:rPr>
              <w:t>本项目引用</w:t>
            </w:r>
            <w:r>
              <w:rPr>
                <w:rFonts w:hint="eastAsia"/>
                <w:color w:val="auto"/>
                <w:lang w:val="en-US" w:eastAsia="zh-CN"/>
              </w:rPr>
              <w:t>2400</w:t>
            </w:r>
            <w:r>
              <w:rPr>
                <w:rFonts w:hint="default" w:ascii="Times New Roman" w:hAnsi="Times New Roman"/>
                <w:color w:val="auto"/>
                <w:lang w:val="en-US" w:eastAsia="zh-CN"/>
              </w:rPr>
              <w:t>吨/年的新鲜水进行纯水制备，滤网、活性炭、石英砂过滤后</w:t>
            </w:r>
            <w:r>
              <w:rPr>
                <w:rFonts w:hint="eastAsia"/>
                <w:color w:val="auto"/>
                <w:lang w:val="en-US" w:eastAsia="zh-CN"/>
              </w:rPr>
              <w:t>（纯水制备设计方案详见附件十九），</w:t>
            </w:r>
            <w:r>
              <w:rPr>
                <w:rFonts w:hint="default" w:ascii="Times New Roman" w:hAnsi="Times New Roman"/>
                <w:color w:val="auto"/>
                <w:lang w:val="en-US" w:eastAsia="zh-CN"/>
              </w:rPr>
              <w:t>能制备出</w:t>
            </w:r>
            <w:r>
              <w:rPr>
                <w:rFonts w:hint="eastAsia"/>
                <w:color w:val="auto"/>
                <w:lang w:val="en-US" w:eastAsia="zh-CN"/>
              </w:rPr>
              <w:t>1440</w:t>
            </w:r>
            <w:r>
              <w:rPr>
                <w:rFonts w:hint="default" w:ascii="Times New Roman" w:hAnsi="Times New Roman"/>
                <w:color w:val="auto"/>
                <w:lang w:val="en-US" w:eastAsia="zh-CN"/>
              </w:rPr>
              <w:t>吨纯净水，同时产生</w:t>
            </w:r>
            <w:r>
              <w:rPr>
                <w:rFonts w:hint="eastAsia"/>
                <w:color w:val="auto"/>
                <w:lang w:val="en-US" w:eastAsia="zh-CN"/>
              </w:rPr>
              <w:t>960</w:t>
            </w:r>
            <w:r>
              <w:rPr>
                <w:rFonts w:hint="default" w:ascii="Times New Roman" w:hAnsi="Times New Roman"/>
                <w:color w:val="auto"/>
                <w:lang w:val="en-US" w:eastAsia="zh-CN"/>
              </w:rPr>
              <w:t>吨</w:t>
            </w:r>
            <w:r>
              <w:rPr>
                <w:rFonts w:hint="eastAsia" w:ascii="Times New Roman" w:hAnsi="Times New Roman"/>
                <w:color w:val="auto"/>
                <w:lang w:val="en-US" w:eastAsia="zh-CN"/>
              </w:rPr>
              <w:t>非纯净</w:t>
            </w:r>
            <w:r>
              <w:rPr>
                <w:rFonts w:hint="default" w:ascii="Times New Roman" w:hAnsi="Times New Roman"/>
                <w:color w:val="auto"/>
                <w:lang w:val="en-US" w:eastAsia="zh-CN"/>
              </w:rPr>
              <w:t>水，</w:t>
            </w:r>
            <w:r>
              <w:rPr>
                <w:rFonts w:hint="eastAsia" w:ascii="Times New Roman" w:hAnsi="Times New Roman"/>
                <w:color w:val="auto"/>
                <w:lang w:val="en-US" w:eastAsia="zh-CN"/>
              </w:rPr>
              <w:t>非纯净</w:t>
            </w:r>
            <w:r>
              <w:rPr>
                <w:rFonts w:hint="default" w:ascii="Times New Roman" w:hAnsi="Times New Roman"/>
                <w:color w:val="auto"/>
                <w:lang w:val="en-US" w:eastAsia="zh-CN"/>
              </w:rPr>
              <w:t>水排入市政管网</w:t>
            </w:r>
            <w:r>
              <w:rPr>
                <w:rFonts w:hint="eastAsia"/>
                <w:color w:val="auto"/>
                <w:lang w:val="en-US" w:eastAsia="zh-CN"/>
              </w:rPr>
              <w:t>（不进行回用，回用的成本远高于直接制备水，光电生产对水质的极致要求让回用的技术难度极高）。</w:t>
            </w:r>
          </w:p>
          <w:p w14:paraId="41F293EA">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④抛光用水</w:t>
            </w:r>
          </w:p>
          <w:p w14:paraId="3A32D821">
            <w:pPr>
              <w:pStyle w:val="5"/>
              <w:bidi w:val="0"/>
              <w:rPr>
                <w:rFonts w:hint="default" w:ascii="Times New Roman" w:hAnsi="Times New Roman"/>
                <w:color w:val="auto"/>
                <w:lang w:val="en-US" w:eastAsia="zh-CN"/>
              </w:rPr>
            </w:pPr>
            <w:r>
              <w:rPr>
                <w:rFonts w:hint="default" w:ascii="Times New Roman" w:hAnsi="Times New Roman" w:eastAsia="宋体" w:cs="宋体"/>
                <w:color w:val="auto"/>
                <w:kern w:val="2"/>
                <w:sz w:val="24"/>
                <w:szCs w:val="24"/>
                <w:highlight w:val="none"/>
                <w:lang w:val="en-US" w:eastAsia="zh-CN" w:bidi="ar-SA"/>
              </w:rPr>
              <w:t>项目抛光工序中新鲜水使用量为</w:t>
            </w:r>
            <w:r>
              <w:rPr>
                <w:rFonts w:hint="eastAsia" w:cs="宋体"/>
                <w:color w:val="auto"/>
                <w:kern w:val="2"/>
                <w:sz w:val="24"/>
                <w:szCs w:val="24"/>
                <w:highlight w:val="none"/>
                <w:lang w:val="en-US" w:eastAsia="zh-CN" w:bidi="ar-SA"/>
              </w:rPr>
              <w:t>16</w:t>
            </w:r>
            <w:r>
              <w:rPr>
                <w:rFonts w:hint="eastAsia" w:ascii="Times New Roman" w:hAnsi="Times New Roman" w:eastAsia="宋体" w:cs="宋体"/>
                <w:color w:val="auto"/>
                <w:kern w:val="2"/>
                <w:sz w:val="24"/>
                <w:szCs w:val="24"/>
                <w:highlight w:val="none"/>
                <w:lang w:val="en-US" w:eastAsia="zh-CN" w:bidi="ar-SA"/>
              </w:rPr>
              <w:t>00</w:t>
            </w:r>
            <w:r>
              <w:rPr>
                <w:rFonts w:hint="default" w:ascii="Times New Roman" w:hAnsi="Times New Roman" w:eastAsia="宋体" w:cs="宋体"/>
                <w:color w:val="auto"/>
                <w:kern w:val="2"/>
                <w:sz w:val="24"/>
                <w:szCs w:val="24"/>
                <w:highlight w:val="none"/>
                <w:lang w:val="en-US" w:eastAsia="zh-CN" w:bidi="ar-SA"/>
              </w:rPr>
              <w:t>t/a，废水产生量为</w:t>
            </w:r>
            <w:r>
              <w:rPr>
                <w:rFonts w:hint="eastAsia" w:cs="宋体"/>
                <w:color w:val="auto"/>
                <w:kern w:val="2"/>
                <w:sz w:val="24"/>
                <w:szCs w:val="24"/>
                <w:highlight w:val="none"/>
                <w:lang w:val="en-US" w:eastAsia="zh-CN" w:bidi="ar-SA"/>
              </w:rPr>
              <w:t>16</w:t>
            </w:r>
            <w:r>
              <w:rPr>
                <w:rFonts w:hint="eastAsia" w:ascii="Times New Roman" w:hAnsi="Times New Roman" w:eastAsia="宋体" w:cs="宋体"/>
                <w:color w:val="auto"/>
                <w:kern w:val="2"/>
                <w:sz w:val="24"/>
                <w:szCs w:val="24"/>
                <w:highlight w:val="none"/>
                <w:lang w:val="en-US" w:eastAsia="zh-CN" w:bidi="ar-SA"/>
              </w:rPr>
              <w:t>00</w:t>
            </w:r>
            <w:r>
              <w:rPr>
                <w:rFonts w:hint="default" w:ascii="Times New Roman" w:hAnsi="Times New Roman" w:eastAsia="宋体" w:cs="宋体"/>
                <w:color w:val="auto"/>
                <w:kern w:val="2"/>
                <w:sz w:val="24"/>
                <w:szCs w:val="24"/>
                <w:highlight w:val="none"/>
                <w:lang w:val="en-US" w:eastAsia="zh-CN" w:bidi="ar-SA"/>
              </w:rPr>
              <w:t>t/a</w:t>
            </w:r>
            <w:r>
              <w:rPr>
                <w:rFonts w:hint="eastAsia"/>
                <w:color w:val="auto"/>
                <w:lang w:val="en-US" w:eastAsia="zh-CN"/>
              </w:rPr>
              <w:t>。</w:t>
            </w:r>
          </w:p>
          <w:p w14:paraId="192F6AB9">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⑤镀膜机冷却水</w:t>
            </w:r>
          </w:p>
          <w:p w14:paraId="34D6C6EC">
            <w:pPr>
              <w:pStyle w:val="5"/>
              <w:bidi w:val="0"/>
              <w:rPr>
                <w:rFonts w:hint="default" w:ascii="Times New Roman" w:hAnsi="Times New Roman" w:eastAsia="宋体" w:cs="Times New Roman"/>
                <w:color w:val="auto"/>
                <w:kern w:val="0"/>
                <w:sz w:val="24"/>
                <w:szCs w:val="24"/>
                <w:lang w:val="en-US" w:eastAsia="zh-CN" w:bidi="ar"/>
              </w:rPr>
            </w:pPr>
            <w:r>
              <w:rPr>
                <w:rFonts w:hint="default" w:ascii="Times New Roman" w:hAnsi="Times New Roman"/>
                <w:color w:val="auto"/>
                <w:lang w:val="en-US" w:eastAsia="zh-CN"/>
              </w:rPr>
              <w:t>镀膜机配套冷却塔，</w:t>
            </w:r>
            <w:r>
              <w:rPr>
                <w:rFonts w:hint="default" w:ascii="Times New Roman" w:hAnsi="Times New Roman" w:eastAsia="宋体" w:cs="宋体"/>
                <w:color w:val="auto"/>
                <w:kern w:val="2"/>
                <w:sz w:val="24"/>
                <w:szCs w:val="24"/>
                <w:highlight w:val="none"/>
                <w:lang w:val="en-US" w:eastAsia="zh-CN" w:bidi="ar-SA"/>
              </w:rPr>
              <w:t>镀膜冷却水在镀膜环节的用水工序中产生，</w:t>
            </w:r>
            <w:r>
              <w:rPr>
                <w:rFonts w:hint="eastAsia"/>
                <w:color w:val="auto"/>
                <w:lang w:val="en-US" w:eastAsia="zh-CN"/>
              </w:rPr>
              <w:t>冷却水</w:t>
            </w:r>
            <w:r>
              <w:rPr>
                <w:rFonts w:hint="default" w:ascii="Times New Roman" w:hAnsi="Times New Roman"/>
                <w:color w:val="auto"/>
                <w:lang w:val="en-US" w:eastAsia="zh-CN"/>
              </w:rPr>
              <w:t>用于给镀膜机冷却降温</w:t>
            </w:r>
            <w:r>
              <w:rPr>
                <w:rFonts w:hint="eastAsia"/>
                <w:color w:val="auto"/>
                <w:lang w:val="en-US" w:eastAsia="zh-CN"/>
              </w:rPr>
              <w:t>。</w:t>
            </w:r>
            <w:r>
              <w:rPr>
                <w:rFonts w:hint="default" w:ascii="Times New Roman" w:hAnsi="Times New Roman" w:eastAsia="宋体" w:cs="宋体"/>
                <w:color w:val="auto"/>
                <w:kern w:val="2"/>
                <w:sz w:val="24"/>
                <w:szCs w:val="24"/>
                <w:highlight w:val="none"/>
                <w:lang w:val="en-US" w:eastAsia="zh-CN" w:bidi="ar-SA"/>
              </w:rPr>
              <w:t>冷却水用量为</w:t>
            </w:r>
            <w:r>
              <w:rPr>
                <w:rFonts w:hint="eastAsia" w:cs="宋体"/>
                <w:color w:val="auto"/>
                <w:kern w:val="2"/>
                <w:sz w:val="24"/>
                <w:szCs w:val="24"/>
                <w:highlight w:val="none"/>
                <w:lang w:val="en-US" w:eastAsia="zh-CN" w:bidi="ar-SA"/>
              </w:rPr>
              <w:t>1</w:t>
            </w:r>
            <w:r>
              <w:rPr>
                <w:rFonts w:hint="default" w:ascii="Times New Roman" w:hAnsi="Times New Roman" w:eastAsia="宋体" w:cs="宋体"/>
                <w:color w:val="auto"/>
                <w:kern w:val="2"/>
                <w:sz w:val="24"/>
                <w:szCs w:val="24"/>
                <w:highlight w:val="none"/>
                <w:lang w:val="en-US" w:eastAsia="zh-CN" w:bidi="ar-SA"/>
              </w:rPr>
              <w:t>00t/a，冷却水循环使用，定期补充，</w:t>
            </w:r>
            <w:r>
              <w:rPr>
                <w:rFonts w:hint="eastAsia" w:cs="宋体"/>
                <w:color w:val="auto"/>
                <w:kern w:val="2"/>
                <w:sz w:val="24"/>
                <w:szCs w:val="24"/>
                <w:highlight w:val="none"/>
                <w:lang w:val="en-US" w:eastAsia="zh-CN" w:bidi="ar-SA"/>
              </w:rPr>
              <w:t>每次</w:t>
            </w:r>
            <w:r>
              <w:rPr>
                <w:rFonts w:hint="eastAsia" w:ascii="Times New Roman" w:hAnsi="Times New Roman" w:eastAsia="宋体" w:cs="宋体"/>
                <w:color w:val="auto"/>
                <w:kern w:val="2"/>
                <w:sz w:val="24"/>
                <w:szCs w:val="24"/>
                <w:highlight w:val="none"/>
                <w:lang w:val="en-US" w:eastAsia="zh-CN" w:bidi="ar-SA"/>
              </w:rPr>
              <w:t>补充量为10t，</w:t>
            </w:r>
            <w:r>
              <w:rPr>
                <w:rFonts w:hint="default" w:ascii="Times New Roman" w:hAnsi="Times New Roman" w:eastAsia="宋体" w:cs="宋体"/>
                <w:color w:val="auto"/>
                <w:kern w:val="2"/>
                <w:sz w:val="24"/>
                <w:szCs w:val="24"/>
                <w:highlight w:val="none"/>
                <w:lang w:val="en-US" w:eastAsia="zh-CN" w:bidi="ar-SA"/>
              </w:rPr>
              <w:t>不外排</w:t>
            </w:r>
            <w:r>
              <w:rPr>
                <w:rFonts w:hint="eastAsia" w:cs="宋体"/>
                <w:color w:val="auto"/>
                <w:kern w:val="2"/>
                <w:sz w:val="24"/>
                <w:szCs w:val="24"/>
                <w:highlight w:val="none"/>
                <w:lang w:val="en-US" w:eastAsia="zh-CN" w:bidi="ar-SA"/>
              </w:rPr>
              <w:t>。</w:t>
            </w:r>
          </w:p>
          <w:p w14:paraId="3680D7D4">
            <w:pPr>
              <w:pStyle w:val="5"/>
              <w:bidi w:val="0"/>
              <w:rPr>
                <w:rFonts w:hint="default" w:ascii="Times New Roman" w:hAnsi="Times New Roman"/>
                <w:color w:val="auto"/>
                <w:lang w:val="en-US" w:eastAsia="zh-CN"/>
              </w:rPr>
            </w:pPr>
            <w:r>
              <w:rPr>
                <w:rFonts w:hint="eastAsia" w:ascii="Times New Roman" w:hAnsi="Times New Roman" w:eastAsia="宋体" w:cs="宋体"/>
                <w:color w:val="auto"/>
                <w:lang w:val="en-US" w:eastAsia="zh-CN"/>
              </w:rPr>
              <w:t>⑥</w:t>
            </w:r>
            <w:r>
              <w:rPr>
                <w:rFonts w:hint="default" w:ascii="Times New Roman" w:hAnsi="Times New Roman" w:eastAsia="宋体" w:cs="宋体"/>
                <w:color w:val="auto"/>
                <w:lang w:val="en-US" w:eastAsia="zh-CN"/>
              </w:rPr>
              <w:t>职工生活</w:t>
            </w:r>
            <w:r>
              <w:rPr>
                <w:rFonts w:hint="default" w:ascii="Times New Roman" w:hAnsi="Times New Roman"/>
                <w:color w:val="auto"/>
                <w:lang w:val="en-US" w:eastAsia="zh-CN"/>
              </w:rPr>
              <w:t>用水</w:t>
            </w:r>
          </w:p>
          <w:p w14:paraId="5D88D055">
            <w:pPr>
              <w:pStyle w:val="5"/>
              <w:bidi w:val="0"/>
              <w:rPr>
                <w:rFonts w:hint="default" w:ascii="Times New Roman" w:hAnsi="Times New Roman"/>
                <w:color w:val="auto"/>
                <w:lang w:val="en-US" w:eastAsia="zh-CN"/>
              </w:rPr>
            </w:pPr>
            <w:r>
              <w:rPr>
                <w:rFonts w:hint="eastAsia"/>
                <w:color w:val="auto"/>
                <w:lang w:val="en-US" w:eastAsia="zh-CN"/>
              </w:rPr>
              <w:t>本次</w:t>
            </w:r>
            <w:r>
              <w:rPr>
                <w:rFonts w:hint="eastAsia" w:ascii="Times New Roman" w:hAnsi="Times New Roman"/>
                <w:color w:val="auto"/>
                <w:lang w:val="en-US" w:eastAsia="zh-CN"/>
              </w:rPr>
              <w:t>项目</w:t>
            </w:r>
            <w:r>
              <w:rPr>
                <w:rFonts w:hint="default" w:ascii="Times New Roman" w:hAnsi="Times New Roman"/>
                <w:color w:val="auto"/>
                <w:lang w:val="en-US" w:eastAsia="zh-CN"/>
              </w:rPr>
              <w:t>劳动定员</w:t>
            </w:r>
            <w:r>
              <w:rPr>
                <w:rFonts w:hint="eastAsia"/>
                <w:color w:val="auto"/>
                <w:lang w:val="en-US" w:eastAsia="zh-CN"/>
              </w:rPr>
              <w:t>60</w:t>
            </w:r>
            <w:r>
              <w:rPr>
                <w:rFonts w:hint="default" w:ascii="Times New Roman" w:hAnsi="Times New Roman"/>
                <w:color w:val="auto"/>
                <w:lang w:val="en-US" w:eastAsia="zh-CN"/>
              </w:rPr>
              <w:t>人，均不住厂，根据《建筑给水排水设计标准》（GB50015-2019），车间工人的生活用水定额应根据车间性质确定，一般宜采用30</w:t>
            </w:r>
            <w:r>
              <w:rPr>
                <w:rFonts w:hint="eastAsia"/>
                <w:color w:val="auto"/>
                <w:lang w:val="en-US" w:eastAsia="zh-CN"/>
              </w:rPr>
              <w:t>—</w:t>
            </w:r>
            <w:r>
              <w:rPr>
                <w:rFonts w:hint="default" w:ascii="Times New Roman" w:hAnsi="Times New Roman"/>
                <w:color w:val="auto"/>
                <w:lang w:val="en-US" w:eastAsia="zh-CN"/>
              </w:rPr>
              <w:t>50L/人·班，本项目不住厂职工生活用水定额按50L/人·班计。项目年工作日按</w:t>
            </w:r>
            <w:r>
              <w:rPr>
                <w:rFonts w:hint="eastAsia"/>
                <w:color w:val="auto"/>
                <w:lang w:val="en-US" w:eastAsia="zh-CN"/>
              </w:rPr>
              <w:t>300</w:t>
            </w:r>
            <w:r>
              <w:rPr>
                <w:rFonts w:hint="default" w:ascii="Times New Roman" w:hAnsi="Times New Roman"/>
                <w:color w:val="auto"/>
                <w:lang w:val="en-US" w:eastAsia="zh-CN"/>
              </w:rPr>
              <w:t>天计，则本项目职工生活用水量约为</w:t>
            </w:r>
            <w:r>
              <w:rPr>
                <w:rFonts w:hint="eastAsia"/>
                <w:color w:val="auto"/>
                <w:lang w:val="en-US" w:eastAsia="zh-CN"/>
              </w:rPr>
              <w:t>3.0</w:t>
            </w:r>
            <w:r>
              <w:rPr>
                <w:rFonts w:hint="default" w:ascii="Times New Roman" w:hAnsi="Times New Roman"/>
                <w:color w:val="auto"/>
                <w:lang w:val="en-US" w:eastAsia="zh-CN"/>
              </w:rPr>
              <w:t>t/d（</w:t>
            </w:r>
            <w:r>
              <w:rPr>
                <w:rFonts w:hint="eastAsia"/>
                <w:color w:val="auto"/>
                <w:lang w:val="en-US" w:eastAsia="zh-CN"/>
              </w:rPr>
              <w:t>900.0</w:t>
            </w:r>
            <w:r>
              <w:rPr>
                <w:rFonts w:hint="default" w:ascii="Times New Roman" w:hAnsi="Times New Roman"/>
                <w:color w:val="auto"/>
                <w:lang w:val="en-US" w:eastAsia="zh-CN"/>
              </w:rPr>
              <w:t>t/a），根据《排放源统计调查产排污计算方法和核算手册》中《生活源产排污系数手册》，人均日生活用水量≤150升/人·天时，折污系数取0.8（详见图2.1-1），则项目生活污水产生量约</w:t>
            </w:r>
            <w:r>
              <w:rPr>
                <w:rFonts w:hint="eastAsia"/>
                <w:color w:val="auto"/>
                <w:lang w:val="en-US" w:eastAsia="zh-CN"/>
              </w:rPr>
              <w:t>2.4</w:t>
            </w:r>
            <w:r>
              <w:rPr>
                <w:rFonts w:hint="default" w:ascii="Times New Roman" w:hAnsi="Times New Roman"/>
                <w:color w:val="auto"/>
                <w:lang w:val="en-US" w:eastAsia="zh-CN"/>
              </w:rPr>
              <w:t>t/d（</w:t>
            </w:r>
            <w:r>
              <w:rPr>
                <w:rFonts w:hint="eastAsia"/>
                <w:color w:val="auto"/>
                <w:lang w:val="en-US" w:eastAsia="zh-CN"/>
              </w:rPr>
              <w:t>720.0</w:t>
            </w:r>
            <w:r>
              <w:rPr>
                <w:rFonts w:hint="default" w:ascii="Times New Roman" w:hAnsi="Times New Roman"/>
                <w:color w:val="auto"/>
                <w:lang w:val="en-US" w:eastAsia="zh-CN"/>
              </w:rPr>
              <w:t>t/a）。</w:t>
            </w:r>
            <w:r>
              <w:rPr>
                <w:rFonts w:hint="eastAsia"/>
                <w:color w:val="auto"/>
                <w:lang w:val="en-US" w:eastAsia="zh-CN"/>
              </w:rPr>
              <w:t>全厂</w:t>
            </w:r>
            <w:r>
              <w:rPr>
                <w:rFonts w:hint="default" w:ascii="Times New Roman" w:hAnsi="Times New Roman"/>
                <w:color w:val="auto"/>
                <w:lang w:val="en-US" w:eastAsia="zh-CN"/>
              </w:rPr>
              <w:t>项目水平衡图见图2.1-2。</w:t>
            </w:r>
          </w:p>
          <w:p w14:paraId="4FE58199">
            <w:pPr>
              <w:pStyle w:val="5"/>
              <w:bidi w:val="0"/>
              <w:spacing w:line="240" w:lineRule="auto"/>
              <w:ind w:firstLine="0" w:firstLineChars="0"/>
              <w:rPr>
                <w:rFonts w:hint="default" w:ascii="Times New Roman" w:hAnsi="Times New Roman"/>
                <w:color w:val="auto"/>
                <w:lang w:val="en-US" w:eastAsia="zh-CN"/>
              </w:rPr>
            </w:pPr>
            <w:r>
              <w:rPr>
                <w:rFonts w:hint="default" w:ascii="Times New Roman" w:hAnsi="Times New Roman"/>
                <w:color w:val="auto"/>
                <w:lang w:val="en-US" w:eastAsia="zh-CN"/>
              </w:rPr>
              <w:drawing>
                <wp:inline distT="0" distB="0" distL="114300" distR="114300">
                  <wp:extent cx="5042535" cy="4039870"/>
                  <wp:effectExtent l="0" t="0" r="5715" b="17780"/>
                  <wp:docPr id="1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
                          <pic:cNvPicPr>
                            <a:picLocks noChangeAspect="1"/>
                          </pic:cNvPicPr>
                        </pic:nvPicPr>
                        <pic:blipFill>
                          <a:blip r:embed="rId11"/>
                          <a:stretch>
                            <a:fillRect/>
                          </a:stretch>
                        </pic:blipFill>
                        <pic:spPr>
                          <a:xfrm>
                            <a:off x="0" y="0"/>
                            <a:ext cx="5042535" cy="4039870"/>
                          </a:xfrm>
                          <a:prstGeom prst="rect">
                            <a:avLst/>
                          </a:prstGeom>
                          <a:noFill/>
                          <a:ln>
                            <a:noFill/>
                          </a:ln>
                        </pic:spPr>
                      </pic:pic>
                    </a:graphicData>
                  </a:graphic>
                </wp:inline>
              </w:drawing>
            </w:r>
          </w:p>
          <w:p w14:paraId="2DEAF3B3">
            <w:pPr>
              <w:pStyle w:val="46"/>
              <w:bidi w:val="0"/>
              <w:rPr>
                <w:rFonts w:hint="default" w:ascii="Times New Roman" w:hAnsi="Times New Roman" w:eastAsia="宋体" w:cs="Times New Roman"/>
                <w:b/>
                <w:color w:val="auto"/>
                <w:kern w:val="0"/>
                <w:sz w:val="24"/>
                <w:szCs w:val="20"/>
                <w:lang w:val="en-US" w:eastAsia="zh-CN" w:bidi="ar-SA"/>
              </w:rPr>
            </w:pPr>
            <w:r>
              <w:rPr>
                <w:rFonts w:hint="default" w:ascii="Times New Roman" w:hAnsi="Times New Roman" w:eastAsia="宋体" w:cs="Times New Roman"/>
                <w:b/>
                <w:color w:val="auto"/>
                <w:kern w:val="0"/>
                <w:sz w:val="24"/>
                <w:szCs w:val="20"/>
                <w:lang w:val="en-US" w:eastAsia="zh-CN" w:bidi="ar-SA"/>
              </w:rPr>
              <w:t>图2.1-1</w:t>
            </w:r>
            <w:r>
              <w:rPr>
                <w:rFonts w:hint="eastAsia" w:ascii="Times New Roman" w:hAnsi="Times New Roman" w:eastAsia="宋体" w:cs="Times New Roman"/>
                <w:b/>
                <w:color w:val="auto"/>
                <w:kern w:val="0"/>
                <w:sz w:val="24"/>
                <w:szCs w:val="20"/>
                <w:lang w:val="en-US" w:eastAsia="zh-CN" w:bidi="ar-SA"/>
              </w:rPr>
              <w:t xml:space="preserve">  </w:t>
            </w:r>
            <w:r>
              <w:rPr>
                <w:rFonts w:hint="default" w:ascii="Times New Roman" w:hAnsi="Times New Roman" w:eastAsia="宋体" w:cs="Times New Roman"/>
                <w:b/>
                <w:color w:val="auto"/>
                <w:kern w:val="0"/>
                <w:sz w:val="24"/>
                <w:szCs w:val="20"/>
                <w:lang w:val="en-US" w:eastAsia="zh-CN" w:bidi="ar-SA"/>
              </w:rPr>
              <w:t>《生活源产排污系数手册》生活污水排放量计算截图</w:t>
            </w:r>
          </w:p>
          <w:p w14:paraId="37EC4EA3">
            <w:pPr>
              <w:pStyle w:val="5"/>
              <w:bidi w:val="0"/>
              <w:rPr>
                <w:rFonts w:hint="default" w:ascii="Times New Roman" w:hAnsi="Times New Roman"/>
                <w:color w:val="auto"/>
                <w:lang w:val="en-US" w:eastAsia="zh-CN"/>
              </w:rPr>
            </w:pPr>
            <w:r>
              <w:rPr>
                <w:rFonts w:hint="eastAsia"/>
                <w:color w:val="auto"/>
                <w:lang w:val="en-US" w:eastAsia="zh-CN"/>
              </w:rPr>
              <w:t>全厂</w:t>
            </w:r>
            <w:r>
              <w:rPr>
                <w:rFonts w:hint="default" w:ascii="Times New Roman" w:hAnsi="Times New Roman"/>
                <w:color w:val="auto"/>
                <w:lang w:val="en-US" w:eastAsia="zh-CN"/>
              </w:rPr>
              <w:t>项目水平衡图见下图。</w:t>
            </w:r>
          </w:p>
          <w:p w14:paraId="15AA6C3E">
            <w:pPr>
              <w:pStyle w:val="5"/>
              <w:bidi w:val="0"/>
              <w:spacing w:line="240" w:lineRule="auto"/>
              <w:ind w:firstLine="0" w:firstLineChars="0"/>
              <w:rPr>
                <w:rFonts w:hint="default" w:ascii="Times New Roman" w:hAnsi="Times New Roman"/>
                <w:color w:val="auto"/>
                <w:lang w:val="en-US" w:eastAsia="zh-CN"/>
              </w:rPr>
            </w:pPr>
            <w:r>
              <w:rPr>
                <w:rFonts w:hint="default" w:ascii="Times New Roman" w:hAnsi="Times New Roman"/>
                <w:color w:val="auto"/>
                <w:lang w:val="en-US" w:eastAsia="zh-CN"/>
              </w:rPr>
              <w:drawing>
                <wp:inline distT="0" distB="0" distL="114300" distR="114300">
                  <wp:extent cx="5331460" cy="7538720"/>
                  <wp:effectExtent l="0" t="0" r="2540" b="5080"/>
                  <wp:docPr id="7" name="图片 7" descr="水平衡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水平衡图()_01"/>
                          <pic:cNvPicPr>
                            <a:picLocks noChangeAspect="1"/>
                          </pic:cNvPicPr>
                        </pic:nvPicPr>
                        <pic:blipFill>
                          <a:blip r:embed="rId12"/>
                          <a:stretch>
                            <a:fillRect/>
                          </a:stretch>
                        </pic:blipFill>
                        <pic:spPr>
                          <a:xfrm>
                            <a:off x="0" y="0"/>
                            <a:ext cx="5331460" cy="7538720"/>
                          </a:xfrm>
                          <a:prstGeom prst="rect">
                            <a:avLst/>
                          </a:prstGeom>
                        </pic:spPr>
                      </pic:pic>
                    </a:graphicData>
                  </a:graphic>
                </wp:inline>
              </w:drawing>
            </w:r>
          </w:p>
          <w:p w14:paraId="28DA5F44">
            <w:pPr>
              <w:pStyle w:val="46"/>
              <w:bidi w:val="0"/>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图2.1-2  项目</w:t>
            </w:r>
            <w:r>
              <w:rPr>
                <w:rFonts w:hint="eastAsia" w:cs="Times New Roman"/>
                <w:b/>
                <w:color w:val="auto"/>
                <w:kern w:val="0"/>
                <w:sz w:val="24"/>
                <w:szCs w:val="20"/>
                <w:lang w:val="en-US" w:eastAsia="zh-CN" w:bidi="ar-SA"/>
              </w:rPr>
              <w:t>全厂</w:t>
            </w:r>
            <w:r>
              <w:rPr>
                <w:rFonts w:hint="eastAsia" w:ascii="Times New Roman" w:hAnsi="Times New Roman" w:eastAsia="宋体" w:cs="Times New Roman"/>
                <w:b/>
                <w:color w:val="auto"/>
                <w:kern w:val="0"/>
                <w:sz w:val="24"/>
                <w:szCs w:val="20"/>
                <w:lang w:val="en-US" w:eastAsia="zh-CN" w:bidi="ar-SA"/>
              </w:rPr>
              <w:t>水平衡图</w:t>
            </w:r>
          </w:p>
          <w:p w14:paraId="0D3CCCB2">
            <w:pPr>
              <w:pStyle w:val="4"/>
              <w:bidi w:val="0"/>
              <w:rPr>
                <w:rFonts w:hint="default" w:ascii="Times New Roman" w:hAnsi="Times New Roman"/>
                <w:color w:val="auto"/>
                <w:lang w:val="en-US" w:eastAsia="zh-CN"/>
              </w:rPr>
            </w:pPr>
            <w:bookmarkStart w:id="36" w:name="_Toc20840"/>
            <w:r>
              <w:rPr>
                <w:rFonts w:hint="default" w:ascii="Times New Roman" w:hAnsi="Times New Roman"/>
                <w:color w:val="auto"/>
                <w:lang w:val="en-US" w:eastAsia="zh-CN"/>
              </w:rPr>
              <w:t>2.1.9平面布置合理性分析</w:t>
            </w:r>
            <w:bookmarkEnd w:id="36"/>
          </w:p>
          <w:p w14:paraId="0A9358CA">
            <w:pPr>
              <w:pStyle w:val="5"/>
              <w:bidi w:val="0"/>
              <w:rPr>
                <w:rFonts w:hint="default" w:ascii="Times New Roman" w:hAnsi="Times New Roman"/>
                <w:color w:val="auto"/>
                <w:lang w:val="en-US" w:eastAsia="zh-CN"/>
              </w:rPr>
            </w:pPr>
            <w:r>
              <w:rPr>
                <w:rFonts w:hint="eastAsia" w:ascii="Times New Roman" w:hAnsi="Times New Roman"/>
                <w:color w:val="auto"/>
                <w:lang w:val="en-US" w:eastAsia="zh-CN"/>
              </w:rPr>
              <w:t>本项目位于</w:t>
            </w:r>
            <w:r>
              <w:rPr>
                <w:rFonts w:hint="eastAsia"/>
                <w:color w:val="auto"/>
                <w:lang w:val="en-US" w:eastAsia="zh-CN"/>
              </w:rPr>
              <w:t>福建省福州市闽侯县上街镇马保村后园32号2号楼1层</w:t>
            </w:r>
            <w:r>
              <w:rPr>
                <w:rFonts w:hint="eastAsia" w:ascii="Times New Roman" w:hAnsi="Times New Roman"/>
                <w:color w:val="auto"/>
                <w:lang w:val="en-US" w:eastAsia="zh-CN"/>
              </w:rPr>
              <w:t>。厂区总平面布置在符合规定及要求的基础上，结合工艺生产要求及用地现有自然条件，满足生产运输、安全卫生、环境保护及施工管理等方面的需要，同时考虑企业在生产、交通运输、动力设施等方面的协作关系，做到生产工艺流程顺畅，通道宽度适中。总体布置统筹规划，远近期结合，各子项布局合理紧凑，协调统一。总图设计根据企业规划发展要求，本着总体规划，分步实施的原则，统筹考虑了场地的利用和总体布置。</w:t>
            </w:r>
          </w:p>
          <w:p w14:paraId="77A8DDAB">
            <w:pPr>
              <w:pStyle w:val="5"/>
              <w:bidi w:val="0"/>
              <w:rPr>
                <w:rFonts w:hint="default" w:ascii="Times New Roman" w:hAnsi="Times New Roman"/>
                <w:color w:val="auto"/>
                <w:lang w:val="en-US" w:eastAsia="zh-CN"/>
              </w:rPr>
            </w:pPr>
            <w:r>
              <w:rPr>
                <w:rFonts w:hint="eastAsia" w:ascii="Times New Roman" w:hAnsi="Times New Roman"/>
                <w:color w:val="auto"/>
                <w:lang w:val="en-US" w:eastAsia="zh-CN"/>
              </w:rPr>
              <w:t>每层楼的功能划分明确清晰，便于工艺流程的进行和成品的堆放，物料流向顺畅，符合防火、安全、卫生等有关规范，总体布局功能分区明确，便于生产的连续性，项目平面布置基本合理。</w:t>
            </w:r>
          </w:p>
        </w:tc>
      </w:tr>
      <w:tr w14:paraId="1AA1A0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444" w:type="dxa"/>
            <w:noWrap w:val="0"/>
            <w:vAlign w:val="center"/>
          </w:tcPr>
          <w:p w14:paraId="51D92D1B">
            <w:pPr>
              <w:adjustRightInd w:val="0"/>
              <w:snapToGrid w:val="0"/>
              <w:spacing w:before="0" w:beforeAutospacing="0" w:after="0" w:afterAutospacing="0"/>
              <w:jc w:val="center"/>
              <w:rPr>
                <w:rFonts w:ascii="Times New Roman" w:hAnsi="Times New Roman" w:cs="宋体"/>
                <w:color w:val="auto"/>
                <w:sz w:val="21"/>
                <w:szCs w:val="21"/>
              </w:rPr>
            </w:pPr>
            <w:r>
              <w:rPr>
                <w:rFonts w:hint="eastAsia" w:ascii="Times New Roman" w:hAnsi="Times New Roman" w:cs="宋体"/>
                <w:color w:val="auto"/>
                <w:sz w:val="21"/>
                <w:szCs w:val="21"/>
              </w:rPr>
              <w:t>工艺流程和产排污环节</w:t>
            </w:r>
          </w:p>
        </w:tc>
        <w:tc>
          <w:tcPr>
            <w:tcW w:w="8616" w:type="dxa"/>
            <w:noWrap w:val="0"/>
            <w:vAlign w:val="top"/>
          </w:tcPr>
          <w:p w14:paraId="46DA2E8B">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37" w:name="_Toc3968"/>
            <w:bookmarkStart w:id="38" w:name="_Toc21097"/>
            <w:r>
              <w:rPr>
                <w:rFonts w:hint="eastAsia" w:ascii="Times New Roman" w:hAnsi="Times New Roman" w:eastAsia="宋体" w:cs="Times New Roman"/>
                <w:b/>
                <w:color w:val="auto"/>
                <w:kern w:val="2"/>
                <w:sz w:val="28"/>
                <w:szCs w:val="24"/>
                <w:lang w:val="en-US" w:eastAsia="zh-CN" w:bidi="ar-SA"/>
              </w:rPr>
              <w:t>2.2生产工艺流程及产污环节</w:t>
            </w:r>
            <w:bookmarkEnd w:id="37"/>
            <w:bookmarkEnd w:id="38"/>
          </w:p>
          <w:p w14:paraId="2C9E6FBD">
            <w:pPr>
              <w:pStyle w:val="4"/>
              <w:bidi w:val="0"/>
              <w:rPr>
                <w:rFonts w:hint="eastAsia" w:ascii="Times New Roman" w:hAnsi="Times New Roman"/>
                <w:color w:val="auto"/>
                <w:lang w:val="en-US" w:eastAsia="zh-CN"/>
              </w:rPr>
            </w:pPr>
            <w:bookmarkStart w:id="39" w:name="_Toc20744"/>
            <w:r>
              <w:rPr>
                <w:rFonts w:hint="eastAsia" w:ascii="Times New Roman" w:hAnsi="Times New Roman"/>
                <w:color w:val="auto"/>
                <w:lang w:val="en-US" w:eastAsia="zh-CN"/>
              </w:rPr>
              <w:t>2.2.1</w:t>
            </w:r>
            <w:r>
              <w:rPr>
                <w:rFonts w:hint="eastAsia"/>
                <w:color w:val="auto"/>
                <w:lang w:val="en-US" w:eastAsia="zh-CN"/>
              </w:rPr>
              <w:t>主要</w:t>
            </w:r>
            <w:r>
              <w:rPr>
                <w:rFonts w:hint="eastAsia" w:ascii="Times New Roman" w:hAnsi="Times New Roman"/>
                <w:color w:val="auto"/>
                <w:lang w:val="en-US" w:eastAsia="zh-CN"/>
              </w:rPr>
              <w:t>工艺流程及工艺介绍</w:t>
            </w:r>
            <w:bookmarkEnd w:id="39"/>
          </w:p>
          <w:p w14:paraId="48F7FAEA">
            <w:pPr>
              <w:pStyle w:val="46"/>
              <w:bidi w:val="0"/>
              <w:rPr>
                <w:rFonts w:hint="eastAsia" w:ascii="Times New Roman" w:hAnsi="Times New Roman" w:eastAsia="宋体" w:cs="Times New Roman"/>
                <w:b/>
                <w:color w:val="auto"/>
                <w:kern w:val="0"/>
                <w:sz w:val="24"/>
                <w:szCs w:val="20"/>
                <w:lang w:val="en-US" w:eastAsia="zh-CN" w:bidi="ar-SA"/>
              </w:rPr>
            </w:pPr>
            <w:r>
              <w:rPr>
                <w:rFonts w:hint="eastAsia"/>
                <w:color w:val="auto"/>
                <w:sz w:val="24"/>
                <w:lang w:val="en-US" w:eastAsia="zh-CN"/>
              </w:rPr>
              <w:t>*</w:t>
            </w:r>
          </w:p>
          <w:p w14:paraId="48F48BD5">
            <w:pPr>
              <w:pStyle w:val="46"/>
              <w:bidi w:val="0"/>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图2.2-1  项目</w:t>
            </w:r>
            <w:r>
              <w:rPr>
                <w:rFonts w:hint="eastAsia" w:cs="Times New Roman"/>
                <w:b/>
                <w:color w:val="auto"/>
                <w:kern w:val="0"/>
                <w:sz w:val="24"/>
                <w:szCs w:val="20"/>
                <w:lang w:val="en-US" w:eastAsia="zh-CN" w:bidi="ar-SA"/>
              </w:rPr>
              <w:t>主要</w:t>
            </w:r>
            <w:r>
              <w:rPr>
                <w:rFonts w:hint="eastAsia" w:ascii="Times New Roman" w:hAnsi="Times New Roman" w:eastAsia="宋体" w:cs="Times New Roman"/>
                <w:b/>
                <w:color w:val="auto"/>
                <w:kern w:val="0"/>
                <w:sz w:val="24"/>
                <w:szCs w:val="20"/>
                <w:lang w:val="en-US" w:eastAsia="zh-CN" w:bidi="ar-SA"/>
              </w:rPr>
              <w:t>生产工艺流程图</w:t>
            </w:r>
          </w:p>
          <w:p w14:paraId="086B217A">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主要</w:t>
            </w:r>
            <w:r>
              <w:rPr>
                <w:rFonts w:hint="eastAsia" w:ascii="Times New Roman" w:hAnsi="Times New Roman" w:eastAsia="宋体" w:cs="宋体"/>
                <w:color w:val="auto"/>
                <w:kern w:val="2"/>
                <w:sz w:val="24"/>
                <w:szCs w:val="24"/>
                <w:highlight w:val="none"/>
                <w:lang w:val="en-US" w:eastAsia="zh-CN" w:bidi="ar-SA"/>
              </w:rPr>
              <w:t>工艺说明：</w:t>
            </w:r>
          </w:p>
          <w:p w14:paraId="5A180CB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w:t>
            </w:r>
          </w:p>
          <w:p w14:paraId="4B3914FD">
            <w:pPr>
              <w:pStyle w:val="4"/>
              <w:bidi w:val="0"/>
              <w:rPr>
                <w:rFonts w:hint="eastAsia" w:ascii="Times New Roman" w:hAnsi="Times New Roman"/>
                <w:color w:val="auto"/>
                <w:lang w:val="en-US" w:eastAsia="zh-CN"/>
              </w:rPr>
            </w:pPr>
            <w:bookmarkStart w:id="40" w:name="_Toc17909"/>
            <w:r>
              <w:rPr>
                <w:rFonts w:hint="eastAsia" w:ascii="Times New Roman" w:hAnsi="Times New Roman"/>
                <w:color w:val="auto"/>
                <w:lang w:val="en-US" w:eastAsia="zh-CN"/>
              </w:rPr>
              <w:t>2.2.2产污环节介绍</w:t>
            </w:r>
            <w:bookmarkEnd w:id="40"/>
          </w:p>
          <w:p w14:paraId="0E5A784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宋体"/>
                <w:color w:val="auto"/>
                <w:sz w:val="24"/>
                <w:szCs w:val="24"/>
                <w:lang w:val="en-US" w:eastAsia="en-US" w:bidi="ar-SA"/>
              </w:rPr>
            </w:pPr>
            <w:r>
              <w:rPr>
                <w:rFonts w:hint="eastAsia" w:ascii="Times New Roman" w:hAnsi="Times New Roman" w:eastAsia="宋体" w:cs="宋体"/>
                <w:color w:val="auto"/>
                <w:sz w:val="24"/>
                <w:szCs w:val="24"/>
                <w:lang w:val="en-US" w:eastAsia="zh-CN" w:bidi="ar-SA"/>
              </w:rPr>
              <w:t>废水：</w:t>
            </w:r>
            <w:r>
              <w:rPr>
                <w:rFonts w:hint="eastAsia" w:cs="宋体"/>
                <w:color w:val="auto"/>
                <w:sz w:val="24"/>
                <w:szCs w:val="24"/>
                <w:lang w:val="en-US" w:eastAsia="zh-CN" w:bidi="ar-SA"/>
              </w:rPr>
              <w:t>主要为铣磨、抛光、磨边</w:t>
            </w:r>
            <w:r>
              <w:rPr>
                <w:rFonts w:hint="eastAsia" w:ascii="Times New Roman" w:hAnsi="Times New Roman" w:eastAsia="宋体" w:cs="宋体"/>
                <w:color w:val="auto"/>
                <w:sz w:val="24"/>
                <w:szCs w:val="24"/>
                <w:lang w:val="en-US" w:eastAsia="zh-CN" w:bidi="ar-SA"/>
              </w:rPr>
              <w:t>及</w:t>
            </w:r>
            <w:r>
              <w:rPr>
                <w:rFonts w:hint="eastAsia" w:cs="宋体"/>
                <w:color w:val="auto"/>
                <w:sz w:val="24"/>
                <w:szCs w:val="24"/>
                <w:lang w:val="en-US" w:eastAsia="zh-CN" w:bidi="ar-SA"/>
              </w:rPr>
              <w:t>超声波清洗</w:t>
            </w:r>
            <w:r>
              <w:rPr>
                <w:rFonts w:hint="eastAsia" w:ascii="Times New Roman" w:hAnsi="Times New Roman" w:eastAsia="宋体" w:cs="宋体"/>
                <w:color w:val="auto"/>
                <w:sz w:val="24"/>
                <w:szCs w:val="24"/>
                <w:lang w:val="en-US" w:eastAsia="zh-CN" w:bidi="ar-SA"/>
              </w:rPr>
              <w:t>工序产生的生产废水和员工生活污水；</w:t>
            </w:r>
          </w:p>
          <w:p w14:paraId="2A4B3F7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宋体"/>
                <w:color w:val="auto"/>
                <w:sz w:val="24"/>
                <w:szCs w:val="24"/>
                <w:lang w:val="en-US" w:eastAsia="en-US" w:bidi="ar-SA"/>
              </w:rPr>
            </w:pPr>
            <w:r>
              <w:rPr>
                <w:rFonts w:hint="eastAsia" w:ascii="Times New Roman" w:hAnsi="Times New Roman" w:eastAsia="宋体" w:cs="宋体"/>
                <w:color w:val="auto"/>
                <w:sz w:val="24"/>
                <w:szCs w:val="24"/>
                <w:lang w:val="en-US" w:eastAsia="zh-CN" w:bidi="ar-SA"/>
              </w:rPr>
              <w:t>废气：项目</w:t>
            </w:r>
            <w:r>
              <w:rPr>
                <w:rFonts w:hint="eastAsia" w:cs="宋体"/>
                <w:color w:val="auto"/>
                <w:sz w:val="24"/>
                <w:szCs w:val="24"/>
                <w:lang w:val="en-US" w:eastAsia="zh-CN" w:bidi="ar-SA"/>
              </w:rPr>
              <w:t>铣磨、磨边</w:t>
            </w:r>
            <w:r>
              <w:rPr>
                <w:rFonts w:hint="eastAsia" w:ascii="Times New Roman" w:hAnsi="Times New Roman" w:eastAsia="宋体" w:cs="宋体"/>
                <w:color w:val="auto"/>
                <w:sz w:val="24"/>
                <w:szCs w:val="24"/>
                <w:lang w:val="en-US" w:eastAsia="zh-CN" w:bidi="ar-SA"/>
              </w:rPr>
              <w:t>、抛光工序均为湿式作业，因此</w:t>
            </w:r>
            <w:r>
              <w:rPr>
                <w:rFonts w:hint="eastAsia" w:cs="宋体"/>
                <w:color w:val="auto"/>
                <w:sz w:val="24"/>
                <w:szCs w:val="24"/>
                <w:lang w:val="en-US" w:eastAsia="zh-CN" w:bidi="ar-SA"/>
              </w:rPr>
              <w:t>加工过程</w:t>
            </w:r>
            <w:r>
              <w:rPr>
                <w:rFonts w:hint="eastAsia" w:ascii="Times New Roman" w:hAnsi="Times New Roman" w:eastAsia="宋体" w:cs="宋体"/>
                <w:color w:val="auto"/>
                <w:sz w:val="24"/>
                <w:szCs w:val="24"/>
                <w:lang w:val="en-US" w:eastAsia="zh-CN" w:bidi="ar-SA"/>
              </w:rPr>
              <w:t>不产生粉尘</w:t>
            </w:r>
            <w:r>
              <w:rPr>
                <w:rFonts w:hint="eastAsia" w:cs="宋体"/>
                <w:color w:val="auto"/>
                <w:sz w:val="24"/>
                <w:szCs w:val="24"/>
                <w:lang w:val="en-US" w:eastAsia="zh-CN" w:bidi="ar-SA"/>
              </w:rPr>
              <w:t>，产生少量投料粉尘（颗粒物）；</w:t>
            </w:r>
            <w:r>
              <w:rPr>
                <w:rFonts w:hint="eastAsia" w:ascii="Times New Roman" w:hAnsi="Times New Roman" w:eastAsia="宋体" w:cs="宋体"/>
                <w:color w:val="auto"/>
                <w:sz w:val="24"/>
                <w:szCs w:val="24"/>
                <w:lang w:val="en-US" w:eastAsia="zh-CN" w:bidi="ar-SA"/>
              </w:rPr>
              <w:t>超声波清洗机设备密闭。本项目废气主要为</w:t>
            </w:r>
            <w:r>
              <w:rPr>
                <w:rFonts w:hint="eastAsia" w:cs="宋体"/>
                <w:color w:val="auto"/>
                <w:sz w:val="24"/>
                <w:szCs w:val="24"/>
                <w:lang w:val="en-US" w:eastAsia="zh-CN" w:bidi="ar-SA"/>
              </w:rPr>
              <w:t>超</w:t>
            </w:r>
            <w:r>
              <w:rPr>
                <w:rFonts w:hint="eastAsia" w:ascii="Times New Roman" w:hAnsi="Times New Roman" w:cs="宋体"/>
                <w:color w:val="auto"/>
                <w:sz w:val="24"/>
                <w:szCs w:val="24"/>
                <w:lang w:val="en-US" w:eastAsia="zh-CN" w:bidi="ar-SA"/>
              </w:rPr>
              <w:t>洗废气以及</w:t>
            </w:r>
            <w:r>
              <w:rPr>
                <w:rFonts w:hint="eastAsia" w:ascii="Times New Roman" w:hAnsi="Times New Roman" w:eastAsia="宋体" w:cs="宋体"/>
                <w:color w:val="auto"/>
                <w:sz w:val="24"/>
                <w:szCs w:val="24"/>
                <w:lang w:val="en-US" w:eastAsia="zh-CN" w:bidi="ar-SA"/>
              </w:rPr>
              <w:t>镜片成品用乙醇、乙醚</w:t>
            </w:r>
            <w:r>
              <w:rPr>
                <w:rFonts w:hint="eastAsia" w:ascii="Times New Roman" w:hAnsi="Times New Roman" w:cs="宋体"/>
                <w:color w:val="auto"/>
                <w:sz w:val="24"/>
                <w:szCs w:val="24"/>
                <w:lang w:val="en-US" w:eastAsia="zh-CN" w:bidi="ar-SA"/>
              </w:rPr>
              <w:t>、丙酮</w:t>
            </w:r>
            <w:r>
              <w:rPr>
                <w:rFonts w:hint="eastAsia" w:ascii="Times New Roman" w:hAnsi="Times New Roman" w:eastAsia="宋体" w:cs="宋体"/>
                <w:color w:val="auto"/>
                <w:sz w:val="24"/>
                <w:szCs w:val="24"/>
                <w:lang w:val="en-US" w:eastAsia="zh-CN" w:bidi="ar-SA"/>
              </w:rPr>
              <w:t>擦拭挥发的有机废气。</w:t>
            </w:r>
          </w:p>
          <w:p w14:paraId="0877A2A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宋体"/>
                <w:color w:val="auto"/>
                <w:sz w:val="24"/>
                <w:szCs w:val="24"/>
                <w:lang w:val="en-US" w:eastAsia="en-US" w:bidi="ar-SA"/>
              </w:rPr>
            </w:pPr>
            <w:r>
              <w:rPr>
                <w:rFonts w:hint="eastAsia" w:ascii="Times New Roman" w:hAnsi="Times New Roman" w:eastAsia="宋体" w:cs="宋体"/>
                <w:color w:val="auto"/>
                <w:sz w:val="24"/>
                <w:szCs w:val="24"/>
                <w:lang w:val="en-US" w:eastAsia="zh-CN" w:bidi="ar-SA"/>
              </w:rPr>
              <w:t>噪声：本项目噪声主要来自空压机、冷却塔等设备产生的机械噪声。</w:t>
            </w:r>
          </w:p>
          <w:p w14:paraId="6FDE2649">
            <w:pPr>
              <w:widowControl w:val="0"/>
              <w:bidi w:val="0"/>
              <w:spacing w:line="360" w:lineRule="auto"/>
              <w:ind w:firstLine="480" w:firstLineChars="200"/>
              <w:jc w:val="both"/>
              <w:rPr>
                <w:rFonts w:hint="eastAsia" w:ascii="Times New Roman" w:hAnsi="Times New Roman" w:eastAsia="宋体" w:cs="宋体"/>
                <w:color w:val="auto"/>
                <w:sz w:val="24"/>
                <w:szCs w:val="24"/>
                <w:lang w:val="en-US" w:eastAsia="zh-CN" w:bidi="ar-SA"/>
              </w:rPr>
            </w:pPr>
            <w:r>
              <w:rPr>
                <w:rFonts w:hint="eastAsia" w:ascii="Times New Roman" w:hAnsi="Times New Roman" w:eastAsia="宋体" w:cs="宋体"/>
                <w:color w:val="auto"/>
                <w:sz w:val="24"/>
                <w:szCs w:val="24"/>
                <w:lang w:val="en-US" w:eastAsia="zh-CN" w:bidi="ar-SA"/>
              </w:rPr>
              <w:t>固体废物：切割工序产生的边角料、检验过程中产生的不合格品、</w:t>
            </w:r>
            <w:r>
              <w:rPr>
                <w:rFonts w:hint="eastAsia" w:ascii="Times New Roman" w:hAnsi="Times New Roman" w:eastAsia="宋体" w:cs="宋体"/>
                <w:color w:val="auto"/>
                <w:kern w:val="2"/>
                <w:sz w:val="24"/>
                <w:szCs w:val="24"/>
                <w:lang w:val="en-US" w:eastAsia="zh-CN" w:bidi="ar-SA"/>
              </w:rPr>
              <w:t>擦拭检测产生的</w:t>
            </w:r>
            <w:r>
              <w:rPr>
                <w:rFonts w:hint="default" w:ascii="Times New Roman" w:hAnsi="Times New Roman" w:eastAsia="宋体" w:cs="宋体"/>
                <w:color w:val="auto"/>
                <w:kern w:val="2"/>
                <w:sz w:val="24"/>
                <w:szCs w:val="24"/>
                <w:lang w:val="en-US" w:eastAsia="zh-CN" w:bidi="ar-SA"/>
              </w:rPr>
              <w:t>废</w:t>
            </w:r>
            <w:r>
              <w:rPr>
                <w:rFonts w:hint="eastAsia" w:cs="宋体"/>
                <w:color w:val="auto"/>
                <w:kern w:val="2"/>
                <w:sz w:val="24"/>
                <w:szCs w:val="24"/>
                <w:lang w:val="en-US" w:eastAsia="zh-CN" w:bidi="ar-SA"/>
              </w:rPr>
              <w:t>擦拭纸</w:t>
            </w:r>
            <w:r>
              <w:rPr>
                <w:rFonts w:hint="default" w:ascii="Times New Roman" w:hAnsi="Times New Roman" w:eastAsia="宋体" w:cs="宋体"/>
                <w:color w:val="auto"/>
                <w:kern w:val="2"/>
                <w:sz w:val="24"/>
                <w:szCs w:val="24"/>
                <w:lang w:val="en-US" w:eastAsia="zh-CN" w:bidi="ar-SA"/>
              </w:rPr>
              <w:t>和废绸布、</w:t>
            </w:r>
            <w:r>
              <w:rPr>
                <w:rFonts w:hint="eastAsia" w:ascii="Times New Roman" w:hAnsi="Times New Roman" w:eastAsia="宋体" w:cs="宋体"/>
                <w:color w:val="auto"/>
                <w:kern w:val="2"/>
                <w:sz w:val="24"/>
                <w:szCs w:val="24"/>
                <w:lang w:val="en-US" w:eastAsia="zh-CN" w:bidi="ar-SA"/>
              </w:rPr>
              <w:t>使用有机溶剂后产生的废包装容器、废气治理设施产生的废活性炭、污水处理设施污泥、废</w:t>
            </w:r>
            <w:r>
              <w:rPr>
                <w:rFonts w:hint="eastAsia" w:ascii="Times New Roman" w:hAnsi="Times New Roman" w:eastAsia="宋体" w:cs="宋体"/>
                <w:color w:val="auto"/>
                <w:sz w:val="24"/>
                <w:szCs w:val="24"/>
                <w:lang w:val="en-US" w:eastAsia="zh-CN" w:bidi="ar-SA"/>
              </w:rPr>
              <w:t>切削液</w:t>
            </w:r>
            <w:r>
              <w:rPr>
                <w:rFonts w:hint="eastAsia" w:cs="宋体"/>
                <w:color w:val="auto"/>
                <w:sz w:val="24"/>
                <w:szCs w:val="24"/>
                <w:lang w:val="en-US" w:eastAsia="zh-CN" w:bidi="ar-SA"/>
              </w:rPr>
              <w:t>（含切削液污泥）、废除油剂、废机油</w:t>
            </w:r>
            <w:r>
              <w:rPr>
                <w:rFonts w:hint="eastAsia" w:ascii="Times New Roman" w:hAnsi="Times New Roman" w:eastAsia="宋体" w:cs="宋体"/>
                <w:color w:val="auto"/>
                <w:sz w:val="24"/>
                <w:szCs w:val="24"/>
                <w:lang w:val="en-US" w:eastAsia="zh-CN" w:bidi="ar-SA"/>
              </w:rPr>
              <w:t>及员工生活垃圾。</w:t>
            </w:r>
          </w:p>
          <w:p w14:paraId="3FB8FC3A">
            <w:pPr>
              <w:keepNext w:val="0"/>
              <w:keepLines w:val="0"/>
              <w:pageBreakBefore w:val="0"/>
              <w:widowControl w:val="0"/>
              <w:kinsoku/>
              <w:wordWrap/>
              <w:overflowPunct/>
              <w:topLinePunct w:val="0"/>
              <w:autoSpaceDE/>
              <w:autoSpaceDN/>
              <w:bidi w:val="0"/>
              <w:adjustRightInd/>
              <w:snapToGrid/>
              <w:spacing w:line="360" w:lineRule="auto"/>
              <w:textAlignment w:val="auto"/>
              <w:outlineLvl w:val="2"/>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lang w:val="en-US" w:eastAsia="zh-CN"/>
              </w:rPr>
              <w:t>2.</w:t>
            </w:r>
            <w:r>
              <w:rPr>
                <w:rFonts w:hint="eastAsia"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w:t>
            </w:r>
            <w:r>
              <w:rPr>
                <w:rFonts w:hint="eastAsia"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lang w:val="en-US" w:eastAsia="zh-CN"/>
              </w:rPr>
              <w:t xml:space="preserve"> 产污环节分析</w:t>
            </w:r>
          </w:p>
          <w:p w14:paraId="76B4030D">
            <w:pPr>
              <w:autoSpaceDE w:val="0"/>
              <w:autoSpaceDN w:val="0"/>
              <w:spacing w:line="360" w:lineRule="auto"/>
              <w:ind w:firstLine="480" w:firstLineChars="200"/>
              <w:textAlignment w:val="bottom"/>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项目产污环节说明一览表详见下表</w:t>
            </w:r>
            <w:r>
              <w:rPr>
                <w:rFonts w:hint="default" w:ascii="Times New Roman" w:hAnsi="Times New Roman" w:eastAsia="宋体" w:cs="Times New Roman"/>
                <w:color w:val="auto"/>
                <w:sz w:val="24"/>
                <w:szCs w:val="24"/>
                <w:highlight w:val="none"/>
                <w:lang w:val="en-US" w:eastAsia="zh-CN"/>
              </w:rPr>
              <w:t>2.</w:t>
            </w: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-1。</w:t>
            </w:r>
          </w:p>
          <w:p w14:paraId="339CE19B">
            <w:pPr>
              <w:pStyle w:val="17"/>
              <w:keepNext w:val="0"/>
              <w:keepLines w:val="0"/>
              <w:pageBreakBefore w:val="0"/>
              <w:widowControl w:val="0"/>
              <w:kinsoku/>
              <w:wordWrap/>
              <w:overflowPunct/>
              <w:topLinePunct w:val="0"/>
              <w:autoSpaceDE w:val="0"/>
              <w:autoSpaceDN w:val="0"/>
              <w:bidi w:val="0"/>
              <w:adjustRightInd w:val="0"/>
              <w:snapToGrid w:val="0"/>
              <w:spacing w:before="0" w:beforeAutospacing="0" w:after="0" w:afterAutospacing="0" w:line="240" w:lineRule="auto"/>
              <w:jc w:val="center"/>
              <w:textAlignment w:val="baseline"/>
              <w:rPr>
                <w:rFonts w:hint="default" w:ascii="Times New Roman" w:hAnsi="Times New Roman" w:eastAsia="宋体" w:cs="Times New Roman"/>
                <w:b/>
                <w:bCs/>
                <w:color w:val="auto"/>
                <w:spacing w:val="6"/>
                <w:highlight w:val="none"/>
              </w:rPr>
            </w:pPr>
            <w:r>
              <w:rPr>
                <w:rFonts w:hint="default" w:ascii="Times New Roman" w:hAnsi="Times New Roman" w:eastAsia="宋体" w:cs="Times New Roman"/>
                <w:b/>
                <w:bCs/>
                <w:color w:val="auto"/>
                <w:spacing w:val="6"/>
                <w:highlight w:val="none"/>
              </w:rPr>
              <w:t>表</w:t>
            </w:r>
            <w:r>
              <w:rPr>
                <w:rFonts w:hint="default" w:ascii="Times New Roman" w:hAnsi="Times New Roman" w:eastAsia="宋体" w:cs="Times New Roman"/>
                <w:b/>
                <w:bCs/>
                <w:color w:val="auto"/>
                <w:spacing w:val="6"/>
                <w:highlight w:val="none"/>
                <w:lang w:val="en-US" w:eastAsia="zh-CN"/>
              </w:rPr>
              <w:t>2.</w:t>
            </w:r>
            <w:r>
              <w:rPr>
                <w:rFonts w:hint="eastAsia" w:cs="Times New Roman"/>
                <w:b/>
                <w:bCs/>
                <w:color w:val="auto"/>
                <w:spacing w:val="6"/>
                <w:highlight w:val="none"/>
                <w:lang w:val="en-US" w:eastAsia="zh-CN"/>
              </w:rPr>
              <w:t>2</w:t>
            </w:r>
            <w:r>
              <w:rPr>
                <w:rFonts w:hint="default" w:ascii="Times New Roman" w:hAnsi="Times New Roman" w:eastAsia="宋体" w:cs="Times New Roman"/>
                <w:b/>
                <w:bCs/>
                <w:color w:val="auto"/>
                <w:spacing w:val="6"/>
                <w:highlight w:val="none"/>
                <w:lang w:val="en-US" w:eastAsia="zh-CN"/>
              </w:rPr>
              <w:t>-1</w:t>
            </w:r>
            <w:r>
              <w:rPr>
                <w:rFonts w:hint="default" w:ascii="Times New Roman" w:hAnsi="Times New Roman" w:eastAsia="宋体" w:cs="Times New Roman"/>
                <w:b/>
                <w:bCs/>
                <w:color w:val="auto"/>
                <w:spacing w:val="6"/>
                <w:highlight w:val="none"/>
              </w:rPr>
              <w:t xml:space="preserve">  </w:t>
            </w:r>
            <w:r>
              <w:rPr>
                <w:rFonts w:hint="default" w:ascii="Times New Roman" w:hAnsi="Times New Roman" w:eastAsia="宋体" w:cs="Times New Roman"/>
                <w:b/>
                <w:bCs/>
                <w:color w:val="auto"/>
                <w:spacing w:val="6"/>
                <w:highlight w:val="none"/>
                <w:lang w:eastAsia="zh-CN"/>
              </w:rPr>
              <w:t>项目产污环节说明一览</w:t>
            </w:r>
            <w:r>
              <w:rPr>
                <w:rFonts w:hint="default" w:ascii="Times New Roman" w:hAnsi="Times New Roman" w:eastAsia="宋体" w:cs="Times New Roman"/>
                <w:b/>
                <w:bCs/>
                <w:color w:val="auto"/>
                <w:spacing w:val="6"/>
                <w:highlight w:val="none"/>
              </w:rPr>
              <w:t>表</w:t>
            </w:r>
          </w:p>
          <w:tbl>
            <w:tblPr>
              <w:tblStyle w:val="6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1557"/>
              <w:gridCol w:w="1654"/>
              <w:gridCol w:w="1538"/>
              <w:gridCol w:w="2992"/>
            </w:tblGrid>
            <w:tr w14:paraId="7FEEEF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noWrap w:val="0"/>
                  <w:vAlign w:val="center"/>
                </w:tcPr>
                <w:p w14:paraId="3BE59637">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bookmarkStart w:id="41" w:name="_Hlk513125280"/>
                  <w:r>
                    <w:rPr>
                      <w:rFonts w:hint="default" w:ascii="Times New Roman" w:hAnsi="Times New Roman" w:eastAsia="宋体" w:cs="Times New Roman"/>
                      <w:b/>
                      <w:bCs/>
                      <w:color w:val="auto"/>
                      <w:sz w:val="21"/>
                      <w:szCs w:val="21"/>
                      <w:highlight w:val="none"/>
                    </w:rPr>
                    <w:t>类别</w:t>
                  </w:r>
                </w:p>
              </w:tc>
              <w:tc>
                <w:tcPr>
                  <w:tcW w:w="926" w:type="pct"/>
                  <w:noWrap w:val="0"/>
                  <w:vAlign w:val="center"/>
                </w:tcPr>
                <w:p w14:paraId="26E6EA95">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污染源</w:t>
                  </w:r>
                </w:p>
              </w:tc>
              <w:tc>
                <w:tcPr>
                  <w:tcW w:w="984" w:type="pct"/>
                  <w:noWrap w:val="0"/>
                  <w:vAlign w:val="center"/>
                </w:tcPr>
                <w:p w14:paraId="38A3A5F6">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污染因子</w:t>
                  </w:r>
                </w:p>
              </w:tc>
              <w:tc>
                <w:tcPr>
                  <w:tcW w:w="915" w:type="pct"/>
                  <w:noWrap w:val="0"/>
                  <w:vAlign w:val="center"/>
                </w:tcPr>
                <w:p w14:paraId="4DC117E5">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产污环节</w:t>
                  </w:r>
                </w:p>
              </w:tc>
              <w:tc>
                <w:tcPr>
                  <w:tcW w:w="1780" w:type="pct"/>
                  <w:noWrap w:val="0"/>
                  <w:vAlign w:val="center"/>
                </w:tcPr>
                <w:p w14:paraId="09107139">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治理措施及排放去向</w:t>
                  </w:r>
                </w:p>
              </w:tc>
            </w:tr>
            <w:tr w14:paraId="21F5B7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restart"/>
                  <w:noWrap w:val="0"/>
                  <w:vAlign w:val="center"/>
                </w:tcPr>
                <w:p w14:paraId="612EA1E1">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w:t>
                  </w:r>
                </w:p>
              </w:tc>
              <w:tc>
                <w:tcPr>
                  <w:tcW w:w="926" w:type="pct"/>
                  <w:noWrap w:val="0"/>
                  <w:vAlign w:val="center"/>
                </w:tcPr>
                <w:p w14:paraId="2E74EB8A">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磨边废气、擦拭废气、超洗废气</w:t>
                  </w:r>
                </w:p>
              </w:tc>
              <w:tc>
                <w:tcPr>
                  <w:tcW w:w="984" w:type="pct"/>
                  <w:noWrap w:val="0"/>
                  <w:vAlign w:val="center"/>
                </w:tcPr>
                <w:p w14:paraId="2DA93EC9">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VOCs、乙醇、乙醚、丙酮（以非甲烷总烃计）</w:t>
                  </w:r>
                </w:p>
              </w:tc>
              <w:tc>
                <w:tcPr>
                  <w:tcW w:w="915" w:type="pct"/>
                  <w:noWrap w:val="0"/>
                  <w:vAlign w:val="center"/>
                </w:tcPr>
                <w:p w14:paraId="6C7DDB08">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磨边、擦拭、超声波清洗</w:t>
                  </w:r>
                </w:p>
              </w:tc>
              <w:tc>
                <w:tcPr>
                  <w:tcW w:w="1780" w:type="pct"/>
                  <w:noWrap w:val="0"/>
                  <w:vAlign w:val="center"/>
                </w:tcPr>
                <w:p w14:paraId="1744E349">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有机废气车间密闭负压收集废气，通过二级活性炭吸附装置处理达标后由25m高排气筒排放</w:t>
                  </w:r>
                </w:p>
              </w:tc>
            </w:tr>
            <w:tr w14:paraId="210C49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continue"/>
                  <w:noWrap w:val="0"/>
                  <w:vAlign w:val="center"/>
                </w:tcPr>
                <w:p w14:paraId="5F327A7F">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0017EF4F">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磨边、铣磨、抛光投料废气</w:t>
                  </w:r>
                </w:p>
              </w:tc>
              <w:tc>
                <w:tcPr>
                  <w:tcW w:w="984" w:type="pct"/>
                  <w:noWrap w:val="0"/>
                  <w:vAlign w:val="center"/>
                </w:tcPr>
                <w:p w14:paraId="513525C4">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颗粒物</w:t>
                  </w:r>
                </w:p>
              </w:tc>
              <w:tc>
                <w:tcPr>
                  <w:tcW w:w="915" w:type="pct"/>
                  <w:noWrap w:val="0"/>
                  <w:vAlign w:val="center"/>
                </w:tcPr>
                <w:p w14:paraId="765D2FC0">
                  <w:pPr>
                    <w:pStyle w:val="61"/>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磨边、铣磨、抛光投料</w:t>
                  </w:r>
                </w:p>
              </w:tc>
              <w:tc>
                <w:tcPr>
                  <w:tcW w:w="1780" w:type="pct"/>
                  <w:noWrap w:val="0"/>
                  <w:vAlign w:val="center"/>
                </w:tcPr>
                <w:p w14:paraId="3014C92F">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车间密闭，自然沉降</w:t>
                  </w:r>
                </w:p>
              </w:tc>
            </w:tr>
            <w:tr w14:paraId="10CA0C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restart"/>
                  <w:noWrap w:val="0"/>
                  <w:vAlign w:val="center"/>
                </w:tcPr>
                <w:p w14:paraId="7F8C40B3">
                  <w:pPr>
                    <w:pStyle w:val="61"/>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废水</w:t>
                  </w:r>
                </w:p>
              </w:tc>
              <w:tc>
                <w:tcPr>
                  <w:tcW w:w="926" w:type="pct"/>
                  <w:noWrap w:val="0"/>
                  <w:vAlign w:val="center"/>
                </w:tcPr>
                <w:p w14:paraId="49341303">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铣磨废水、抛光废水、磨边废水、超洗废水</w:t>
                  </w:r>
                </w:p>
              </w:tc>
              <w:tc>
                <w:tcPr>
                  <w:tcW w:w="984" w:type="pct"/>
                  <w:noWrap w:val="0"/>
                  <w:vAlign w:val="center"/>
                </w:tcPr>
                <w:p w14:paraId="16E20740">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pH值、COD、SS、BOD</w:t>
                  </w:r>
                  <w:r>
                    <w:rPr>
                      <w:rFonts w:hint="eastAsia" w:ascii="Times New Roman" w:hAnsi="Times New Roman" w:eastAsia="宋体" w:cs="Times New Roman"/>
                      <w:color w:val="auto"/>
                      <w:sz w:val="21"/>
                      <w:szCs w:val="21"/>
                      <w:highlight w:val="none"/>
                      <w:vertAlign w:val="subscript"/>
                      <w:lang w:val="en-US" w:eastAsia="zh-CN"/>
                    </w:rPr>
                    <w:t>5</w:t>
                  </w:r>
                  <w:r>
                    <w:rPr>
                      <w:rFonts w:hint="eastAsia" w:ascii="Times New Roman" w:hAnsi="Times New Roman" w:eastAsia="宋体" w:cs="Times New Roman"/>
                      <w:color w:val="auto"/>
                      <w:sz w:val="21"/>
                      <w:szCs w:val="21"/>
                      <w:highlight w:val="none"/>
                      <w:lang w:val="en-US" w:eastAsia="zh-CN"/>
                    </w:rPr>
                    <w:t>、NH</w:t>
                  </w:r>
                  <w:r>
                    <w:rPr>
                      <w:rFonts w:hint="eastAsia" w:ascii="Times New Roman" w:hAnsi="Times New Roman" w:eastAsia="宋体" w:cs="Times New Roman"/>
                      <w:color w:val="auto"/>
                      <w:sz w:val="21"/>
                      <w:szCs w:val="21"/>
                      <w:highlight w:val="none"/>
                      <w:vertAlign w:val="subscript"/>
                      <w:lang w:val="en-US" w:eastAsia="zh-CN"/>
                    </w:rPr>
                    <w:t>3</w:t>
                  </w:r>
                  <w:r>
                    <w:rPr>
                      <w:rFonts w:hint="eastAsia" w:ascii="Times New Roman" w:hAnsi="Times New Roman" w:eastAsia="宋体" w:cs="Times New Roman"/>
                      <w:color w:val="auto"/>
                      <w:sz w:val="21"/>
                      <w:szCs w:val="21"/>
                      <w:highlight w:val="none"/>
                      <w:lang w:val="en-US" w:eastAsia="zh-CN"/>
                    </w:rPr>
                    <w:t>-N、LAS</w:t>
                  </w:r>
                </w:p>
              </w:tc>
              <w:tc>
                <w:tcPr>
                  <w:tcW w:w="915" w:type="pct"/>
                  <w:noWrap w:val="0"/>
                  <w:vAlign w:val="center"/>
                </w:tcPr>
                <w:p w14:paraId="37BC109F">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铣磨、抛光、磨边、超声波清洗</w:t>
                  </w:r>
                </w:p>
              </w:tc>
              <w:tc>
                <w:tcPr>
                  <w:tcW w:w="1780" w:type="pct"/>
                  <w:noWrap w:val="0"/>
                  <w:vAlign w:val="center"/>
                </w:tcPr>
                <w:p w14:paraId="31B3C35D">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sz w:val="21"/>
                      <w:szCs w:val="21"/>
                      <w:highlight w:val="none"/>
                      <w:lang w:val="en-US" w:eastAsia="zh-CN"/>
                    </w:rPr>
                    <w:t>铣磨废水、抛光废水、磨边废水、超洗废水经过三级沉淀池沉淀处理达标后排入市政管网，纳入大学城污水处理厂；纯水槽的纯水与非纯净废水直接排入市政管网，纳入大学城污水处理厂处理</w:t>
                  </w:r>
                </w:p>
              </w:tc>
            </w:tr>
            <w:tr w14:paraId="7DE18C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continue"/>
                  <w:noWrap w:val="0"/>
                  <w:vAlign w:val="center"/>
                </w:tcPr>
                <w:p w14:paraId="2AED80E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7CB9DC7F">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生活污水</w:t>
                  </w:r>
                </w:p>
              </w:tc>
              <w:tc>
                <w:tcPr>
                  <w:tcW w:w="984" w:type="pct"/>
                  <w:noWrap w:val="0"/>
                  <w:vAlign w:val="center"/>
                </w:tcPr>
                <w:p w14:paraId="0DD1191F">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pH值、COD、SS、BOD</w:t>
                  </w:r>
                  <w:r>
                    <w:rPr>
                      <w:rFonts w:hint="eastAsia" w:ascii="Times New Roman" w:hAnsi="Times New Roman" w:eastAsia="宋体" w:cs="Times New Roman"/>
                      <w:color w:val="auto"/>
                      <w:sz w:val="21"/>
                      <w:szCs w:val="21"/>
                      <w:highlight w:val="none"/>
                      <w:vertAlign w:val="subscript"/>
                      <w:lang w:val="en-US" w:eastAsia="zh-CN"/>
                    </w:rPr>
                    <w:t>5</w:t>
                  </w:r>
                  <w:r>
                    <w:rPr>
                      <w:rFonts w:hint="eastAsia" w:ascii="Times New Roman" w:hAnsi="Times New Roman" w:eastAsia="宋体" w:cs="Times New Roman"/>
                      <w:color w:val="auto"/>
                      <w:sz w:val="21"/>
                      <w:szCs w:val="21"/>
                      <w:highlight w:val="none"/>
                      <w:lang w:val="en-US" w:eastAsia="zh-CN"/>
                    </w:rPr>
                    <w:t>、NH</w:t>
                  </w:r>
                  <w:r>
                    <w:rPr>
                      <w:rFonts w:hint="eastAsia" w:ascii="Times New Roman" w:hAnsi="Times New Roman" w:eastAsia="宋体" w:cs="Times New Roman"/>
                      <w:color w:val="auto"/>
                      <w:sz w:val="21"/>
                      <w:szCs w:val="21"/>
                      <w:highlight w:val="none"/>
                      <w:vertAlign w:val="subscript"/>
                      <w:lang w:val="en-US" w:eastAsia="zh-CN"/>
                    </w:rPr>
                    <w:t>3</w:t>
                  </w:r>
                  <w:r>
                    <w:rPr>
                      <w:rFonts w:hint="eastAsia" w:ascii="Times New Roman" w:hAnsi="Times New Roman" w:eastAsia="宋体" w:cs="Times New Roman"/>
                      <w:color w:val="auto"/>
                      <w:sz w:val="21"/>
                      <w:szCs w:val="21"/>
                      <w:highlight w:val="none"/>
                      <w:lang w:val="en-US" w:eastAsia="zh-CN"/>
                    </w:rPr>
                    <w:t>-N</w:t>
                  </w:r>
                </w:p>
              </w:tc>
              <w:tc>
                <w:tcPr>
                  <w:tcW w:w="915" w:type="pct"/>
                  <w:noWrap w:val="0"/>
                  <w:vAlign w:val="center"/>
                </w:tcPr>
                <w:p w14:paraId="6735325A">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日常生活工作</w:t>
                  </w:r>
                </w:p>
              </w:tc>
              <w:tc>
                <w:tcPr>
                  <w:tcW w:w="1780" w:type="pct"/>
                  <w:noWrap w:val="0"/>
                  <w:vAlign w:val="center"/>
                </w:tcPr>
                <w:p w14:paraId="3C2AD910">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生活污水经化粪池处理达标后，排入市政污水管网，纳入大学城污水处理厂处理</w:t>
                  </w:r>
                </w:p>
              </w:tc>
            </w:tr>
            <w:tr w14:paraId="61BBEA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noWrap w:val="0"/>
                  <w:vAlign w:val="center"/>
                </w:tcPr>
                <w:p w14:paraId="6394C815">
                  <w:pPr>
                    <w:pStyle w:val="61"/>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噪声</w:t>
                  </w:r>
                </w:p>
              </w:tc>
              <w:tc>
                <w:tcPr>
                  <w:tcW w:w="926" w:type="pct"/>
                  <w:noWrap w:val="0"/>
                  <w:vAlign w:val="center"/>
                </w:tcPr>
                <w:p w14:paraId="6B49AE0C">
                  <w:pPr>
                    <w:pStyle w:val="61"/>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olor w:val="auto"/>
                      <w:sz w:val="21"/>
                      <w:szCs w:val="21"/>
                    </w:rPr>
                    <w:t>生产设备</w:t>
                  </w:r>
                  <w:r>
                    <w:rPr>
                      <w:rFonts w:hint="eastAsia"/>
                      <w:color w:val="auto"/>
                      <w:sz w:val="21"/>
                      <w:szCs w:val="21"/>
                      <w:lang w:val="en-US" w:eastAsia="zh-CN"/>
                    </w:rPr>
                    <w:t>噪声</w:t>
                  </w:r>
                </w:p>
              </w:tc>
              <w:tc>
                <w:tcPr>
                  <w:tcW w:w="984" w:type="pct"/>
                  <w:noWrap w:val="0"/>
                  <w:vAlign w:val="center"/>
                </w:tcPr>
                <w:p w14:paraId="332454DA">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color w:val="auto"/>
                      <w:sz w:val="21"/>
                      <w:szCs w:val="21"/>
                      <w:lang w:val="en-US" w:eastAsia="zh-CN"/>
                    </w:rPr>
                    <w:t>连续</w:t>
                  </w:r>
                  <w:r>
                    <w:rPr>
                      <w:rFonts w:hint="eastAsia" w:ascii="Times New Roman" w:hAnsi="Times New Roman"/>
                      <w:color w:val="auto"/>
                      <w:sz w:val="21"/>
                      <w:szCs w:val="21"/>
                    </w:rPr>
                    <w:t>等效A声级Leq</w:t>
                  </w:r>
                </w:p>
              </w:tc>
              <w:tc>
                <w:tcPr>
                  <w:tcW w:w="915" w:type="pct"/>
                  <w:noWrap w:val="0"/>
                  <w:vAlign w:val="center"/>
                </w:tcPr>
                <w:p w14:paraId="3203E448">
                  <w:pPr>
                    <w:pStyle w:val="61"/>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生产设备</w:t>
                  </w:r>
                </w:p>
              </w:tc>
              <w:tc>
                <w:tcPr>
                  <w:tcW w:w="1780" w:type="pct"/>
                  <w:noWrap w:val="0"/>
                  <w:vAlign w:val="center"/>
                </w:tcPr>
                <w:p w14:paraId="32A93C9F">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color w:val="auto"/>
                      <w:sz w:val="21"/>
                      <w:szCs w:val="21"/>
                    </w:rPr>
                    <w:t>优先选用先进、低噪声设备；对高噪声设备采取减振基础、安装减振垫圈等减震措施；对各类机械设备定期检修、维护，防止设备异常噪声产生；优化平面布局，合理布置高噪声设备于远离声环境敏感点位置</w:t>
                  </w:r>
                  <w:r>
                    <w:rPr>
                      <w:rFonts w:hint="eastAsia" w:ascii="Times New Roman" w:hAnsi="Times New Roman"/>
                      <w:color w:val="auto"/>
                      <w:sz w:val="21"/>
                      <w:szCs w:val="21"/>
                      <w:lang w:eastAsia="zh-CN"/>
                    </w:rPr>
                    <w:t>，</w:t>
                  </w:r>
                  <w:r>
                    <w:rPr>
                      <w:rFonts w:hint="eastAsia" w:ascii="Times New Roman" w:hAnsi="Times New Roman"/>
                      <w:color w:val="auto"/>
                      <w:sz w:val="21"/>
                      <w:szCs w:val="21"/>
                      <w:lang w:val="en-US" w:eastAsia="zh-CN"/>
                    </w:rPr>
                    <w:t>夜间不生产</w:t>
                  </w:r>
                </w:p>
              </w:tc>
            </w:tr>
            <w:tr w14:paraId="6F331A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restart"/>
                  <w:noWrap w:val="0"/>
                  <w:vAlign w:val="center"/>
                </w:tcPr>
                <w:p w14:paraId="46701F16">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固体废物</w:t>
                  </w:r>
                </w:p>
              </w:tc>
              <w:tc>
                <w:tcPr>
                  <w:tcW w:w="926" w:type="pct"/>
                  <w:noWrap w:val="0"/>
                  <w:vAlign w:val="center"/>
                </w:tcPr>
                <w:p w14:paraId="397375A3">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lang w:val="en-US" w:eastAsia="zh-CN" w:bidi="ar-SA"/>
                    </w:rPr>
                    <w:t>抛光残渣</w:t>
                  </w:r>
                </w:p>
              </w:tc>
              <w:tc>
                <w:tcPr>
                  <w:tcW w:w="984" w:type="pct"/>
                  <w:noWrap w:val="0"/>
                  <w:vAlign w:val="center"/>
                </w:tcPr>
                <w:p w14:paraId="6FCB768A">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颗粒物</w:t>
                  </w:r>
                </w:p>
              </w:tc>
              <w:tc>
                <w:tcPr>
                  <w:tcW w:w="915" w:type="pct"/>
                  <w:noWrap w:val="0"/>
                  <w:vAlign w:val="center"/>
                </w:tcPr>
                <w:p w14:paraId="2E3E6EEF">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抛光</w:t>
                  </w:r>
                </w:p>
              </w:tc>
              <w:tc>
                <w:tcPr>
                  <w:tcW w:w="1780" w:type="pct"/>
                  <w:noWrap w:val="0"/>
                  <w:vAlign w:val="center"/>
                </w:tcPr>
                <w:p w14:paraId="2ACDD6BA">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lang w:val="en-US" w:eastAsia="zh-CN" w:bidi="ar-SA"/>
                    </w:rPr>
                    <w:t>妥善收集后外售给其他企业回收综合利用</w:t>
                  </w:r>
                </w:p>
              </w:tc>
            </w:tr>
            <w:tr w14:paraId="68AA1A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continue"/>
                  <w:noWrap w:val="0"/>
                  <w:vAlign w:val="center"/>
                </w:tcPr>
                <w:p w14:paraId="63F3735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003D7B84">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废边角料</w:t>
                  </w:r>
                </w:p>
              </w:tc>
              <w:tc>
                <w:tcPr>
                  <w:tcW w:w="984" w:type="pct"/>
                  <w:noWrap w:val="0"/>
                  <w:vAlign w:val="center"/>
                </w:tcPr>
                <w:p w14:paraId="426CDF91">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产品原料碎屑</w:t>
                  </w:r>
                </w:p>
              </w:tc>
              <w:tc>
                <w:tcPr>
                  <w:tcW w:w="915" w:type="pct"/>
                  <w:noWrap w:val="0"/>
                  <w:vAlign w:val="center"/>
                </w:tcPr>
                <w:p w14:paraId="00F7D5F0">
                  <w:pPr>
                    <w:pStyle w:val="61"/>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0"/>
                      <w:lang w:val="en-US" w:eastAsia="zh-CN" w:bidi="ar-SA"/>
                    </w:rPr>
                    <w:t>磨边</w:t>
                  </w:r>
                </w:p>
              </w:tc>
              <w:tc>
                <w:tcPr>
                  <w:tcW w:w="1780" w:type="pct"/>
                  <w:noWrap w:val="0"/>
                  <w:vAlign w:val="center"/>
                </w:tcPr>
                <w:p w14:paraId="37A371B8">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 w:val="21"/>
                      <w:szCs w:val="20"/>
                      <w:lang w:val="en-US" w:eastAsia="zh-CN" w:bidi="ar-SA"/>
                    </w:rPr>
                    <w:t>妥善收集后外售给其他企业回收综合利用</w:t>
                  </w:r>
                </w:p>
              </w:tc>
            </w:tr>
            <w:tr w14:paraId="1BED7F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continue"/>
                  <w:noWrap w:val="0"/>
                  <w:vAlign w:val="center"/>
                </w:tcPr>
                <w:p w14:paraId="5C585C2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4DD198CC">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沉淀池污泥</w:t>
                  </w:r>
                </w:p>
              </w:tc>
              <w:tc>
                <w:tcPr>
                  <w:tcW w:w="984" w:type="pct"/>
                  <w:noWrap w:val="0"/>
                  <w:vAlign w:val="center"/>
                </w:tcPr>
                <w:p w14:paraId="7B6368F8">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SS</w:t>
                  </w:r>
                </w:p>
              </w:tc>
              <w:tc>
                <w:tcPr>
                  <w:tcW w:w="915" w:type="pct"/>
                  <w:noWrap w:val="0"/>
                  <w:vAlign w:val="center"/>
                </w:tcPr>
                <w:p w14:paraId="77B4413F">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0"/>
                      <w:lang w:val="en-US" w:eastAsia="zh-CN" w:bidi="ar-SA"/>
                    </w:rPr>
                    <w:t>沉淀</w:t>
                  </w:r>
                </w:p>
              </w:tc>
              <w:tc>
                <w:tcPr>
                  <w:tcW w:w="1780" w:type="pct"/>
                  <w:noWrap w:val="0"/>
                  <w:vAlign w:val="center"/>
                </w:tcPr>
                <w:p w14:paraId="6446FE1D">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lang w:val="en-US" w:eastAsia="zh-CN"/>
                    </w:rPr>
                    <w:t>定期进行清掏，并由当地环卫部门统一清运处理</w:t>
                  </w:r>
                </w:p>
              </w:tc>
            </w:tr>
            <w:tr w14:paraId="009816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continue"/>
                  <w:noWrap w:val="0"/>
                  <w:vAlign w:val="center"/>
                </w:tcPr>
                <w:p w14:paraId="03737AF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79F81643">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不合格产品</w:t>
                  </w:r>
                </w:p>
              </w:tc>
              <w:tc>
                <w:tcPr>
                  <w:tcW w:w="984" w:type="pct"/>
                  <w:noWrap w:val="0"/>
                  <w:vAlign w:val="center"/>
                </w:tcPr>
                <w:p w14:paraId="7B29690E">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不合格产品</w:t>
                  </w:r>
                </w:p>
              </w:tc>
              <w:tc>
                <w:tcPr>
                  <w:tcW w:w="915" w:type="pct"/>
                  <w:noWrap w:val="0"/>
                  <w:vAlign w:val="center"/>
                </w:tcPr>
                <w:p w14:paraId="7FC73447">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0"/>
                      <w:lang w:val="en-US" w:eastAsia="zh-CN" w:bidi="ar-SA"/>
                    </w:rPr>
                    <w:t>检测</w:t>
                  </w:r>
                </w:p>
              </w:tc>
              <w:tc>
                <w:tcPr>
                  <w:tcW w:w="1780" w:type="pct"/>
                  <w:noWrap w:val="0"/>
                  <w:vAlign w:val="center"/>
                </w:tcPr>
                <w:p w14:paraId="1A6FC73D">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0"/>
                      <w:lang w:val="en-US" w:eastAsia="zh-CN" w:bidi="ar-SA"/>
                    </w:rPr>
                    <w:t>妥善收集后外售给其他企业回收综合利用</w:t>
                  </w:r>
                </w:p>
              </w:tc>
            </w:tr>
            <w:tr w14:paraId="2BACE7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continue"/>
                  <w:noWrap w:val="0"/>
                  <w:vAlign w:val="center"/>
                </w:tcPr>
                <w:p w14:paraId="479AFC8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5AC422E2">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rPr>
                  </w:pPr>
                  <w:r>
                    <w:rPr>
                      <w:rFonts w:hint="eastAsia" w:ascii="Times New Roman" w:hAnsi="Times New Roman" w:eastAsia="宋体" w:cs="Times New Roman"/>
                      <w:color w:val="auto"/>
                      <w:kern w:val="0"/>
                      <w:sz w:val="21"/>
                      <w:szCs w:val="20"/>
                      <w:lang w:val="en-US" w:eastAsia="zh-CN" w:bidi="ar-SA"/>
                    </w:rPr>
                    <w:t>生活</w:t>
                  </w:r>
                  <w:r>
                    <w:rPr>
                      <w:rFonts w:hint="eastAsia" w:cs="Times New Roman"/>
                      <w:color w:val="auto"/>
                      <w:kern w:val="0"/>
                      <w:sz w:val="21"/>
                      <w:szCs w:val="20"/>
                      <w:lang w:val="en-US" w:eastAsia="zh-CN" w:bidi="ar-SA"/>
                    </w:rPr>
                    <w:t>垃圾</w:t>
                  </w:r>
                </w:p>
              </w:tc>
              <w:tc>
                <w:tcPr>
                  <w:tcW w:w="984" w:type="pct"/>
                  <w:noWrap w:val="0"/>
                  <w:vAlign w:val="center"/>
                </w:tcPr>
                <w:p w14:paraId="325B78CD">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default" w:ascii="Times New Roman" w:hAnsi="Times New Roman"/>
                      <w:color w:val="auto"/>
                      <w:sz w:val="21"/>
                      <w:szCs w:val="21"/>
                      <w:lang w:val="en-US" w:eastAsia="zh-CN"/>
                    </w:rPr>
                    <w:t>果皮、纸屑</w:t>
                  </w:r>
                </w:p>
              </w:tc>
              <w:tc>
                <w:tcPr>
                  <w:tcW w:w="915" w:type="pct"/>
                  <w:noWrap w:val="0"/>
                  <w:vAlign w:val="center"/>
                </w:tcPr>
                <w:p w14:paraId="5A15193D">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员工日常生活</w:t>
                  </w:r>
                </w:p>
              </w:tc>
              <w:tc>
                <w:tcPr>
                  <w:tcW w:w="1780" w:type="pct"/>
                  <w:noWrap w:val="0"/>
                  <w:vAlign w:val="center"/>
                </w:tcPr>
                <w:p w14:paraId="0FCD80C5">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lang w:val="en-US" w:eastAsia="zh-CN" w:bidi="ar-SA"/>
                    </w:rPr>
                    <w:t>委托环卫部门统一清运</w:t>
                  </w:r>
                </w:p>
              </w:tc>
            </w:tr>
            <w:tr w14:paraId="3D5501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continue"/>
                  <w:noWrap w:val="0"/>
                  <w:vAlign w:val="center"/>
                </w:tcPr>
                <w:p w14:paraId="5A85901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3549785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废活性炭</w:t>
                  </w:r>
                </w:p>
              </w:tc>
              <w:tc>
                <w:tcPr>
                  <w:tcW w:w="984" w:type="pct"/>
                  <w:noWrap w:val="0"/>
                  <w:vAlign w:val="center"/>
                </w:tcPr>
                <w:p w14:paraId="6096CFF0">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非甲烷总烃</w:t>
                  </w:r>
                </w:p>
              </w:tc>
              <w:tc>
                <w:tcPr>
                  <w:tcW w:w="1538" w:type="dxa"/>
                  <w:noWrap w:val="0"/>
                  <w:vAlign w:val="center"/>
                </w:tcPr>
                <w:p w14:paraId="7255DC7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废气治理</w:t>
                  </w:r>
                </w:p>
              </w:tc>
              <w:tc>
                <w:tcPr>
                  <w:tcW w:w="2992" w:type="dxa"/>
                  <w:vMerge w:val="restart"/>
                  <w:noWrap w:val="0"/>
                  <w:vAlign w:val="center"/>
                </w:tcPr>
                <w:p w14:paraId="2135AB3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0"/>
                      <w:lang w:val="en-US" w:eastAsia="zh-CN" w:bidi="ar-SA"/>
                    </w:rPr>
                    <w:t>收集后暂存至厂区的</w:t>
                  </w:r>
                  <w:r>
                    <w:rPr>
                      <w:rFonts w:hint="eastAsia" w:cs="Times New Roman"/>
                      <w:color w:val="auto"/>
                      <w:kern w:val="0"/>
                      <w:sz w:val="21"/>
                      <w:szCs w:val="20"/>
                      <w:lang w:val="en-US" w:eastAsia="zh-CN" w:bidi="ar-SA"/>
                    </w:rPr>
                    <w:t>危险废物</w:t>
                  </w:r>
                  <w:r>
                    <w:rPr>
                      <w:rFonts w:hint="eastAsia" w:ascii="Times New Roman" w:hAnsi="Times New Roman" w:eastAsia="宋体" w:cs="Times New Roman"/>
                      <w:color w:val="auto"/>
                      <w:kern w:val="0"/>
                      <w:sz w:val="21"/>
                      <w:szCs w:val="20"/>
                      <w:lang w:val="en-US" w:eastAsia="zh-CN" w:bidi="ar-SA"/>
                    </w:rPr>
                    <w:t>贮存库中，定期委托有</w:t>
                  </w:r>
                  <w:r>
                    <w:rPr>
                      <w:rFonts w:hint="eastAsia" w:cs="Times New Roman"/>
                      <w:color w:val="auto"/>
                      <w:kern w:val="0"/>
                      <w:sz w:val="21"/>
                      <w:szCs w:val="20"/>
                      <w:lang w:val="en-US" w:eastAsia="zh-CN" w:bidi="ar-SA"/>
                    </w:rPr>
                    <w:t>危险废物</w:t>
                  </w:r>
                  <w:r>
                    <w:rPr>
                      <w:rFonts w:hint="eastAsia" w:ascii="Times New Roman" w:hAnsi="Times New Roman" w:eastAsia="宋体" w:cs="Times New Roman"/>
                      <w:color w:val="auto"/>
                      <w:kern w:val="0"/>
                      <w:sz w:val="21"/>
                      <w:szCs w:val="20"/>
                      <w:lang w:val="en-US" w:eastAsia="zh-CN" w:bidi="ar-SA"/>
                    </w:rPr>
                    <w:t>处置资质单位进行处理</w:t>
                  </w:r>
                </w:p>
              </w:tc>
            </w:tr>
            <w:tr w14:paraId="6065B8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continue"/>
                  <w:noWrap w:val="0"/>
                  <w:vAlign w:val="center"/>
                </w:tcPr>
                <w:p w14:paraId="04CBDD8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368E475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0"/>
                      <w:lang w:val="en-US" w:eastAsia="zh-CN" w:bidi="ar-SA"/>
                    </w:rPr>
                    <w:t>废绸布和废</w:t>
                  </w:r>
                  <w:r>
                    <w:rPr>
                      <w:rFonts w:hint="eastAsia" w:cs="Times New Roman"/>
                      <w:color w:val="auto"/>
                      <w:kern w:val="0"/>
                      <w:sz w:val="21"/>
                      <w:szCs w:val="20"/>
                      <w:lang w:val="en-US" w:eastAsia="zh-CN" w:bidi="ar-SA"/>
                    </w:rPr>
                    <w:t>擦拭纸</w:t>
                  </w:r>
                </w:p>
              </w:tc>
              <w:tc>
                <w:tcPr>
                  <w:tcW w:w="984" w:type="pct"/>
                  <w:noWrap w:val="0"/>
                  <w:vAlign w:val="center"/>
                </w:tcPr>
                <w:p w14:paraId="7E0CFC0B">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非甲烷总烃、各类有机溶剂（醇、醚、烃类）</w:t>
                  </w:r>
                </w:p>
              </w:tc>
              <w:tc>
                <w:tcPr>
                  <w:tcW w:w="1538" w:type="dxa"/>
                  <w:noWrap w:val="0"/>
                  <w:vAlign w:val="center"/>
                </w:tcPr>
                <w:p w14:paraId="2855377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0"/>
                      <w:lang w:val="en-US" w:eastAsia="zh-CN" w:bidi="ar-SA"/>
                    </w:rPr>
                    <w:t>擦拭检测</w:t>
                  </w:r>
                </w:p>
              </w:tc>
              <w:tc>
                <w:tcPr>
                  <w:tcW w:w="1780" w:type="pct"/>
                  <w:vMerge w:val="continue"/>
                  <w:noWrap w:val="0"/>
                  <w:vAlign w:val="center"/>
                </w:tcPr>
                <w:p w14:paraId="4B479F63">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2"/>
                      <w:sz w:val="21"/>
                      <w:szCs w:val="21"/>
                      <w:highlight w:val="none"/>
                      <w:lang w:val="en-US" w:eastAsia="zh-CN" w:bidi="ar-SA"/>
                    </w:rPr>
                  </w:pPr>
                </w:p>
              </w:tc>
            </w:tr>
            <w:tr w14:paraId="0171EE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continue"/>
                  <w:noWrap w:val="0"/>
                  <w:vAlign w:val="center"/>
                </w:tcPr>
                <w:p w14:paraId="2CF20BB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6A353B3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lang w:val="en-US" w:eastAsia="zh-CN" w:bidi="ar-SA"/>
                    </w:rPr>
                    <w:t>废包装容器</w:t>
                  </w:r>
                </w:p>
              </w:tc>
              <w:tc>
                <w:tcPr>
                  <w:tcW w:w="984" w:type="pct"/>
                  <w:noWrap w:val="0"/>
                  <w:vAlign w:val="center"/>
                </w:tcPr>
                <w:p w14:paraId="38DDF93B">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有机溶剂、助剂</w:t>
                  </w:r>
                </w:p>
              </w:tc>
              <w:tc>
                <w:tcPr>
                  <w:tcW w:w="1538" w:type="dxa"/>
                  <w:noWrap w:val="0"/>
                  <w:vAlign w:val="center"/>
                </w:tcPr>
                <w:p w14:paraId="1C00279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lang w:val="en-US" w:eastAsia="zh-CN" w:bidi="ar-SA"/>
                    </w:rPr>
                    <w:t>/</w:t>
                  </w:r>
                </w:p>
              </w:tc>
              <w:tc>
                <w:tcPr>
                  <w:tcW w:w="1780" w:type="pct"/>
                  <w:vMerge w:val="continue"/>
                  <w:noWrap w:val="0"/>
                  <w:vAlign w:val="center"/>
                </w:tcPr>
                <w:p w14:paraId="4A6C3549">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r>
            <w:tr w14:paraId="2413BF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continue"/>
                  <w:noWrap w:val="0"/>
                  <w:vAlign w:val="center"/>
                </w:tcPr>
                <w:p w14:paraId="43126CC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1BEDA1F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lang w:val="en-US" w:eastAsia="zh-CN" w:bidi="ar-SA"/>
                    </w:rPr>
                    <w:t>废切削液</w:t>
                  </w:r>
                  <w:r>
                    <w:rPr>
                      <w:rFonts w:hint="eastAsia" w:cs="Times New Roman"/>
                      <w:color w:val="auto"/>
                      <w:kern w:val="0"/>
                      <w:sz w:val="21"/>
                      <w:szCs w:val="20"/>
                      <w:lang w:val="en-US" w:eastAsia="zh-CN" w:bidi="ar-SA"/>
                    </w:rPr>
                    <w:t>及污泥</w:t>
                  </w:r>
                </w:p>
              </w:tc>
              <w:tc>
                <w:tcPr>
                  <w:tcW w:w="984" w:type="pct"/>
                  <w:noWrap w:val="0"/>
                  <w:vAlign w:val="center"/>
                </w:tcPr>
                <w:p w14:paraId="30468D8B">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切削液</w:t>
                  </w:r>
                </w:p>
              </w:tc>
              <w:tc>
                <w:tcPr>
                  <w:tcW w:w="1538" w:type="dxa"/>
                  <w:noWrap w:val="0"/>
                  <w:vAlign w:val="center"/>
                </w:tcPr>
                <w:p w14:paraId="735963C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kern w:val="0"/>
                      <w:sz w:val="21"/>
                      <w:szCs w:val="20"/>
                      <w:highlight w:val="none"/>
                      <w:lang w:val="en-US" w:eastAsia="zh-CN" w:bidi="ar-SA"/>
                    </w:rPr>
                    <w:t>铣磨、磨边</w:t>
                  </w:r>
                </w:p>
              </w:tc>
              <w:tc>
                <w:tcPr>
                  <w:tcW w:w="1780" w:type="pct"/>
                  <w:vMerge w:val="continue"/>
                  <w:noWrap w:val="0"/>
                  <w:vAlign w:val="center"/>
                </w:tcPr>
                <w:p w14:paraId="1D69EF04">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r>
            <w:tr w14:paraId="3798A7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continue"/>
                  <w:noWrap w:val="0"/>
                  <w:vAlign w:val="center"/>
                </w:tcPr>
                <w:p w14:paraId="7CDA2B7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57A3527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kern w:val="0"/>
                      <w:sz w:val="21"/>
                      <w:szCs w:val="20"/>
                      <w:highlight w:val="none"/>
                      <w:lang w:val="en-US" w:eastAsia="zh-CN" w:bidi="ar-SA"/>
                    </w:rPr>
                    <w:t>废除油剂</w:t>
                  </w:r>
                </w:p>
              </w:tc>
              <w:tc>
                <w:tcPr>
                  <w:tcW w:w="984" w:type="pct"/>
                  <w:noWrap w:val="0"/>
                  <w:vAlign w:val="center"/>
                </w:tcPr>
                <w:p w14:paraId="45125A7F">
                  <w:pPr>
                    <w:pStyle w:val="61"/>
                    <w:keepNext w:val="0"/>
                    <w:keepLines w:val="0"/>
                    <w:pageBreakBefore w:val="0"/>
                    <w:kinsoku/>
                    <w:wordWrap/>
                    <w:overflowPunct/>
                    <w:topLinePunct w:val="0"/>
                    <w:autoSpaceDE/>
                    <w:autoSpaceDN/>
                    <w:bidi w:val="0"/>
                    <w:adjustRightInd/>
                    <w:snapToGrid/>
                    <w:spacing w:line="240" w:lineRule="auto"/>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除油剂</w:t>
                  </w:r>
                </w:p>
              </w:tc>
              <w:tc>
                <w:tcPr>
                  <w:tcW w:w="1538" w:type="dxa"/>
                  <w:noWrap w:val="0"/>
                  <w:vAlign w:val="center"/>
                </w:tcPr>
                <w:p w14:paraId="0F90004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kern w:val="0"/>
                      <w:sz w:val="21"/>
                      <w:szCs w:val="20"/>
                      <w:highlight w:val="none"/>
                      <w:lang w:val="en-US" w:eastAsia="zh-CN" w:bidi="ar-SA"/>
                    </w:rPr>
                    <w:t>超声波清洗</w:t>
                  </w:r>
                </w:p>
              </w:tc>
              <w:tc>
                <w:tcPr>
                  <w:tcW w:w="1780" w:type="pct"/>
                  <w:vMerge w:val="continue"/>
                  <w:noWrap w:val="0"/>
                  <w:vAlign w:val="center"/>
                </w:tcPr>
                <w:p w14:paraId="126B1071">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 w:val="21"/>
                      <w:szCs w:val="21"/>
                      <w:highlight w:val="none"/>
                    </w:rPr>
                  </w:pPr>
                </w:p>
              </w:tc>
            </w:tr>
            <w:tr w14:paraId="3A4B6C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92" w:type="pct"/>
                  <w:vMerge w:val="continue"/>
                  <w:noWrap w:val="0"/>
                  <w:vAlign w:val="center"/>
                </w:tcPr>
                <w:p w14:paraId="118CEEB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Times New Roman" w:hAnsi="Times New Roman" w:eastAsia="宋体" w:cs="Times New Roman"/>
                      <w:color w:val="auto"/>
                      <w:sz w:val="21"/>
                      <w:szCs w:val="21"/>
                      <w:highlight w:val="none"/>
                    </w:rPr>
                  </w:pPr>
                </w:p>
              </w:tc>
              <w:tc>
                <w:tcPr>
                  <w:tcW w:w="926" w:type="pct"/>
                  <w:noWrap w:val="0"/>
                  <w:vAlign w:val="center"/>
                </w:tcPr>
                <w:p w14:paraId="3A54156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kern w:val="0"/>
                      <w:sz w:val="21"/>
                      <w:szCs w:val="20"/>
                      <w:highlight w:val="none"/>
                      <w:lang w:val="en-US" w:eastAsia="zh-CN" w:bidi="ar-SA"/>
                    </w:rPr>
                    <w:t>废机油</w:t>
                  </w:r>
                </w:p>
              </w:tc>
              <w:tc>
                <w:tcPr>
                  <w:tcW w:w="984" w:type="pct"/>
                  <w:noWrap w:val="0"/>
                  <w:vAlign w:val="center"/>
                </w:tcPr>
                <w:p w14:paraId="6825BB1A">
                  <w:pPr>
                    <w:pStyle w:val="61"/>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color w:val="auto"/>
                      <w:sz w:val="21"/>
                      <w:szCs w:val="21"/>
                      <w:lang w:val="en-US" w:eastAsia="zh-CN"/>
                    </w:rPr>
                  </w:pPr>
                  <w:r>
                    <w:rPr>
                      <w:rFonts w:hint="eastAsia" w:ascii="Times New Roman" w:hAnsi="Times New Roman"/>
                      <w:color w:val="auto"/>
                      <w:sz w:val="21"/>
                      <w:szCs w:val="21"/>
                      <w:lang w:val="en-US" w:eastAsia="zh-CN"/>
                    </w:rPr>
                    <w:t>矿物油</w:t>
                  </w:r>
                </w:p>
              </w:tc>
              <w:tc>
                <w:tcPr>
                  <w:tcW w:w="1538" w:type="dxa"/>
                  <w:noWrap w:val="0"/>
                  <w:vAlign w:val="center"/>
                </w:tcPr>
                <w:p w14:paraId="3B6834D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highlight w:val="none"/>
                      <w:lang w:val="en-US" w:eastAsia="zh-CN" w:bidi="ar-SA"/>
                    </w:rPr>
                    <w:t>设备检修</w:t>
                  </w:r>
                </w:p>
              </w:tc>
              <w:tc>
                <w:tcPr>
                  <w:tcW w:w="2992" w:type="dxa"/>
                  <w:noWrap w:val="0"/>
                  <w:vAlign w:val="center"/>
                </w:tcPr>
                <w:p w14:paraId="6B1DE52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kern w:val="0"/>
                      <w:sz w:val="21"/>
                      <w:szCs w:val="20"/>
                      <w:lang w:val="en-US" w:eastAsia="zh-CN" w:bidi="ar-SA"/>
                    </w:rPr>
                    <w:t>由设备厂商进行委托有危废处置资质的单位进行处置</w:t>
                  </w:r>
                </w:p>
              </w:tc>
            </w:tr>
            <w:bookmarkEnd w:id="41"/>
          </w:tbl>
          <w:p w14:paraId="471A0FAA">
            <w:pPr>
              <w:widowControl w:val="0"/>
              <w:bidi w:val="0"/>
              <w:spacing w:line="360" w:lineRule="auto"/>
              <w:ind w:firstLine="480" w:firstLineChars="200"/>
              <w:jc w:val="both"/>
              <w:rPr>
                <w:rFonts w:hint="default" w:ascii="Times New Roman" w:hAnsi="Times New Roman" w:eastAsia="宋体" w:cs="宋体"/>
                <w:color w:val="auto"/>
                <w:sz w:val="24"/>
                <w:szCs w:val="24"/>
                <w:lang w:val="en-US" w:eastAsia="zh-CN" w:bidi="ar-SA"/>
              </w:rPr>
            </w:pPr>
          </w:p>
        </w:tc>
      </w:tr>
      <w:tr w14:paraId="469E23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444" w:type="dxa"/>
            <w:noWrap w:val="0"/>
            <w:vAlign w:val="center"/>
          </w:tcPr>
          <w:p w14:paraId="6D0F894D">
            <w:pPr>
              <w:adjustRightInd w:val="0"/>
              <w:snapToGrid w:val="0"/>
              <w:spacing w:before="0" w:beforeAutospacing="0" w:after="0" w:afterAutospacing="0"/>
              <w:jc w:val="center"/>
              <w:rPr>
                <w:rFonts w:ascii="Times New Roman" w:hAnsi="Times New Roman" w:cs="宋体"/>
                <w:color w:val="auto"/>
                <w:sz w:val="21"/>
                <w:szCs w:val="21"/>
              </w:rPr>
            </w:pPr>
            <w:r>
              <w:rPr>
                <w:rFonts w:hint="eastAsia" w:ascii="Times New Roman" w:hAnsi="Times New Roman" w:cs="宋体"/>
                <w:bCs/>
                <w:color w:val="auto"/>
                <w:kern w:val="2"/>
                <w:sz w:val="21"/>
                <w:szCs w:val="21"/>
              </w:rPr>
              <w:t>与项目有关的原有环境污染问题</w:t>
            </w:r>
          </w:p>
        </w:tc>
        <w:tc>
          <w:tcPr>
            <w:tcW w:w="8616" w:type="dxa"/>
            <w:shd w:val="clear" w:color="auto" w:fill="auto"/>
            <w:noWrap w:val="0"/>
            <w:vAlign w:val="center"/>
          </w:tcPr>
          <w:p w14:paraId="6E63AD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Times New Roman" w:cs="Times New Roman"/>
                <w:b/>
                <w:bCs/>
                <w:color w:val="auto"/>
                <w:spacing w:val="-2"/>
                <w:sz w:val="28"/>
                <w:szCs w:val="28"/>
                <w:lang w:val="en-US" w:eastAsia="zh-CN" w:bidi="ar-SA"/>
              </w:rPr>
            </w:pPr>
            <w:r>
              <w:rPr>
                <w:rFonts w:hint="eastAsia" w:ascii="Times New Roman" w:hAnsi="Times New Roman" w:eastAsia="Times New Roman" w:cs="Times New Roman"/>
                <w:b/>
                <w:bCs/>
                <w:color w:val="auto"/>
                <w:spacing w:val="-2"/>
                <w:sz w:val="28"/>
                <w:szCs w:val="28"/>
                <w:lang w:val="en-US" w:eastAsia="zh-CN" w:bidi="ar-SA"/>
              </w:rPr>
              <w:t>2.3原有环境污染问题</w:t>
            </w:r>
          </w:p>
          <w:p w14:paraId="5ED7BD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宋体"/>
                <w:color w:val="auto"/>
                <w:sz w:val="24"/>
                <w:szCs w:val="24"/>
                <w:lang w:val="en-US" w:eastAsia="zh-CN" w:bidi="ar-SA"/>
              </w:rPr>
            </w:pPr>
            <w:r>
              <w:rPr>
                <w:rFonts w:hint="eastAsia" w:ascii="Times New Roman" w:hAnsi="Times New Roman" w:eastAsia="宋体" w:cs="宋体"/>
                <w:color w:val="auto"/>
                <w:sz w:val="24"/>
                <w:szCs w:val="24"/>
                <w:lang w:val="en-US" w:eastAsia="zh-CN" w:bidi="ar-SA"/>
              </w:rPr>
              <w:t>原福州鑫美榕纸业有限公司</w:t>
            </w:r>
            <w:r>
              <w:rPr>
                <w:rFonts w:ascii="宋体" w:hAnsi="宋体" w:eastAsia="宋体" w:cs="宋体"/>
                <w:color w:val="auto"/>
                <w:sz w:val="24"/>
                <w:szCs w:val="24"/>
              </w:rPr>
              <w:t>无生产设备、无生产线</w:t>
            </w:r>
            <w:r>
              <w:rPr>
                <w:rFonts w:hint="eastAsia" w:ascii="宋体" w:hAnsi="宋体" w:eastAsia="宋体" w:cs="宋体"/>
                <w:color w:val="auto"/>
                <w:sz w:val="24"/>
                <w:szCs w:val="24"/>
                <w:lang w:eastAsia="zh-CN"/>
              </w:rPr>
              <w:t>，</w:t>
            </w:r>
            <w:r>
              <w:rPr>
                <w:rFonts w:ascii="宋体" w:hAnsi="宋体" w:eastAsia="宋体" w:cs="宋体"/>
                <w:color w:val="auto"/>
                <w:sz w:val="24"/>
                <w:szCs w:val="24"/>
              </w:rPr>
              <w:t>不从事生产、仅出租厂房</w:t>
            </w:r>
            <w:r>
              <w:rPr>
                <w:rFonts w:hint="eastAsia" w:ascii="宋体" w:hAnsi="宋体" w:eastAsia="宋体" w:cs="宋体"/>
                <w:color w:val="auto"/>
                <w:sz w:val="24"/>
                <w:szCs w:val="24"/>
                <w:lang w:eastAsia="zh-CN"/>
              </w:rPr>
              <w:t>，</w:t>
            </w:r>
            <w:r>
              <w:rPr>
                <w:rFonts w:ascii="宋体" w:hAnsi="宋体" w:eastAsia="宋体" w:cs="宋体"/>
                <w:color w:val="auto"/>
                <w:sz w:val="24"/>
                <w:szCs w:val="24"/>
              </w:rPr>
              <w:t>无生产、无废水/废气/噪声/固废产生</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本项目经营位置为闲置空厂房，</w:t>
            </w:r>
            <w:r>
              <w:rPr>
                <w:rFonts w:hint="eastAsia" w:ascii="Times New Roman" w:hAnsi="Times New Roman" w:eastAsia="宋体" w:cs="宋体"/>
                <w:color w:val="auto"/>
                <w:sz w:val="24"/>
                <w:szCs w:val="24"/>
                <w:lang w:val="en-US" w:eastAsia="zh-CN" w:bidi="ar-SA"/>
              </w:rPr>
              <w:t>不存在原有项目的环境污染问题。</w:t>
            </w:r>
          </w:p>
          <w:p w14:paraId="1956A4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Times New Roman" w:eastAsia="Times New Roman" w:cs="Times New Roman"/>
                <w:b/>
                <w:bCs/>
                <w:color w:val="auto"/>
                <w:spacing w:val="-2"/>
                <w:sz w:val="28"/>
                <w:szCs w:val="28"/>
                <w:lang w:val="en-US" w:eastAsia="zh-CN" w:bidi="ar-SA"/>
              </w:rPr>
            </w:pPr>
            <w:r>
              <w:rPr>
                <w:rFonts w:hint="eastAsia" w:ascii="Times New Roman" w:hAnsi="Times New Roman" w:eastAsia="Times New Roman" w:cs="Times New Roman"/>
                <w:b/>
                <w:bCs/>
                <w:color w:val="auto"/>
                <w:spacing w:val="-2"/>
                <w:sz w:val="28"/>
                <w:szCs w:val="28"/>
                <w:lang w:val="en-US" w:eastAsia="zh-CN" w:bidi="ar-SA"/>
              </w:rPr>
              <w:t>2.4现有环境污染问题</w:t>
            </w:r>
          </w:p>
          <w:p w14:paraId="229D9AF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auto"/>
                <w:kern w:val="2"/>
                <w:sz w:val="21"/>
                <w:szCs w:val="21"/>
                <w:lang w:val="en-US" w:eastAsia="zh-CN" w:bidi="ar-SA"/>
              </w:rPr>
            </w:pPr>
            <w:r>
              <w:rPr>
                <w:rFonts w:hint="eastAsia" w:ascii="Times New Roman" w:hAnsi="Times New Roman" w:eastAsia="宋体" w:cs="宋体"/>
                <w:color w:val="auto"/>
                <w:sz w:val="24"/>
                <w:szCs w:val="24"/>
                <w:lang w:val="en-US" w:eastAsia="zh-CN" w:bidi="ar-SA"/>
              </w:rPr>
              <w:t>本项目为新建项目，不存在现有项目的环境污染问题。</w:t>
            </w:r>
          </w:p>
        </w:tc>
      </w:tr>
    </w:tbl>
    <w:p w14:paraId="3CE39A7D">
      <w:pPr>
        <w:adjustRightInd w:val="0"/>
        <w:snapToGrid w:val="0"/>
        <w:spacing w:before="0" w:beforeAutospacing="0" w:after="0" w:afterAutospacing="0" w:line="14" w:lineRule="auto"/>
        <w:jc w:val="center"/>
        <w:outlineLvl w:val="9"/>
        <w:rPr>
          <w:rFonts w:hint="eastAsia" w:ascii="Times New Roman" w:hAnsi="Times New Roman" w:eastAsia="黑体"/>
          <w:snapToGrid w:val="0"/>
          <w:color w:val="auto"/>
          <w:sz w:val="30"/>
          <w:szCs w:val="30"/>
        </w:rPr>
      </w:pPr>
    </w:p>
    <w:p w14:paraId="035F58E6">
      <w:pPr>
        <w:pStyle w:val="6"/>
        <w:bidi w:val="0"/>
        <w:rPr>
          <w:rFonts w:hint="eastAsia" w:ascii="Times New Roman" w:hAnsi="Times New Roman"/>
          <w:color w:val="auto"/>
        </w:rPr>
        <w:sectPr>
          <w:footerReference r:id="rId6"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1314D46C">
      <w:pPr>
        <w:pStyle w:val="6"/>
        <w:bidi w:val="0"/>
        <w:rPr>
          <w:rFonts w:ascii="Times New Roman" w:hAnsi="Times New Roman"/>
          <w:color w:val="auto"/>
        </w:rPr>
      </w:pPr>
      <w:r>
        <w:rPr>
          <w:rFonts w:hint="eastAsia" w:ascii="Times New Roman" w:hAnsi="Times New Roman"/>
          <w:color w:val="auto"/>
        </w:rPr>
        <w:t>三、区域环境质量现状、环境保护目标及评价标准</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3"/>
        <w:gridCol w:w="8637"/>
      </w:tblGrid>
      <w:tr w14:paraId="339C94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800" w:type="dxa"/>
            <w:noWrap w:val="0"/>
            <w:vAlign w:val="center"/>
          </w:tcPr>
          <w:p w14:paraId="2392ED3A">
            <w:pPr>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kern w:val="0"/>
                <w:szCs w:val="21"/>
              </w:rPr>
              <w:t>区域</w:t>
            </w:r>
          </w:p>
          <w:p w14:paraId="652F0C34">
            <w:pPr>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kern w:val="0"/>
                <w:szCs w:val="21"/>
              </w:rPr>
              <w:t>环境</w:t>
            </w:r>
          </w:p>
          <w:p w14:paraId="5F83FE77">
            <w:pPr>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kern w:val="0"/>
                <w:szCs w:val="21"/>
              </w:rPr>
              <w:t>质量</w:t>
            </w:r>
          </w:p>
          <w:p w14:paraId="12DEEBC0">
            <w:pPr>
              <w:adjustRightInd w:val="0"/>
              <w:snapToGrid w:val="0"/>
              <w:jc w:val="center"/>
              <w:rPr>
                <w:rFonts w:ascii="Times New Roman" w:hAnsi="Times New Roman" w:cs="宋体"/>
                <w:color w:val="auto"/>
                <w:kern w:val="0"/>
                <w:szCs w:val="21"/>
              </w:rPr>
            </w:pPr>
            <w:r>
              <w:rPr>
                <w:rFonts w:hint="eastAsia" w:ascii="Times New Roman" w:hAnsi="Times New Roman" w:cs="宋体"/>
                <w:color w:val="auto"/>
                <w:kern w:val="0"/>
                <w:szCs w:val="21"/>
              </w:rPr>
              <w:t>现状</w:t>
            </w:r>
          </w:p>
        </w:tc>
        <w:tc>
          <w:tcPr>
            <w:tcW w:w="8190" w:type="dxa"/>
            <w:noWrap w:val="0"/>
            <w:vAlign w:val="center"/>
          </w:tcPr>
          <w:p w14:paraId="0A0A5B94">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42" w:name="_Toc26574"/>
            <w:bookmarkStart w:id="43" w:name="_Toc29630"/>
            <w:r>
              <w:rPr>
                <w:rFonts w:hint="eastAsia" w:ascii="Times New Roman" w:hAnsi="Times New Roman" w:eastAsia="宋体" w:cs="Times New Roman"/>
                <w:b/>
                <w:color w:val="auto"/>
                <w:kern w:val="2"/>
                <w:sz w:val="28"/>
                <w:szCs w:val="24"/>
                <w:lang w:val="en-US" w:eastAsia="zh-CN" w:bidi="ar-SA"/>
              </w:rPr>
              <w:t>3.1大气环境质量现状</w:t>
            </w:r>
            <w:bookmarkEnd w:id="42"/>
            <w:bookmarkEnd w:id="43"/>
          </w:p>
          <w:p w14:paraId="517C4DCF">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44" w:name="_Toc26599"/>
            <w:r>
              <w:rPr>
                <w:rFonts w:hint="eastAsia" w:ascii="Times New Roman" w:hAnsi="Times New Roman" w:eastAsia="宋体" w:cs="Times New Roman"/>
                <w:b/>
                <w:color w:val="auto"/>
                <w:kern w:val="2"/>
                <w:sz w:val="24"/>
                <w:szCs w:val="24"/>
                <w:lang w:val="en-US" w:eastAsia="zh-CN" w:bidi="ar-SA"/>
              </w:rPr>
              <w:t>3.1.1环境空气质量功能区划</w:t>
            </w:r>
            <w:bookmarkEnd w:id="44"/>
          </w:p>
          <w:p w14:paraId="6C65FF7D">
            <w:pPr>
              <w:spacing w:line="360" w:lineRule="auto"/>
              <w:ind w:firstLine="480" w:firstLineChars="200"/>
              <w:rPr>
                <w:color w:val="auto"/>
                <w:sz w:val="24"/>
              </w:rPr>
            </w:pPr>
            <w:r>
              <w:rPr>
                <w:color w:val="auto"/>
                <w:sz w:val="24"/>
              </w:rPr>
              <w:t>本项目区域环境空气功能区划为二类区，大气环境质量执行《环境空气质量标准》（GB 3095—2026）表1中环境空气污染物基本项目浓度限值的二级过渡阶段限值，过渡期为2026年3月1日—2030年12月31日；自2031年1月1日起执行</w:t>
            </w:r>
            <w:r>
              <w:rPr>
                <w:rFonts w:hint="eastAsia"/>
                <w:color w:val="auto"/>
                <w:sz w:val="24"/>
              </w:rPr>
              <w:t>（</w:t>
            </w:r>
            <w:r>
              <w:rPr>
                <w:color w:val="auto"/>
                <w:sz w:val="24"/>
              </w:rPr>
              <w:t>GB 3095—2026</w:t>
            </w:r>
            <w:r>
              <w:rPr>
                <w:rFonts w:hint="eastAsia"/>
                <w:color w:val="auto"/>
                <w:sz w:val="24"/>
              </w:rPr>
              <w:t>）</w:t>
            </w:r>
            <w:r>
              <w:rPr>
                <w:color w:val="auto"/>
                <w:sz w:val="24"/>
              </w:rPr>
              <w:t>二级最终浓度</w:t>
            </w:r>
            <w:r>
              <w:rPr>
                <w:rFonts w:ascii="Times New Roman" w:hAnsi="Times New Roman" w:eastAsia="宋体" w:cs="Times New Roman"/>
                <w:color w:val="auto"/>
                <w:sz w:val="24"/>
              </w:rPr>
              <w:t>限值</w:t>
            </w:r>
            <w:r>
              <w:rPr>
                <w:rFonts w:hint="eastAsia" w:ascii="Times New Roman" w:hAnsi="Times New Roman" w:eastAsia="宋体" w:cs="Times New Roman"/>
                <w:color w:val="auto"/>
                <w:sz w:val="24"/>
                <w:lang w:eastAsia="zh-CN"/>
              </w:rPr>
              <w:t>，</w:t>
            </w:r>
            <w:r>
              <w:rPr>
                <w:rFonts w:ascii="Times New Roman" w:hAnsi="Times New Roman" w:eastAsia="宋体" w:cs="Times New Roman"/>
                <w:color w:val="auto"/>
                <w:sz w:val="24"/>
              </w:rPr>
              <w:t>非甲烷总烃</w:t>
            </w:r>
            <w:r>
              <w:rPr>
                <w:rFonts w:hint="eastAsia" w:ascii="Times New Roman" w:hAnsi="Times New Roman" w:eastAsia="宋体" w:cs="Times New Roman"/>
                <w:color w:val="auto"/>
                <w:sz w:val="24"/>
                <w:lang w:val="en-US" w:eastAsia="zh-CN"/>
              </w:rPr>
              <w:t>参照</w:t>
            </w:r>
            <w:r>
              <w:rPr>
                <w:rFonts w:ascii="Times New Roman" w:hAnsi="Times New Roman" w:eastAsia="宋体" w:cs="Times New Roman"/>
                <w:color w:val="auto"/>
                <w:sz w:val="24"/>
              </w:rPr>
              <w:t>执行大气污染物综合排放标准详解中的要求。</w:t>
            </w:r>
            <w:r>
              <w:rPr>
                <w:rFonts w:hint="eastAsia" w:ascii="Times New Roman" w:hAnsi="Times New Roman" w:eastAsia="宋体" w:cs="Times New Roman"/>
                <w:color w:val="auto"/>
                <w:sz w:val="24"/>
              </w:rPr>
              <w:t>具体见</w:t>
            </w:r>
            <w:r>
              <w:rPr>
                <w:rFonts w:hint="eastAsia"/>
                <w:color w:val="auto"/>
                <w:sz w:val="24"/>
              </w:rPr>
              <w:t>表3.1-1。</w:t>
            </w:r>
          </w:p>
          <w:p w14:paraId="20074AC2">
            <w:pPr>
              <w:widowControl/>
              <w:jc w:val="center"/>
              <w:rPr>
                <w:b/>
                <w:color w:val="auto"/>
                <w:sz w:val="24"/>
                <w:szCs w:val="24"/>
                <w:lang w:bidi="he-IL"/>
              </w:rPr>
            </w:pPr>
            <w:r>
              <w:rPr>
                <w:rFonts w:hint="eastAsia"/>
                <w:b/>
                <w:color w:val="auto"/>
                <w:sz w:val="24"/>
                <w:szCs w:val="24"/>
                <w:lang w:bidi="he-IL"/>
              </w:rPr>
              <mc:AlternateContent>
                <mc:Choice Requires="wps">
                  <w:drawing>
                    <wp:anchor distT="0" distB="0" distL="114300" distR="114300" simplePos="0" relativeHeight="251663360" behindDoc="1" locked="1" layoutInCell="1" allowOverlap="1">
                      <wp:simplePos x="0" y="0"/>
                      <wp:positionH relativeFrom="page">
                        <wp:posOffset>457200</wp:posOffset>
                      </wp:positionH>
                      <wp:positionV relativeFrom="page">
                        <wp:posOffset>457200</wp:posOffset>
                      </wp:positionV>
                      <wp:extent cx="12700" cy="12700"/>
                      <wp:effectExtent l="0" t="0" r="0" b="0"/>
                      <wp:wrapNone/>
                      <wp:docPr id="202" name="图片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00" cy="12700"/>
                              </a:xfrm>
                              <a:prstGeom prst="rect">
                                <a:avLst/>
                              </a:prstGeom>
                              <a:noFill/>
                              <a:ln w="9525">
                                <a:noFill/>
                              </a:ln>
                              <a:effectLst/>
                            </wps:spPr>
                            <wps:bodyPr wrap="square" upright="1"/>
                          </wps:wsp>
                        </a:graphicData>
                      </a:graphic>
                    </wp:anchor>
                  </w:drawing>
                </mc:Choice>
                <mc:Fallback>
                  <w:pict>
                    <v:rect id="图片 4" o:spid="_x0000_s1026" o:spt="1" style="position:absolute;left:0pt;margin-left:36pt;margin-top:36pt;height:1pt;width:1pt;mso-position-horizontal-relative:page;mso-position-vertical-relative:page;z-index:-251653120;mso-width-relative:page;mso-height-relative:page;" filled="f" stroked="f" coordsize="21600,21600" o:gfxdata="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rblqYNMAAAAHAQAADwAAAAAAAAABACAAAAAiAAAAZHJzL2Rvd25yZXYueG1s&#10;UEsBAhQAFAAAAAgAh07iQKrNxrrEAQAAhgMAAA4AAAAAAAAAAQAgAAAAIgEAAGRycy9lMm9Eb2Mu&#10;eG1sUEsFBgAAAAAGAAYAWQEAAFgFAAAAAA==&#10;">
                      <v:fill on="f" focussize="0,0"/>
                      <v:stroke on="f"/>
                      <v:imagedata o:title=""/>
                      <o:lock v:ext="edit" aspectratio="t"/>
                      <w10:anchorlock/>
                    </v:rect>
                  </w:pict>
                </mc:Fallback>
              </mc:AlternateContent>
            </w:r>
            <w:r>
              <w:rPr>
                <w:rFonts w:hint="eastAsia"/>
                <w:b/>
                <w:color w:val="auto"/>
                <w:sz w:val="24"/>
                <w:szCs w:val="24"/>
                <w:lang w:bidi="he-IL"/>
              </w:rPr>
              <w:t>表3.1-1  环境空气质量标准一览表</w:t>
            </w:r>
          </w:p>
          <w:tbl>
            <w:tblPr>
              <w:tblStyle w:val="1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161"/>
              <w:gridCol w:w="1412"/>
              <w:gridCol w:w="2388"/>
              <w:gridCol w:w="1981"/>
            </w:tblGrid>
            <w:tr w14:paraId="598518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restart"/>
                  <w:noWrap w:val="0"/>
                  <w:vAlign w:val="center"/>
                </w:tcPr>
                <w:p w14:paraId="6AB645D7">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b/>
                      <w:bCs/>
                      <w:color w:val="auto"/>
                      <w:sz w:val="21"/>
                    </w:rPr>
                  </w:pPr>
                  <w:bookmarkStart w:id="45" w:name="_Toc26962"/>
                  <w:r>
                    <w:rPr>
                      <w:rFonts w:hint="eastAsia" w:ascii="Times New Roman" w:hAnsi="Times New Roman" w:eastAsia="宋体" w:cs="Times New Roman"/>
                      <w:b/>
                      <w:bCs/>
                      <w:color w:val="auto"/>
                      <w:sz w:val="21"/>
                    </w:rPr>
                    <w:t>执行标准</w:t>
                  </w:r>
                </w:p>
              </w:tc>
              <w:tc>
                <w:tcPr>
                  <w:tcW w:w="755" w:type="pct"/>
                  <w:vMerge w:val="restart"/>
                  <w:noWrap w:val="0"/>
                  <w:vAlign w:val="center"/>
                </w:tcPr>
                <w:p w14:paraId="260E3FF1">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bCs/>
                      <w:color w:val="auto"/>
                      <w:sz w:val="21"/>
                      <w:lang w:eastAsia="zh-CN"/>
                    </w:rPr>
                  </w:pPr>
                  <w:r>
                    <w:rPr>
                      <w:rFonts w:hint="eastAsia" w:ascii="Times New Roman" w:hAnsi="Times New Roman" w:eastAsia="宋体" w:cs="Times New Roman"/>
                      <w:b/>
                      <w:bCs/>
                      <w:color w:val="auto"/>
                      <w:sz w:val="21"/>
                      <w:lang w:val="en-US" w:eastAsia="zh-CN"/>
                    </w:rPr>
                    <w:t>污染物名称</w:t>
                  </w:r>
                </w:p>
              </w:tc>
              <w:tc>
                <w:tcPr>
                  <w:tcW w:w="3369" w:type="pct"/>
                  <w:gridSpan w:val="3"/>
                  <w:noWrap w:val="0"/>
                  <w:vAlign w:val="center"/>
                </w:tcPr>
                <w:p w14:paraId="1051FE78">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bCs/>
                      <w:color w:val="auto"/>
                      <w:sz w:val="21"/>
                      <w:lang w:val="en-US" w:eastAsia="zh-CN"/>
                    </w:rPr>
                  </w:pPr>
                  <w:r>
                    <w:rPr>
                      <w:rFonts w:hint="eastAsia" w:ascii="Times New Roman" w:hAnsi="Times New Roman" w:eastAsia="宋体" w:cs="Times New Roman"/>
                      <w:b/>
                      <w:bCs/>
                      <w:color w:val="auto"/>
                      <w:sz w:val="21"/>
                      <w:lang w:val="en-US" w:eastAsia="zh-CN"/>
                    </w:rPr>
                    <w:t>标准限值（</w:t>
                  </w:r>
                  <w:r>
                    <w:rPr>
                      <w:rFonts w:hint="eastAsia" w:cs="Times New Roman"/>
                      <w:b/>
                      <w:bCs/>
                      <w:color w:val="auto"/>
                      <w:sz w:val="21"/>
                      <w:lang w:val="en-US" w:eastAsia="zh-CN"/>
                    </w:rPr>
                    <w:t>μg/m3</w:t>
                  </w:r>
                  <w:r>
                    <w:rPr>
                      <w:rFonts w:hint="eastAsia" w:ascii="Times New Roman" w:hAnsi="Times New Roman" w:eastAsia="宋体" w:cs="Times New Roman"/>
                      <w:b/>
                      <w:bCs/>
                      <w:color w:val="auto"/>
                      <w:sz w:val="21"/>
                      <w:lang w:val="en-US" w:eastAsia="zh-CN"/>
                    </w:rPr>
                    <w:t>）</w:t>
                  </w:r>
                </w:p>
              </w:tc>
            </w:tr>
            <w:tr w14:paraId="016608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1D3F7949">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b/>
                      <w:bCs/>
                      <w:color w:val="auto"/>
                      <w:sz w:val="21"/>
                    </w:rPr>
                  </w:pPr>
                </w:p>
              </w:tc>
              <w:tc>
                <w:tcPr>
                  <w:tcW w:w="755" w:type="pct"/>
                  <w:vMerge w:val="continue"/>
                  <w:noWrap w:val="0"/>
                  <w:vAlign w:val="center"/>
                </w:tcPr>
                <w:p w14:paraId="52138DFC">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b/>
                      <w:bCs/>
                      <w:color w:val="auto"/>
                      <w:sz w:val="21"/>
                    </w:rPr>
                  </w:pPr>
                </w:p>
              </w:tc>
              <w:tc>
                <w:tcPr>
                  <w:tcW w:w="904" w:type="pct"/>
                  <w:noWrap w:val="0"/>
                  <w:vAlign w:val="center"/>
                </w:tcPr>
                <w:p w14:paraId="1C170282">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bCs/>
                      <w:color w:val="auto"/>
                      <w:sz w:val="21"/>
                      <w:lang w:val="en-US" w:eastAsia="zh-CN"/>
                    </w:rPr>
                  </w:pPr>
                  <w:r>
                    <w:rPr>
                      <w:rFonts w:hint="eastAsia" w:ascii="Times New Roman" w:hAnsi="Times New Roman" w:eastAsia="宋体" w:cs="Times New Roman"/>
                      <w:b/>
                      <w:bCs/>
                      <w:color w:val="auto"/>
                      <w:sz w:val="21"/>
                      <w:lang w:val="en-US" w:eastAsia="zh-CN"/>
                    </w:rPr>
                    <w:t>平均时间</w:t>
                  </w:r>
                </w:p>
              </w:tc>
              <w:tc>
                <w:tcPr>
                  <w:tcW w:w="1224" w:type="pct"/>
                  <w:noWrap w:val="0"/>
                  <w:vAlign w:val="center"/>
                </w:tcPr>
                <w:p w14:paraId="47D45FD4">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b/>
                      <w:bCs/>
                      <w:color w:val="auto"/>
                      <w:sz w:val="21"/>
                      <w:lang w:val="en-US" w:eastAsia="zh-CN"/>
                    </w:rPr>
                  </w:pPr>
                  <w:r>
                    <w:rPr>
                      <w:rFonts w:hint="eastAsia" w:ascii="Times New Roman" w:hAnsi="Times New Roman" w:eastAsia="宋体" w:cs="Times New Roman"/>
                      <w:b/>
                      <w:bCs/>
                      <w:color w:val="auto"/>
                      <w:sz w:val="21"/>
                      <w:lang w:val="en-US" w:eastAsia="zh-CN"/>
                    </w:rPr>
                    <w:t>GB 3095-2026过渡阶段二级浓度限值（2026.3.1-2030.12.31）</w:t>
                  </w:r>
                </w:p>
              </w:tc>
              <w:tc>
                <w:tcPr>
                  <w:tcW w:w="1240" w:type="pct"/>
                  <w:noWrap w:val="0"/>
                  <w:vAlign w:val="center"/>
                </w:tcPr>
                <w:p w14:paraId="37A28E62">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bCs/>
                      <w:color w:val="auto"/>
                      <w:sz w:val="21"/>
                    </w:rPr>
                  </w:pPr>
                  <w:r>
                    <w:rPr>
                      <w:rFonts w:hint="eastAsia" w:ascii="Times New Roman" w:hAnsi="Times New Roman" w:eastAsia="宋体" w:cs="Times New Roman"/>
                      <w:b/>
                      <w:bCs/>
                      <w:color w:val="auto"/>
                      <w:sz w:val="21"/>
                      <w:lang w:val="en-US" w:eastAsia="zh-CN"/>
                    </w:rPr>
                    <w:t>GB 3095-2026二级浓度限值（2031.1.1之后）</w:t>
                  </w:r>
                </w:p>
              </w:tc>
            </w:tr>
            <w:tr w14:paraId="5FB25D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restart"/>
                  <w:noWrap w:val="0"/>
                  <w:vAlign w:val="center"/>
                </w:tcPr>
                <w:p w14:paraId="5B777753">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rPr>
                  </w:pPr>
                  <w:r>
                    <w:rPr>
                      <w:rFonts w:hint="eastAsia" w:ascii="Times New Roman" w:hAnsi="Times New Roman" w:eastAsia="宋体" w:cs="Times New Roman"/>
                      <w:color w:val="auto"/>
                      <w:sz w:val="21"/>
                    </w:rPr>
                    <w:t>《环境空气质量标准》（GB 3095—2026）</w:t>
                  </w:r>
                </w:p>
              </w:tc>
              <w:tc>
                <w:tcPr>
                  <w:tcW w:w="755" w:type="pct"/>
                  <w:vMerge w:val="restart"/>
                  <w:noWrap w:val="0"/>
                  <w:vAlign w:val="center"/>
                </w:tcPr>
                <w:p w14:paraId="2886D11B">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rPr>
                  </w:pPr>
                  <w:r>
                    <w:rPr>
                      <w:rFonts w:hint="eastAsia" w:ascii="Times New Roman" w:hAnsi="Times New Roman" w:eastAsia="宋体" w:cs="Times New Roman"/>
                      <w:color w:val="auto"/>
                      <w:sz w:val="21"/>
                    </w:rPr>
                    <w:t>二氧化硫（SO</w:t>
                  </w:r>
                  <w:r>
                    <w:rPr>
                      <w:rFonts w:hint="eastAsia" w:ascii="Times New Roman" w:hAnsi="Times New Roman" w:eastAsia="宋体" w:cs="Times New Roman"/>
                      <w:color w:val="auto"/>
                      <w:sz w:val="21"/>
                      <w:vertAlign w:val="subscript"/>
                    </w:rPr>
                    <w:t>2</w:t>
                  </w:r>
                  <w:r>
                    <w:rPr>
                      <w:rFonts w:hint="eastAsia" w:ascii="Times New Roman" w:hAnsi="Times New Roman" w:eastAsia="宋体" w:cs="Times New Roman"/>
                      <w:color w:val="auto"/>
                      <w:sz w:val="21"/>
                    </w:rPr>
                    <w:t>）</w:t>
                  </w:r>
                </w:p>
              </w:tc>
              <w:tc>
                <w:tcPr>
                  <w:tcW w:w="904" w:type="pct"/>
                  <w:noWrap w:val="0"/>
                  <w:vAlign w:val="center"/>
                </w:tcPr>
                <w:p w14:paraId="23F92FB1">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年平均</w:t>
                  </w:r>
                </w:p>
              </w:tc>
              <w:tc>
                <w:tcPr>
                  <w:tcW w:w="1224" w:type="pct"/>
                  <w:noWrap w:val="0"/>
                  <w:vAlign w:val="center"/>
                </w:tcPr>
                <w:p w14:paraId="20EFD9A5">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60</w:t>
                  </w:r>
                </w:p>
              </w:tc>
              <w:tc>
                <w:tcPr>
                  <w:tcW w:w="1240" w:type="pct"/>
                  <w:noWrap w:val="0"/>
                  <w:vAlign w:val="center"/>
                </w:tcPr>
                <w:p w14:paraId="169AD4F9">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2</w:t>
                  </w:r>
                  <w:r>
                    <w:rPr>
                      <w:rFonts w:hint="eastAsia" w:ascii="Times New Roman" w:hAnsi="Times New Roman" w:eastAsia="宋体" w:cs="Times New Roman"/>
                      <w:color w:val="auto"/>
                      <w:sz w:val="21"/>
                    </w:rPr>
                    <w:t>0</w:t>
                  </w:r>
                </w:p>
              </w:tc>
            </w:tr>
            <w:tr w14:paraId="37E072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6DCA8B83">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continue"/>
                  <w:noWrap w:val="0"/>
                  <w:vAlign w:val="center"/>
                </w:tcPr>
                <w:p w14:paraId="06C6263B">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904" w:type="pct"/>
                  <w:noWrap w:val="0"/>
                  <w:vAlign w:val="center"/>
                </w:tcPr>
                <w:p w14:paraId="32ED4209">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日</w:t>
                  </w:r>
                  <w:r>
                    <w:rPr>
                      <w:rFonts w:hint="eastAsia" w:ascii="Times New Roman" w:hAnsi="Times New Roman" w:eastAsia="宋体" w:cs="Times New Roman"/>
                      <w:color w:val="auto"/>
                      <w:sz w:val="21"/>
                    </w:rPr>
                    <w:t>平均</w:t>
                  </w:r>
                </w:p>
              </w:tc>
              <w:tc>
                <w:tcPr>
                  <w:tcW w:w="1224" w:type="pct"/>
                  <w:noWrap w:val="0"/>
                  <w:vAlign w:val="center"/>
                </w:tcPr>
                <w:p w14:paraId="36406F0E">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150</w:t>
                  </w:r>
                </w:p>
              </w:tc>
              <w:tc>
                <w:tcPr>
                  <w:tcW w:w="1240" w:type="pct"/>
                  <w:noWrap w:val="0"/>
                  <w:vAlign w:val="center"/>
                </w:tcPr>
                <w:p w14:paraId="4D6D7A33">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50</w:t>
                  </w:r>
                </w:p>
              </w:tc>
            </w:tr>
            <w:tr w14:paraId="7E39F6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778854A1">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continue"/>
                  <w:noWrap w:val="0"/>
                  <w:vAlign w:val="center"/>
                </w:tcPr>
                <w:p w14:paraId="4989EE3F">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904" w:type="pct"/>
                  <w:noWrap w:val="0"/>
                  <w:vAlign w:val="center"/>
                </w:tcPr>
                <w:p w14:paraId="0A5706A0">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1小时平均</w:t>
                  </w:r>
                </w:p>
              </w:tc>
              <w:tc>
                <w:tcPr>
                  <w:tcW w:w="1224" w:type="pct"/>
                  <w:noWrap w:val="0"/>
                  <w:vAlign w:val="center"/>
                </w:tcPr>
                <w:p w14:paraId="771EAE75">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500</w:t>
                  </w:r>
                </w:p>
              </w:tc>
              <w:tc>
                <w:tcPr>
                  <w:tcW w:w="1240" w:type="pct"/>
                  <w:noWrap w:val="0"/>
                  <w:vAlign w:val="center"/>
                </w:tcPr>
                <w:p w14:paraId="0EEC0B32">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15</w:t>
                  </w:r>
                  <w:r>
                    <w:rPr>
                      <w:rFonts w:hint="eastAsia" w:ascii="Times New Roman" w:hAnsi="Times New Roman" w:eastAsia="宋体" w:cs="Times New Roman"/>
                      <w:color w:val="auto"/>
                      <w:sz w:val="21"/>
                    </w:rPr>
                    <w:t>0</w:t>
                  </w:r>
                </w:p>
              </w:tc>
            </w:tr>
            <w:tr w14:paraId="503044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26E27C0A">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restart"/>
                  <w:noWrap w:val="0"/>
                  <w:vAlign w:val="center"/>
                </w:tcPr>
                <w:p w14:paraId="42E7111D">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rPr>
                  </w:pPr>
                  <w:r>
                    <w:rPr>
                      <w:rFonts w:hint="eastAsia" w:ascii="Times New Roman" w:hAnsi="Times New Roman" w:eastAsia="宋体" w:cs="Times New Roman"/>
                      <w:color w:val="auto"/>
                      <w:sz w:val="21"/>
                    </w:rPr>
                    <w:t>二氧化氮（NO</w:t>
                  </w:r>
                  <w:r>
                    <w:rPr>
                      <w:rFonts w:hint="eastAsia" w:ascii="Times New Roman" w:hAnsi="Times New Roman" w:eastAsia="宋体" w:cs="Times New Roman"/>
                      <w:color w:val="auto"/>
                      <w:sz w:val="21"/>
                      <w:vertAlign w:val="subscript"/>
                    </w:rPr>
                    <w:t>2</w:t>
                  </w:r>
                  <w:r>
                    <w:rPr>
                      <w:rFonts w:hint="eastAsia" w:ascii="Times New Roman" w:hAnsi="Times New Roman" w:eastAsia="宋体" w:cs="Times New Roman"/>
                      <w:color w:val="auto"/>
                      <w:sz w:val="21"/>
                    </w:rPr>
                    <w:t>）</w:t>
                  </w:r>
                </w:p>
              </w:tc>
              <w:tc>
                <w:tcPr>
                  <w:tcW w:w="904" w:type="pct"/>
                  <w:noWrap w:val="0"/>
                  <w:vAlign w:val="center"/>
                </w:tcPr>
                <w:p w14:paraId="085D9A33">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年平均</w:t>
                  </w:r>
                </w:p>
              </w:tc>
              <w:tc>
                <w:tcPr>
                  <w:tcW w:w="1224" w:type="pct"/>
                  <w:noWrap w:val="0"/>
                  <w:vAlign w:val="center"/>
                </w:tcPr>
                <w:p w14:paraId="516F328F">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40</w:t>
                  </w:r>
                </w:p>
              </w:tc>
              <w:tc>
                <w:tcPr>
                  <w:tcW w:w="1240" w:type="pct"/>
                  <w:noWrap w:val="0"/>
                  <w:vAlign w:val="center"/>
                </w:tcPr>
                <w:p w14:paraId="1BB09B43">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3</w:t>
                  </w:r>
                  <w:r>
                    <w:rPr>
                      <w:rFonts w:hint="eastAsia" w:ascii="Times New Roman" w:hAnsi="Times New Roman" w:eastAsia="宋体" w:cs="Times New Roman"/>
                      <w:color w:val="auto"/>
                      <w:sz w:val="21"/>
                    </w:rPr>
                    <w:t>0</w:t>
                  </w:r>
                </w:p>
              </w:tc>
            </w:tr>
            <w:tr w14:paraId="7472FB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30201899">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continue"/>
                  <w:noWrap w:val="0"/>
                  <w:vAlign w:val="center"/>
                </w:tcPr>
                <w:p w14:paraId="187DAEB2">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904" w:type="pct"/>
                  <w:noWrap w:val="0"/>
                  <w:vAlign w:val="center"/>
                </w:tcPr>
                <w:p w14:paraId="6C42CF65">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日</w:t>
                  </w:r>
                  <w:r>
                    <w:rPr>
                      <w:rFonts w:hint="eastAsia" w:ascii="Times New Roman" w:hAnsi="Times New Roman" w:eastAsia="宋体" w:cs="Times New Roman"/>
                      <w:color w:val="auto"/>
                      <w:sz w:val="21"/>
                    </w:rPr>
                    <w:t>平均</w:t>
                  </w:r>
                </w:p>
              </w:tc>
              <w:tc>
                <w:tcPr>
                  <w:tcW w:w="1224" w:type="pct"/>
                  <w:noWrap w:val="0"/>
                  <w:vAlign w:val="center"/>
                </w:tcPr>
                <w:p w14:paraId="2D5189C5">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80</w:t>
                  </w:r>
                </w:p>
              </w:tc>
              <w:tc>
                <w:tcPr>
                  <w:tcW w:w="1240" w:type="pct"/>
                  <w:noWrap w:val="0"/>
                  <w:vAlign w:val="center"/>
                </w:tcPr>
                <w:p w14:paraId="375050DC">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5</w:t>
                  </w:r>
                  <w:r>
                    <w:rPr>
                      <w:rFonts w:hint="eastAsia" w:ascii="Times New Roman" w:hAnsi="Times New Roman" w:eastAsia="宋体" w:cs="Times New Roman"/>
                      <w:color w:val="auto"/>
                      <w:sz w:val="21"/>
                    </w:rPr>
                    <w:t>0</w:t>
                  </w:r>
                </w:p>
              </w:tc>
            </w:tr>
            <w:tr w14:paraId="0F3B63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53D68FC8">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continue"/>
                  <w:noWrap w:val="0"/>
                  <w:vAlign w:val="center"/>
                </w:tcPr>
                <w:p w14:paraId="04AF091D">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904" w:type="pct"/>
                  <w:noWrap w:val="0"/>
                  <w:vAlign w:val="center"/>
                </w:tcPr>
                <w:p w14:paraId="1AF606D9">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1小时平均</w:t>
                  </w:r>
                </w:p>
              </w:tc>
              <w:tc>
                <w:tcPr>
                  <w:tcW w:w="1224" w:type="pct"/>
                  <w:noWrap w:val="0"/>
                  <w:vAlign w:val="center"/>
                </w:tcPr>
                <w:p w14:paraId="320E3526">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200</w:t>
                  </w:r>
                </w:p>
              </w:tc>
              <w:tc>
                <w:tcPr>
                  <w:tcW w:w="1240" w:type="pct"/>
                  <w:noWrap w:val="0"/>
                  <w:vAlign w:val="center"/>
                </w:tcPr>
                <w:p w14:paraId="401C56F4">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200</w:t>
                  </w:r>
                </w:p>
              </w:tc>
            </w:tr>
            <w:tr w14:paraId="2EABD1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64045166">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restart"/>
                  <w:noWrap w:val="0"/>
                  <w:vAlign w:val="center"/>
                </w:tcPr>
                <w:p w14:paraId="6D2BB005">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rPr>
                  </w:pPr>
                  <w:r>
                    <w:rPr>
                      <w:rFonts w:hint="eastAsia" w:ascii="Times New Roman" w:hAnsi="Times New Roman" w:eastAsia="宋体" w:cs="Times New Roman"/>
                      <w:color w:val="auto"/>
                      <w:sz w:val="21"/>
                    </w:rPr>
                    <w:t>一氧化碳（CO）</w:t>
                  </w:r>
                </w:p>
              </w:tc>
              <w:tc>
                <w:tcPr>
                  <w:tcW w:w="904" w:type="pct"/>
                  <w:noWrap w:val="0"/>
                  <w:vAlign w:val="center"/>
                </w:tcPr>
                <w:p w14:paraId="7242DD3A">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lang w:val="en-US" w:eastAsia="zh-CN"/>
                    </w:rPr>
                    <w:t>日</w:t>
                  </w:r>
                  <w:r>
                    <w:rPr>
                      <w:rFonts w:hint="eastAsia" w:ascii="Times New Roman" w:hAnsi="Times New Roman" w:eastAsia="宋体" w:cs="Times New Roman"/>
                      <w:color w:val="auto"/>
                      <w:sz w:val="21"/>
                    </w:rPr>
                    <w:t>平均</w:t>
                  </w:r>
                </w:p>
              </w:tc>
              <w:tc>
                <w:tcPr>
                  <w:tcW w:w="1224" w:type="pct"/>
                  <w:noWrap w:val="0"/>
                  <w:vAlign w:val="center"/>
                </w:tcPr>
                <w:p w14:paraId="4EE5089E">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vertAlign w:val="superscript"/>
                    </w:rPr>
                  </w:pPr>
                  <w:r>
                    <w:rPr>
                      <w:rFonts w:hint="eastAsia" w:ascii="Times New Roman" w:hAnsi="Times New Roman" w:eastAsia="宋体" w:cs="Times New Roman"/>
                      <w:color w:val="auto"/>
                      <w:sz w:val="21"/>
                      <w:vertAlign w:val="baseline"/>
                    </w:rPr>
                    <w:t>4m</w:t>
                  </w:r>
                  <w:r>
                    <w:rPr>
                      <w:rFonts w:hint="default" w:ascii="Times New Roman" w:hAnsi="Times New Roman" w:eastAsia="宋体" w:cs="Times New Roman"/>
                      <w:color w:val="auto"/>
                      <w:sz w:val="21"/>
                      <w:vertAlign w:val="baseline"/>
                    </w:rPr>
                    <w:t>g/m</w:t>
                  </w:r>
                  <w:r>
                    <w:rPr>
                      <w:rFonts w:hint="default" w:ascii="Times New Roman" w:hAnsi="Times New Roman" w:eastAsia="宋体" w:cs="Times New Roman"/>
                      <w:color w:val="auto"/>
                      <w:sz w:val="21"/>
                      <w:vertAlign w:val="superscript"/>
                    </w:rPr>
                    <w:t>3</w:t>
                  </w:r>
                </w:p>
              </w:tc>
              <w:tc>
                <w:tcPr>
                  <w:tcW w:w="1240" w:type="pct"/>
                  <w:noWrap w:val="0"/>
                  <w:vAlign w:val="center"/>
                </w:tcPr>
                <w:p w14:paraId="53B705C0">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4m</w:t>
                  </w:r>
                  <w:r>
                    <w:rPr>
                      <w:rFonts w:hint="default" w:ascii="Times New Roman" w:hAnsi="Times New Roman" w:eastAsia="宋体" w:cs="Times New Roman"/>
                      <w:color w:val="auto"/>
                      <w:sz w:val="21"/>
                    </w:rPr>
                    <w:t>g/m</w:t>
                  </w:r>
                  <w:r>
                    <w:rPr>
                      <w:rFonts w:hint="default" w:ascii="Times New Roman" w:hAnsi="Times New Roman" w:eastAsia="宋体" w:cs="Times New Roman"/>
                      <w:color w:val="auto"/>
                      <w:sz w:val="21"/>
                      <w:vertAlign w:val="superscript"/>
                    </w:rPr>
                    <w:t>3</w:t>
                  </w:r>
                </w:p>
              </w:tc>
            </w:tr>
            <w:tr w14:paraId="527FE4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57A4A785">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continue"/>
                  <w:noWrap w:val="0"/>
                  <w:vAlign w:val="center"/>
                </w:tcPr>
                <w:p w14:paraId="05B16A08">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904" w:type="pct"/>
                  <w:noWrap w:val="0"/>
                  <w:vAlign w:val="center"/>
                </w:tcPr>
                <w:p w14:paraId="7AE7AE6A">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1小时平均</w:t>
                  </w:r>
                </w:p>
              </w:tc>
              <w:tc>
                <w:tcPr>
                  <w:tcW w:w="1224" w:type="pct"/>
                  <w:noWrap w:val="0"/>
                  <w:vAlign w:val="center"/>
                </w:tcPr>
                <w:p w14:paraId="6B562514">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10m</w:t>
                  </w:r>
                  <w:r>
                    <w:rPr>
                      <w:rFonts w:hint="default" w:ascii="Times New Roman" w:hAnsi="Times New Roman" w:eastAsia="宋体" w:cs="Times New Roman"/>
                      <w:color w:val="auto"/>
                      <w:sz w:val="21"/>
                    </w:rPr>
                    <w:t>g/m</w:t>
                  </w:r>
                  <w:r>
                    <w:rPr>
                      <w:rFonts w:hint="default" w:ascii="Times New Roman" w:hAnsi="Times New Roman" w:eastAsia="宋体" w:cs="Times New Roman"/>
                      <w:color w:val="auto"/>
                      <w:sz w:val="21"/>
                      <w:vertAlign w:val="superscript"/>
                    </w:rPr>
                    <w:t>3</w:t>
                  </w:r>
                </w:p>
              </w:tc>
              <w:tc>
                <w:tcPr>
                  <w:tcW w:w="1240" w:type="pct"/>
                  <w:noWrap w:val="0"/>
                  <w:vAlign w:val="center"/>
                </w:tcPr>
                <w:p w14:paraId="74F4F2EB">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10m</w:t>
                  </w:r>
                  <w:r>
                    <w:rPr>
                      <w:rFonts w:hint="default" w:ascii="Times New Roman" w:hAnsi="Times New Roman" w:eastAsia="宋体" w:cs="Times New Roman"/>
                      <w:color w:val="auto"/>
                      <w:sz w:val="21"/>
                    </w:rPr>
                    <w:t>g/m</w:t>
                  </w:r>
                  <w:r>
                    <w:rPr>
                      <w:rFonts w:hint="default" w:ascii="Times New Roman" w:hAnsi="Times New Roman" w:eastAsia="宋体" w:cs="Times New Roman"/>
                      <w:color w:val="auto"/>
                      <w:sz w:val="21"/>
                      <w:vertAlign w:val="superscript"/>
                    </w:rPr>
                    <w:t>3</w:t>
                  </w:r>
                </w:p>
              </w:tc>
            </w:tr>
            <w:tr w14:paraId="7AC5AA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744F2555">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restart"/>
                  <w:noWrap w:val="0"/>
                  <w:vAlign w:val="center"/>
                </w:tcPr>
                <w:p w14:paraId="2FE432FD">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rPr>
                  </w:pPr>
                  <w:r>
                    <w:rPr>
                      <w:rFonts w:hint="eastAsia" w:ascii="Times New Roman" w:hAnsi="Times New Roman" w:eastAsia="宋体" w:cs="Times New Roman"/>
                      <w:color w:val="auto"/>
                      <w:sz w:val="21"/>
                    </w:rPr>
                    <w:t>臭氧（O</w:t>
                  </w:r>
                  <w:r>
                    <w:rPr>
                      <w:rFonts w:hint="eastAsia" w:ascii="Times New Roman" w:hAnsi="Times New Roman" w:eastAsia="宋体" w:cs="Times New Roman"/>
                      <w:color w:val="auto"/>
                      <w:sz w:val="21"/>
                      <w:vertAlign w:val="subscript"/>
                    </w:rPr>
                    <w:t>3</w:t>
                  </w:r>
                  <w:r>
                    <w:rPr>
                      <w:rFonts w:hint="eastAsia" w:ascii="Times New Roman" w:hAnsi="Times New Roman" w:eastAsia="宋体" w:cs="Times New Roman"/>
                      <w:color w:val="auto"/>
                      <w:sz w:val="21"/>
                    </w:rPr>
                    <w:t>）</w:t>
                  </w:r>
                </w:p>
              </w:tc>
              <w:tc>
                <w:tcPr>
                  <w:tcW w:w="904" w:type="pct"/>
                  <w:noWrap w:val="0"/>
                  <w:vAlign w:val="center"/>
                </w:tcPr>
                <w:p w14:paraId="6340EE83">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日最大8小时平均</w:t>
                  </w:r>
                </w:p>
              </w:tc>
              <w:tc>
                <w:tcPr>
                  <w:tcW w:w="1224" w:type="pct"/>
                  <w:noWrap w:val="0"/>
                  <w:vAlign w:val="center"/>
                </w:tcPr>
                <w:p w14:paraId="2DBC4497">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160</w:t>
                  </w:r>
                </w:p>
              </w:tc>
              <w:tc>
                <w:tcPr>
                  <w:tcW w:w="1240" w:type="pct"/>
                  <w:noWrap w:val="0"/>
                  <w:vAlign w:val="center"/>
                </w:tcPr>
                <w:p w14:paraId="4C31B6EA">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160</w:t>
                  </w:r>
                </w:p>
              </w:tc>
            </w:tr>
            <w:tr w14:paraId="0605CB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67FF314C">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continue"/>
                  <w:noWrap w:val="0"/>
                  <w:vAlign w:val="center"/>
                </w:tcPr>
                <w:p w14:paraId="2FB84E8A">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904" w:type="pct"/>
                  <w:noWrap w:val="0"/>
                  <w:vAlign w:val="center"/>
                </w:tcPr>
                <w:p w14:paraId="7A547EFD">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1小时平均</w:t>
                  </w:r>
                </w:p>
              </w:tc>
              <w:tc>
                <w:tcPr>
                  <w:tcW w:w="1224" w:type="pct"/>
                  <w:noWrap w:val="0"/>
                  <w:vAlign w:val="center"/>
                </w:tcPr>
                <w:p w14:paraId="02F1B867">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200</w:t>
                  </w:r>
                </w:p>
              </w:tc>
              <w:tc>
                <w:tcPr>
                  <w:tcW w:w="1240" w:type="pct"/>
                  <w:noWrap w:val="0"/>
                  <w:vAlign w:val="center"/>
                </w:tcPr>
                <w:p w14:paraId="67CCF6D6">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200</w:t>
                  </w:r>
                </w:p>
              </w:tc>
            </w:tr>
            <w:tr w14:paraId="187F2F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19170857">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restart"/>
                  <w:noWrap w:val="0"/>
                  <w:vAlign w:val="center"/>
                </w:tcPr>
                <w:p w14:paraId="221CD9EB">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default" w:ascii="Times New Roman" w:hAnsi="Times New Roman" w:eastAsia="宋体" w:cs="Times New Roman"/>
                      <w:color w:val="auto"/>
                      <w:sz w:val="21"/>
                    </w:rPr>
                    <w:t>PM</w:t>
                  </w:r>
                  <w:r>
                    <w:rPr>
                      <w:rFonts w:hint="default" w:ascii="Times New Roman" w:hAnsi="Times New Roman" w:eastAsia="宋体" w:cs="Times New Roman"/>
                      <w:color w:val="auto"/>
                      <w:sz w:val="21"/>
                      <w:vertAlign w:val="subscript"/>
                    </w:rPr>
                    <w:t>10</w:t>
                  </w:r>
                </w:p>
              </w:tc>
              <w:tc>
                <w:tcPr>
                  <w:tcW w:w="904" w:type="pct"/>
                  <w:noWrap w:val="0"/>
                  <w:vAlign w:val="center"/>
                </w:tcPr>
                <w:p w14:paraId="3828089F">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rPr>
                    <w:t>年平均</w:t>
                  </w:r>
                </w:p>
              </w:tc>
              <w:tc>
                <w:tcPr>
                  <w:tcW w:w="1224" w:type="pct"/>
                  <w:noWrap w:val="0"/>
                  <w:vAlign w:val="center"/>
                </w:tcPr>
                <w:p w14:paraId="5D16E71F">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60</w:t>
                  </w:r>
                </w:p>
              </w:tc>
              <w:tc>
                <w:tcPr>
                  <w:tcW w:w="1240" w:type="pct"/>
                  <w:noWrap w:val="0"/>
                  <w:vAlign w:val="center"/>
                </w:tcPr>
                <w:p w14:paraId="50746775">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50</w:t>
                  </w:r>
                </w:p>
              </w:tc>
            </w:tr>
            <w:tr w14:paraId="54C4A7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7C4E4AB2">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continue"/>
                  <w:noWrap w:val="0"/>
                  <w:vAlign w:val="center"/>
                </w:tcPr>
                <w:p w14:paraId="6FAA56B5">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904" w:type="pct"/>
                  <w:noWrap w:val="0"/>
                  <w:vAlign w:val="center"/>
                </w:tcPr>
                <w:p w14:paraId="1C815238">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日</w:t>
                  </w:r>
                  <w:r>
                    <w:rPr>
                      <w:rFonts w:hint="eastAsia" w:ascii="Times New Roman" w:hAnsi="Times New Roman" w:eastAsia="宋体" w:cs="Times New Roman"/>
                      <w:color w:val="auto"/>
                      <w:sz w:val="21"/>
                    </w:rPr>
                    <w:t>平均</w:t>
                  </w:r>
                </w:p>
              </w:tc>
              <w:tc>
                <w:tcPr>
                  <w:tcW w:w="1224" w:type="pct"/>
                  <w:noWrap w:val="0"/>
                  <w:vAlign w:val="center"/>
                </w:tcPr>
                <w:p w14:paraId="081A7A9A">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default" w:ascii="Times New Roman" w:hAnsi="Times New Roman" w:eastAsia="宋体" w:cs="Times New Roman"/>
                      <w:color w:val="auto"/>
                      <w:sz w:val="21"/>
                    </w:rPr>
                    <w:t>1</w:t>
                  </w:r>
                  <w:r>
                    <w:rPr>
                      <w:rFonts w:hint="eastAsia" w:ascii="Times New Roman" w:hAnsi="Times New Roman" w:eastAsia="宋体" w:cs="Times New Roman"/>
                      <w:color w:val="auto"/>
                      <w:sz w:val="21"/>
                      <w:lang w:val="en-US" w:eastAsia="zh-CN"/>
                    </w:rPr>
                    <w:t>2</w:t>
                  </w:r>
                  <w:r>
                    <w:rPr>
                      <w:rFonts w:hint="default" w:ascii="Times New Roman" w:hAnsi="Times New Roman" w:eastAsia="宋体" w:cs="Times New Roman"/>
                      <w:color w:val="auto"/>
                      <w:sz w:val="21"/>
                    </w:rPr>
                    <w:t>0</w:t>
                  </w:r>
                </w:p>
              </w:tc>
              <w:tc>
                <w:tcPr>
                  <w:tcW w:w="1240" w:type="pct"/>
                  <w:noWrap w:val="0"/>
                  <w:vAlign w:val="center"/>
                </w:tcPr>
                <w:p w14:paraId="31108FB7">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default" w:ascii="Times New Roman" w:hAnsi="Times New Roman" w:eastAsia="宋体" w:cs="Times New Roman"/>
                      <w:color w:val="auto"/>
                      <w:sz w:val="21"/>
                    </w:rPr>
                    <w:t>1</w:t>
                  </w:r>
                  <w:r>
                    <w:rPr>
                      <w:rFonts w:hint="eastAsia" w:ascii="Times New Roman" w:hAnsi="Times New Roman" w:eastAsia="宋体" w:cs="Times New Roman"/>
                      <w:color w:val="auto"/>
                      <w:sz w:val="21"/>
                      <w:lang w:val="en-US" w:eastAsia="zh-CN"/>
                    </w:rPr>
                    <w:t>0</w:t>
                  </w:r>
                  <w:r>
                    <w:rPr>
                      <w:rFonts w:hint="default" w:ascii="Times New Roman" w:hAnsi="Times New Roman" w:eastAsia="宋体" w:cs="Times New Roman"/>
                      <w:color w:val="auto"/>
                      <w:sz w:val="21"/>
                    </w:rPr>
                    <w:t>0</w:t>
                  </w:r>
                </w:p>
              </w:tc>
            </w:tr>
            <w:tr w14:paraId="09D87D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534CCFB4">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restart"/>
                  <w:noWrap w:val="0"/>
                  <w:vAlign w:val="center"/>
                </w:tcPr>
                <w:p w14:paraId="4AAC5248">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default" w:ascii="Times New Roman" w:hAnsi="Times New Roman" w:eastAsia="宋体" w:cs="Times New Roman"/>
                      <w:color w:val="auto"/>
                      <w:sz w:val="21"/>
                    </w:rPr>
                    <w:t>PM</w:t>
                  </w:r>
                  <w:r>
                    <w:rPr>
                      <w:rFonts w:hint="default" w:ascii="Times New Roman" w:hAnsi="Times New Roman" w:eastAsia="宋体" w:cs="Times New Roman"/>
                      <w:color w:val="auto"/>
                      <w:sz w:val="21"/>
                      <w:vertAlign w:val="subscript"/>
                    </w:rPr>
                    <w:t>2.5</w:t>
                  </w:r>
                </w:p>
              </w:tc>
              <w:tc>
                <w:tcPr>
                  <w:tcW w:w="904" w:type="pct"/>
                  <w:noWrap w:val="0"/>
                  <w:vAlign w:val="center"/>
                </w:tcPr>
                <w:p w14:paraId="78ABF9E7">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rPr>
                    <w:t>年平均</w:t>
                  </w:r>
                </w:p>
              </w:tc>
              <w:tc>
                <w:tcPr>
                  <w:tcW w:w="1224" w:type="pct"/>
                  <w:noWrap w:val="0"/>
                  <w:vAlign w:val="center"/>
                </w:tcPr>
                <w:p w14:paraId="50C4809D">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30</w:t>
                  </w:r>
                </w:p>
              </w:tc>
              <w:tc>
                <w:tcPr>
                  <w:tcW w:w="1240" w:type="pct"/>
                  <w:noWrap w:val="0"/>
                  <w:vAlign w:val="center"/>
                </w:tcPr>
                <w:p w14:paraId="48C34CA0">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25</w:t>
                  </w:r>
                </w:p>
              </w:tc>
            </w:tr>
            <w:tr w14:paraId="4BD25A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vMerge w:val="continue"/>
                  <w:noWrap w:val="0"/>
                  <w:vAlign w:val="center"/>
                </w:tcPr>
                <w:p w14:paraId="2109FBCC">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continue"/>
                  <w:noWrap w:val="0"/>
                  <w:vAlign w:val="center"/>
                </w:tcPr>
                <w:p w14:paraId="7EDF956D">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904" w:type="pct"/>
                  <w:noWrap w:val="0"/>
                  <w:vAlign w:val="center"/>
                </w:tcPr>
                <w:p w14:paraId="3A524FA0">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日</w:t>
                  </w:r>
                  <w:r>
                    <w:rPr>
                      <w:rFonts w:hint="eastAsia" w:ascii="Times New Roman" w:hAnsi="Times New Roman" w:eastAsia="宋体" w:cs="Times New Roman"/>
                      <w:color w:val="auto"/>
                      <w:sz w:val="21"/>
                    </w:rPr>
                    <w:t>平均</w:t>
                  </w:r>
                </w:p>
              </w:tc>
              <w:tc>
                <w:tcPr>
                  <w:tcW w:w="1224" w:type="pct"/>
                  <w:noWrap w:val="0"/>
                  <w:vAlign w:val="center"/>
                </w:tcPr>
                <w:p w14:paraId="7E1A1237">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60</w:t>
                  </w:r>
                </w:p>
              </w:tc>
              <w:tc>
                <w:tcPr>
                  <w:tcW w:w="1240" w:type="pct"/>
                  <w:noWrap w:val="0"/>
                  <w:vAlign w:val="center"/>
                </w:tcPr>
                <w:p w14:paraId="1CF4AB8C">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b w:val="0"/>
                      <w:iCs/>
                      <w:snapToGrid w:val="0"/>
                      <w:color w:val="auto"/>
                      <w:kern w:val="0"/>
                      <w:sz w:val="21"/>
                      <w:szCs w:val="21"/>
                      <w:lang w:val="en-US" w:eastAsia="zh-CN" w:bidi="ar-SA"/>
                    </w:rPr>
                  </w:pPr>
                  <w:r>
                    <w:rPr>
                      <w:rFonts w:hint="eastAsia" w:ascii="Times New Roman" w:hAnsi="Times New Roman" w:eastAsia="宋体" w:cs="Times New Roman"/>
                      <w:color w:val="auto"/>
                      <w:sz w:val="21"/>
                      <w:lang w:val="en-US" w:eastAsia="zh-CN"/>
                    </w:rPr>
                    <w:t>60</w:t>
                  </w:r>
                </w:p>
              </w:tc>
            </w:tr>
            <w:tr w14:paraId="70784F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75" w:type="pct"/>
                  <w:vMerge w:val="continue"/>
                  <w:noWrap w:val="0"/>
                  <w:vAlign w:val="center"/>
                </w:tcPr>
                <w:p w14:paraId="2CBEC5AF">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p>
              </w:tc>
              <w:tc>
                <w:tcPr>
                  <w:tcW w:w="755" w:type="pct"/>
                  <w:vMerge w:val="restart"/>
                  <w:noWrap w:val="0"/>
                  <w:vAlign w:val="center"/>
                </w:tcPr>
                <w:p w14:paraId="6902AC9C">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default" w:ascii="Times New Roman" w:hAnsi="Times New Roman" w:eastAsia="宋体" w:cs="Times New Roman"/>
                      <w:bCs/>
                      <w:color w:val="auto"/>
                      <w:sz w:val="21"/>
                      <w:szCs w:val="21"/>
                      <w:highlight w:val="none"/>
                      <w:lang w:eastAsia="zh-CN"/>
                    </w:rPr>
                    <w:t>TSP</w:t>
                  </w:r>
                </w:p>
              </w:tc>
              <w:tc>
                <w:tcPr>
                  <w:tcW w:w="904" w:type="pct"/>
                  <w:noWrap w:val="0"/>
                  <w:vAlign w:val="center"/>
                </w:tcPr>
                <w:p w14:paraId="090E5F18">
                  <w:pPr>
                    <w:pStyle w:val="59"/>
                    <w:adjustRightInd w:val="0"/>
                    <w:snapToGrid w:val="0"/>
                    <w:spacing w:line="320" w:lineRule="exact"/>
                    <w:jc w:val="center"/>
                    <w:rPr>
                      <w:rFonts w:hint="eastAsia" w:ascii="Times New Roman" w:hAnsi="Times New Roman" w:eastAsia="宋体" w:cs="Times New Roman"/>
                      <w:color w:val="auto"/>
                      <w:sz w:val="21"/>
                    </w:rPr>
                  </w:pPr>
                  <w:r>
                    <w:rPr>
                      <w:rFonts w:hint="default" w:ascii="Times New Roman" w:hAnsi="Times New Roman" w:eastAsia="宋体" w:cs="Times New Roman"/>
                      <w:bCs/>
                      <w:color w:val="auto"/>
                      <w:sz w:val="21"/>
                      <w:szCs w:val="21"/>
                      <w:highlight w:val="none"/>
                      <w:lang w:eastAsia="zh-CN"/>
                    </w:rPr>
                    <w:t>年平均</w:t>
                  </w:r>
                </w:p>
              </w:tc>
              <w:tc>
                <w:tcPr>
                  <w:tcW w:w="2464" w:type="pct"/>
                  <w:gridSpan w:val="2"/>
                  <w:noWrap w:val="0"/>
                  <w:vAlign w:val="center"/>
                </w:tcPr>
                <w:p w14:paraId="18F651F2">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lang w:val="en-US" w:eastAsia="zh-CN"/>
                    </w:rPr>
                  </w:pPr>
                  <w:r>
                    <w:rPr>
                      <w:rFonts w:hint="eastAsia" w:cs="Times New Roman"/>
                      <w:color w:val="auto"/>
                      <w:sz w:val="21"/>
                      <w:lang w:val="en-US" w:eastAsia="zh-CN"/>
                    </w:rPr>
                    <w:t>200</w:t>
                  </w:r>
                </w:p>
              </w:tc>
            </w:tr>
            <w:tr w14:paraId="1DDC0E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875" w:type="pct"/>
                  <w:vMerge w:val="continue"/>
                  <w:noWrap w:val="0"/>
                  <w:vAlign w:val="center"/>
                </w:tcPr>
                <w:p w14:paraId="755D1921">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color w:val="auto"/>
                    </w:rPr>
                  </w:pPr>
                </w:p>
              </w:tc>
              <w:tc>
                <w:tcPr>
                  <w:tcW w:w="755" w:type="pct"/>
                  <w:vMerge w:val="continue"/>
                  <w:noWrap w:val="0"/>
                  <w:vAlign w:val="center"/>
                </w:tcPr>
                <w:p w14:paraId="797155C2">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color w:val="auto"/>
                    </w:rPr>
                  </w:pPr>
                </w:p>
              </w:tc>
              <w:tc>
                <w:tcPr>
                  <w:tcW w:w="904" w:type="pct"/>
                  <w:noWrap w:val="0"/>
                  <w:vAlign w:val="center"/>
                </w:tcPr>
                <w:p w14:paraId="3C5998D9">
                  <w:pPr>
                    <w:pStyle w:val="59"/>
                    <w:adjustRightInd w:val="0"/>
                    <w:snapToGrid w:val="0"/>
                    <w:spacing w:line="320" w:lineRule="exact"/>
                    <w:jc w:val="center"/>
                    <w:rPr>
                      <w:rFonts w:hint="eastAsia" w:ascii="Times New Roman" w:hAnsi="Times New Roman" w:eastAsia="宋体" w:cs="Times New Roman"/>
                      <w:color w:val="auto"/>
                      <w:sz w:val="21"/>
                    </w:rPr>
                  </w:pPr>
                  <w:r>
                    <w:rPr>
                      <w:rFonts w:hint="default" w:ascii="Times New Roman" w:hAnsi="Times New Roman" w:eastAsia="宋体" w:cs="Times New Roman"/>
                      <w:bCs/>
                      <w:color w:val="auto"/>
                      <w:sz w:val="21"/>
                      <w:szCs w:val="21"/>
                      <w:highlight w:val="none"/>
                      <w:lang w:eastAsia="zh-CN"/>
                    </w:rPr>
                    <w:t>24小时平均</w:t>
                  </w:r>
                </w:p>
              </w:tc>
              <w:tc>
                <w:tcPr>
                  <w:tcW w:w="2464" w:type="pct"/>
                  <w:gridSpan w:val="2"/>
                  <w:noWrap w:val="0"/>
                  <w:vAlign w:val="center"/>
                </w:tcPr>
                <w:p w14:paraId="019DE381">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default" w:ascii="Times New Roman" w:hAnsi="Times New Roman" w:eastAsia="宋体" w:cs="Times New Roman"/>
                      <w:color w:val="auto"/>
                      <w:sz w:val="21"/>
                      <w:lang w:val="en-US" w:eastAsia="zh-CN"/>
                    </w:rPr>
                  </w:pPr>
                  <w:r>
                    <w:rPr>
                      <w:rFonts w:hint="eastAsia" w:cs="Times New Roman"/>
                      <w:color w:val="auto"/>
                      <w:sz w:val="21"/>
                      <w:lang w:val="en-US" w:eastAsia="zh-CN"/>
                    </w:rPr>
                    <w:t>300</w:t>
                  </w:r>
                </w:p>
              </w:tc>
            </w:tr>
            <w:tr w14:paraId="24A5B4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5" w:type="pct"/>
                  <w:noWrap w:val="0"/>
                  <w:vAlign w:val="center"/>
                </w:tcPr>
                <w:p w14:paraId="1AB60CC1">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《大气污染物综合排放标准详解》（国家环境保护局科技标准司）P244中的标准值</w:t>
                  </w:r>
                </w:p>
              </w:tc>
              <w:tc>
                <w:tcPr>
                  <w:tcW w:w="755" w:type="pct"/>
                  <w:noWrap w:val="0"/>
                  <w:vAlign w:val="center"/>
                </w:tcPr>
                <w:p w14:paraId="40A008A7">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非甲烷总烃</w:t>
                  </w:r>
                </w:p>
              </w:tc>
              <w:tc>
                <w:tcPr>
                  <w:tcW w:w="904" w:type="pct"/>
                  <w:noWrap w:val="0"/>
                  <w:vAlign w:val="center"/>
                </w:tcPr>
                <w:p w14:paraId="433643ED">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1小时平均</w:t>
                  </w:r>
                </w:p>
              </w:tc>
              <w:tc>
                <w:tcPr>
                  <w:tcW w:w="2464" w:type="pct"/>
                  <w:gridSpan w:val="2"/>
                  <w:noWrap w:val="0"/>
                  <w:vAlign w:val="center"/>
                </w:tcPr>
                <w:p w14:paraId="36CF225D">
                  <w:pPr>
                    <w:pStyle w:val="55"/>
                    <w:keepNext w:val="0"/>
                    <w:keepLines w:val="0"/>
                    <w:pageBreakBefore w:val="0"/>
                    <w:widowControl/>
                    <w:kinsoku/>
                    <w:wordWrap/>
                    <w:overflowPunct/>
                    <w:topLinePunct w:val="0"/>
                    <w:autoSpaceDE/>
                    <w:autoSpaceDN/>
                    <w:bidi w:val="0"/>
                    <w:adjustRightInd/>
                    <w:snapToGrid/>
                    <w:ind w:left="0" w:firstLine="0" w:firstLineChars="0"/>
                    <w:jc w:val="center"/>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21"/>
                    </w:rPr>
                    <w:t>2.0mg/m</w:t>
                  </w:r>
                  <w:r>
                    <w:rPr>
                      <w:rFonts w:hint="eastAsia" w:ascii="Times New Roman" w:hAnsi="Times New Roman" w:eastAsia="宋体" w:cs="Times New Roman"/>
                      <w:color w:val="auto"/>
                      <w:sz w:val="21"/>
                      <w:vertAlign w:val="superscript"/>
                    </w:rPr>
                    <w:t>3</w:t>
                  </w:r>
                </w:p>
              </w:tc>
            </w:tr>
            <w:tr w14:paraId="337DE3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5"/>
                  <w:noWrap w:val="0"/>
                  <w:vAlign w:val="center"/>
                </w:tcPr>
                <w:p w14:paraId="0FC381E8">
                  <w:pPr>
                    <w:pStyle w:val="55"/>
                    <w:keepNext w:val="0"/>
                    <w:keepLines w:val="0"/>
                    <w:pageBreakBefore w:val="0"/>
                    <w:widowControl/>
                    <w:kinsoku/>
                    <w:wordWrap/>
                    <w:overflowPunct/>
                    <w:topLinePunct w:val="0"/>
                    <w:autoSpaceDE/>
                    <w:autoSpaceDN/>
                    <w:bidi w:val="0"/>
                    <w:adjustRightInd/>
                    <w:snapToGrid/>
                    <w:ind w:left="0" w:firstLine="0" w:firstLineChars="0"/>
                    <w:jc w:val="left"/>
                    <w:textAlignment w:val="auto"/>
                    <w:rPr>
                      <w:rFonts w:hint="eastAsia" w:ascii="Times New Roman" w:hAnsi="Times New Roman" w:eastAsia="宋体" w:cs="Times New Roman"/>
                      <w:color w:val="auto"/>
                      <w:sz w:val="21"/>
                    </w:rPr>
                  </w:pPr>
                  <w:r>
                    <w:rPr>
                      <w:rFonts w:hint="eastAsia" w:ascii="Times New Roman" w:hAnsi="Times New Roman" w:eastAsia="宋体" w:cs="Times New Roman"/>
                      <w:color w:val="auto"/>
                      <w:sz w:val="18"/>
                      <w:szCs w:val="18"/>
                    </w:rPr>
                    <w:t>注</w:t>
                  </w:r>
                  <w:r>
                    <w:rPr>
                      <w:rFonts w:hint="eastAsia" w:ascii="Times New Roman" w:hAnsi="Times New Roman" w:eastAsia="宋体" w:cs="Times New Roman"/>
                      <w:color w:val="auto"/>
                      <w:sz w:val="18"/>
                      <w:szCs w:val="18"/>
                      <w:lang w:eastAsia="zh-CN"/>
                    </w:rPr>
                    <w:t>：</w:t>
                  </w:r>
                  <w:r>
                    <w:rPr>
                      <w:rFonts w:hint="eastAsia" w:ascii="Times New Roman" w:hAnsi="Times New Roman" w:eastAsia="宋体" w:cs="Times New Roman"/>
                      <w:color w:val="auto"/>
                      <w:sz w:val="18"/>
                      <w:szCs w:val="18"/>
                      <w:lang w:val="en-US" w:eastAsia="zh-CN"/>
                    </w:rPr>
                    <w:t>根据《环境空气质量标准》（GB 3095-2026），</w:t>
                  </w:r>
                  <w:r>
                    <w:rPr>
                      <w:rFonts w:hint="eastAsia" w:ascii="Times New Roman" w:hAnsi="Times New Roman" w:eastAsia="宋体" w:cs="Times New Roman"/>
                      <w:color w:val="auto"/>
                      <w:sz w:val="18"/>
                      <w:szCs w:val="18"/>
                    </w:rPr>
                    <w:t>2026年3月1日</w:t>
                  </w:r>
                  <w:r>
                    <w:rPr>
                      <w:rFonts w:hint="eastAsia" w:cs="Times New Roman"/>
                      <w:color w:val="auto"/>
                      <w:sz w:val="18"/>
                      <w:szCs w:val="18"/>
                      <w:lang w:eastAsia="zh-CN"/>
                    </w:rPr>
                    <w:t>—</w:t>
                  </w:r>
                  <w:r>
                    <w:rPr>
                      <w:rFonts w:hint="eastAsia" w:ascii="Times New Roman" w:hAnsi="Times New Roman" w:eastAsia="宋体" w:cs="Times New Roman"/>
                      <w:color w:val="auto"/>
                      <w:sz w:val="18"/>
                      <w:szCs w:val="18"/>
                    </w:rPr>
                    <w:t>2030年12月31日环境空气污染物基本项目实施过渡阶段浓度限值</w:t>
                  </w:r>
                  <w:r>
                    <w:rPr>
                      <w:rFonts w:hint="eastAsia" w:ascii="Times New Roman" w:hAnsi="Times New Roman" w:eastAsia="宋体" w:cs="Times New Roman"/>
                      <w:color w:val="auto"/>
                      <w:sz w:val="18"/>
                      <w:szCs w:val="18"/>
                      <w:lang w:eastAsia="zh-CN"/>
                    </w:rPr>
                    <w:t>；</w:t>
                  </w:r>
                  <w:r>
                    <w:rPr>
                      <w:rFonts w:hint="eastAsia" w:ascii="Times New Roman" w:hAnsi="Times New Roman" w:eastAsia="宋体" w:cs="Times New Roman"/>
                      <w:color w:val="auto"/>
                      <w:sz w:val="18"/>
                      <w:szCs w:val="18"/>
                    </w:rPr>
                    <w:t>2031年1月1日起，在全国范围内实施基本项目浓度限值。</w:t>
                  </w:r>
                </w:p>
              </w:tc>
            </w:tr>
          </w:tbl>
          <w:p w14:paraId="32EC1908">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3.1.2区域大气</w:t>
            </w:r>
            <w:r>
              <w:rPr>
                <w:rFonts w:hint="eastAsia" w:cs="Times New Roman"/>
                <w:b/>
                <w:color w:val="auto"/>
                <w:kern w:val="2"/>
                <w:sz w:val="24"/>
                <w:szCs w:val="24"/>
                <w:lang w:val="en-US" w:eastAsia="zh-CN" w:bidi="ar-SA"/>
              </w:rPr>
              <w:t>环境</w:t>
            </w:r>
            <w:r>
              <w:rPr>
                <w:rFonts w:hint="eastAsia" w:ascii="Times New Roman" w:hAnsi="Times New Roman" w:eastAsia="宋体" w:cs="Times New Roman"/>
                <w:b/>
                <w:color w:val="auto"/>
                <w:kern w:val="2"/>
                <w:sz w:val="24"/>
                <w:szCs w:val="24"/>
                <w:lang w:val="en-US" w:eastAsia="zh-CN" w:bidi="ar-SA"/>
              </w:rPr>
              <w:t>质量现状</w:t>
            </w:r>
            <w:bookmarkEnd w:id="45"/>
          </w:p>
          <w:p w14:paraId="2A6D01FB">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（1）项目所在区域环境质量现状</w:t>
            </w:r>
          </w:p>
          <w:p w14:paraId="07E36C93">
            <w:pPr>
              <w:pStyle w:val="5"/>
              <w:bidi w:val="0"/>
              <w:rPr>
                <w:rFonts w:hint="eastAsia" w:ascii="Times New Roman" w:hAnsi="Times New Roman"/>
                <w:color w:val="auto"/>
                <w:lang w:val="en-US" w:eastAsia="zh-CN"/>
              </w:rPr>
            </w:pPr>
            <w:r>
              <w:rPr>
                <w:rFonts w:hint="eastAsia" w:ascii="Times New Roman" w:hAnsi="Times New Roman"/>
                <w:color w:val="auto"/>
                <w:lang w:val="en-US" w:eastAsia="zh-CN"/>
              </w:rPr>
              <w:t>①常规污染物因子</w:t>
            </w:r>
          </w:p>
          <w:p w14:paraId="706F5E2D">
            <w:pPr>
              <w:pStyle w:val="5"/>
              <w:bidi w:val="0"/>
              <w:rPr>
                <w:rFonts w:hint="eastAsia" w:ascii="Times New Roman" w:hAnsi="Times New Roman"/>
                <w:color w:val="auto"/>
                <w:lang w:val="en-US" w:eastAsia="zh-CN"/>
              </w:rPr>
            </w:pPr>
            <w:r>
              <w:rPr>
                <w:rFonts w:hint="eastAsia" w:ascii="Times New Roman" w:hAnsi="Times New Roman"/>
                <w:color w:val="auto"/>
                <w:lang w:val="en-US" w:eastAsia="zh-CN"/>
              </w:rPr>
              <w:t>为评述所在区域的大气环境质量现状，引用福州高新技术产业开发区管委会发布的福州高新区202</w:t>
            </w:r>
            <w:r>
              <w:rPr>
                <w:rFonts w:hint="eastAsia"/>
                <w:color w:val="auto"/>
                <w:lang w:val="en-US" w:eastAsia="zh-CN"/>
              </w:rPr>
              <w:t>5</w:t>
            </w:r>
            <w:r>
              <w:rPr>
                <w:rFonts w:hint="eastAsia" w:ascii="Times New Roman" w:hAnsi="Times New Roman"/>
                <w:color w:val="auto"/>
                <w:lang w:val="en-US" w:eastAsia="zh-CN"/>
              </w:rPr>
              <w:t>年1</w:t>
            </w:r>
            <w:r>
              <w:rPr>
                <w:rFonts w:hint="eastAsia"/>
                <w:color w:val="auto"/>
                <w:lang w:val="en-US" w:eastAsia="zh-CN"/>
              </w:rPr>
              <w:t>—</w:t>
            </w:r>
            <w:r>
              <w:rPr>
                <w:rFonts w:hint="eastAsia" w:ascii="Times New Roman" w:hAnsi="Times New Roman"/>
                <w:color w:val="auto"/>
                <w:lang w:val="en-US" w:eastAsia="zh-CN"/>
              </w:rPr>
              <w:t>12月空气质量月报，202</w:t>
            </w:r>
            <w:r>
              <w:rPr>
                <w:rFonts w:hint="eastAsia"/>
                <w:color w:val="auto"/>
                <w:lang w:val="en-US" w:eastAsia="zh-CN"/>
              </w:rPr>
              <w:t>5</w:t>
            </w:r>
            <w:r>
              <w:rPr>
                <w:rFonts w:hint="eastAsia" w:ascii="Times New Roman" w:hAnsi="Times New Roman"/>
                <w:color w:val="auto"/>
                <w:lang w:val="en-US" w:eastAsia="zh-CN"/>
              </w:rPr>
              <w:t>年连续1年的大气常规污染物因子环境空气质量监测数据如下</w:t>
            </w:r>
            <w:r>
              <w:rPr>
                <w:rFonts w:hint="eastAsia"/>
                <w:color w:val="auto"/>
                <w:lang w:val="en-US" w:eastAsia="zh-CN"/>
              </w:rPr>
              <w:t>表3.1-2</w:t>
            </w:r>
            <w:r>
              <w:rPr>
                <w:rFonts w:hint="eastAsia" w:ascii="Times New Roman" w:hAnsi="Times New Roman"/>
                <w:color w:val="auto"/>
                <w:lang w:val="en-US" w:eastAsia="zh-CN"/>
              </w:rPr>
              <w:t>。</w:t>
            </w:r>
          </w:p>
          <w:p w14:paraId="736DFDEA">
            <w:pPr>
              <w:pStyle w:val="27"/>
              <w:bidi w:val="0"/>
              <w:rPr>
                <w:rFonts w:hint="default" w:ascii="Times New Roman" w:hAnsi="Times New Roman"/>
                <w:color w:val="auto"/>
                <w:vertAlign w:val="baseline"/>
                <w:lang w:val="en-US" w:eastAsia="zh-CN"/>
              </w:rPr>
            </w:pPr>
            <w:r>
              <w:rPr>
                <w:rFonts w:hint="eastAsia" w:ascii="Times New Roman" w:hAnsi="Times New Roman"/>
                <w:color w:val="auto"/>
                <w:lang w:val="en-US" w:eastAsia="zh-CN"/>
              </w:rPr>
              <w:t>表3.1-</w:t>
            </w:r>
            <w:r>
              <w:rPr>
                <w:rFonts w:hint="eastAsia"/>
                <w:color w:val="auto"/>
                <w:lang w:val="en-US" w:eastAsia="zh-CN"/>
              </w:rPr>
              <w:t xml:space="preserve">2  </w:t>
            </w:r>
            <w:r>
              <w:rPr>
                <w:rFonts w:hint="eastAsia" w:ascii="Times New Roman" w:hAnsi="Times New Roman"/>
                <w:color w:val="auto"/>
                <w:lang w:val="en-US" w:eastAsia="zh-CN"/>
              </w:rPr>
              <w:t>福州高新区202</w:t>
            </w:r>
            <w:r>
              <w:rPr>
                <w:rFonts w:hint="eastAsia"/>
                <w:color w:val="auto"/>
                <w:lang w:val="en-US" w:eastAsia="zh-CN"/>
              </w:rPr>
              <w:t>5</w:t>
            </w:r>
            <w:r>
              <w:rPr>
                <w:rFonts w:hint="eastAsia" w:ascii="Times New Roman" w:hAnsi="Times New Roman"/>
                <w:color w:val="auto"/>
                <w:lang w:val="en-US" w:eastAsia="zh-CN"/>
              </w:rPr>
              <w:t>年1月份</w:t>
            </w:r>
            <w:r>
              <w:rPr>
                <w:rFonts w:hint="eastAsia"/>
                <w:color w:val="auto"/>
                <w:lang w:val="en-US" w:eastAsia="zh-CN"/>
              </w:rPr>
              <w:t>～</w:t>
            </w:r>
            <w:r>
              <w:rPr>
                <w:rFonts w:hint="eastAsia" w:ascii="Times New Roman" w:hAnsi="Times New Roman"/>
                <w:color w:val="auto"/>
                <w:lang w:val="en-US" w:eastAsia="zh-CN"/>
              </w:rPr>
              <w:t>12月份环境空气质量统计</w:t>
            </w:r>
          </w:p>
          <w:tbl>
            <w:tblPr>
              <w:tblStyle w:val="20"/>
              <w:tblW w:w="5000"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265"/>
              <w:gridCol w:w="1192"/>
              <w:gridCol w:w="1192"/>
              <w:gridCol w:w="1192"/>
              <w:gridCol w:w="1193"/>
              <w:gridCol w:w="1193"/>
              <w:gridCol w:w="1194"/>
            </w:tblGrid>
            <w:tr w14:paraId="7A714F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1706A62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时间</w:t>
                  </w:r>
                </w:p>
              </w:tc>
              <w:tc>
                <w:tcPr>
                  <w:tcW w:w="708" w:type="pct"/>
                  <w:tcBorders>
                    <w:tl2br w:val="nil"/>
                    <w:tr2bl w:val="nil"/>
                  </w:tcBorders>
                  <w:noWrap w:val="0"/>
                  <w:vAlign w:val="center"/>
                </w:tcPr>
                <w:p w14:paraId="567EFC1C">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sz w:val="21"/>
                      <w:szCs w:val="21"/>
                      <w:lang w:val="en-US" w:eastAsia="zh-CN"/>
                    </w:rPr>
                  </w:pPr>
                  <w:r>
                    <w:rPr>
                      <w:rFonts w:hint="default" w:ascii="Times New Roman" w:hAnsi="Times New Roman" w:eastAsia="宋体"/>
                      <w:b/>
                      <w:bCs/>
                      <w:color w:val="auto"/>
                      <w:sz w:val="21"/>
                      <w:szCs w:val="21"/>
                      <w:lang w:val="en-US" w:eastAsia="zh-CN"/>
                    </w:rPr>
                    <w:t>SO</w:t>
                  </w:r>
                  <w:r>
                    <w:rPr>
                      <w:rFonts w:hint="default" w:ascii="Times New Roman" w:hAnsi="Times New Roman" w:eastAsia="宋体"/>
                      <w:b/>
                      <w:bCs/>
                      <w:color w:val="auto"/>
                      <w:sz w:val="21"/>
                      <w:szCs w:val="21"/>
                      <w:vertAlign w:val="subscript"/>
                      <w:lang w:val="en-US" w:eastAsia="zh-CN"/>
                    </w:rPr>
                    <w:t>2</w:t>
                  </w:r>
                </w:p>
                <w:p w14:paraId="75D0058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sz w:val="21"/>
                      <w:szCs w:val="21"/>
                      <w:lang w:val="en-US" w:eastAsia="zh-CN"/>
                    </w:rPr>
                  </w:pPr>
                  <w:r>
                    <w:rPr>
                      <w:rFonts w:hint="default" w:ascii="Times New Roman" w:hAnsi="Times New Roman" w:eastAsia="宋体"/>
                      <w:b/>
                      <w:bCs/>
                      <w:color w:val="auto"/>
                      <w:sz w:val="21"/>
                      <w:szCs w:val="21"/>
                      <w:lang w:val="en-US" w:eastAsia="zh-CN"/>
                    </w:rPr>
                    <w:t>μg/m</w:t>
                  </w:r>
                  <w:r>
                    <w:rPr>
                      <w:rFonts w:hint="default" w:ascii="Times New Roman" w:hAnsi="Times New Roman" w:eastAsia="宋体"/>
                      <w:b/>
                      <w:bCs/>
                      <w:color w:val="auto"/>
                      <w:sz w:val="21"/>
                      <w:szCs w:val="21"/>
                      <w:vertAlign w:val="superscript"/>
                      <w:lang w:val="en-US" w:eastAsia="zh-CN"/>
                    </w:rPr>
                    <w:t>3</w:t>
                  </w:r>
                </w:p>
              </w:tc>
              <w:tc>
                <w:tcPr>
                  <w:tcW w:w="708" w:type="pct"/>
                  <w:tcBorders>
                    <w:tl2br w:val="nil"/>
                    <w:tr2bl w:val="nil"/>
                  </w:tcBorders>
                  <w:noWrap w:val="0"/>
                  <w:vAlign w:val="center"/>
                </w:tcPr>
                <w:p w14:paraId="229D106A">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NO</w:t>
                  </w:r>
                  <w:r>
                    <w:rPr>
                      <w:rFonts w:hint="eastAsia" w:ascii="Times New Roman" w:hAnsi="Times New Roman" w:eastAsia="宋体"/>
                      <w:b/>
                      <w:bCs/>
                      <w:color w:val="auto"/>
                      <w:sz w:val="21"/>
                      <w:szCs w:val="21"/>
                      <w:vertAlign w:val="subscript"/>
                      <w:lang w:val="en-US" w:eastAsia="zh-CN"/>
                    </w:rPr>
                    <w:t>2</w:t>
                  </w:r>
                </w:p>
                <w:p w14:paraId="0E567165">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sz w:val="21"/>
                      <w:szCs w:val="21"/>
                      <w:lang w:val="en-US" w:eastAsia="zh-CN"/>
                    </w:rPr>
                  </w:pPr>
                  <w:r>
                    <w:rPr>
                      <w:rFonts w:hint="default" w:ascii="Times New Roman" w:hAnsi="Times New Roman" w:eastAsia="宋体"/>
                      <w:b/>
                      <w:bCs/>
                      <w:color w:val="auto"/>
                      <w:sz w:val="21"/>
                      <w:szCs w:val="21"/>
                      <w:lang w:val="en-US" w:eastAsia="zh-CN"/>
                    </w:rPr>
                    <w:t>μg/m</w:t>
                  </w:r>
                  <w:r>
                    <w:rPr>
                      <w:rFonts w:hint="default" w:ascii="Times New Roman" w:hAnsi="Times New Roman" w:eastAsia="宋体"/>
                      <w:b/>
                      <w:bCs/>
                      <w:color w:val="auto"/>
                      <w:sz w:val="21"/>
                      <w:szCs w:val="21"/>
                      <w:vertAlign w:val="superscript"/>
                      <w:lang w:val="en-US" w:eastAsia="zh-CN"/>
                    </w:rPr>
                    <w:t>3</w:t>
                  </w:r>
                </w:p>
              </w:tc>
              <w:tc>
                <w:tcPr>
                  <w:tcW w:w="708" w:type="pct"/>
                  <w:tcBorders>
                    <w:tl2br w:val="nil"/>
                    <w:tr2bl w:val="nil"/>
                  </w:tcBorders>
                  <w:noWrap w:val="0"/>
                  <w:vAlign w:val="center"/>
                </w:tcPr>
                <w:p w14:paraId="1A4AADBC">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b/>
                      <w:bCs/>
                      <w:color w:val="auto"/>
                      <w:sz w:val="21"/>
                      <w:szCs w:val="21"/>
                      <w:vertAlign w:val="subscript"/>
                      <w:lang w:val="en-US" w:eastAsia="zh-CN"/>
                    </w:rPr>
                  </w:pPr>
                  <w:r>
                    <w:rPr>
                      <w:rFonts w:hint="eastAsia" w:ascii="Times New Roman" w:hAnsi="Times New Roman" w:eastAsia="宋体"/>
                      <w:b/>
                      <w:bCs/>
                      <w:color w:val="auto"/>
                      <w:sz w:val="21"/>
                      <w:szCs w:val="21"/>
                      <w:lang w:val="en-US" w:eastAsia="zh-CN"/>
                    </w:rPr>
                    <w:t>PM</w:t>
                  </w:r>
                  <w:r>
                    <w:rPr>
                      <w:rFonts w:hint="eastAsia" w:ascii="Times New Roman" w:hAnsi="Times New Roman" w:eastAsia="宋体"/>
                      <w:b/>
                      <w:bCs/>
                      <w:color w:val="auto"/>
                      <w:sz w:val="21"/>
                      <w:szCs w:val="21"/>
                      <w:vertAlign w:val="subscript"/>
                      <w:lang w:val="en-US" w:eastAsia="zh-CN"/>
                    </w:rPr>
                    <w:t>10</w:t>
                  </w:r>
                </w:p>
                <w:p w14:paraId="2B3DB381">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μg/m</w:t>
                  </w:r>
                  <w:r>
                    <w:rPr>
                      <w:rFonts w:hint="default" w:ascii="Times New Roman" w:hAnsi="Times New Roman" w:eastAsia="宋体" w:cs="Times New Roman"/>
                      <w:b/>
                      <w:bCs/>
                      <w:color w:val="auto"/>
                      <w:sz w:val="21"/>
                      <w:szCs w:val="21"/>
                      <w:vertAlign w:val="superscript"/>
                      <w:lang w:val="en-US" w:eastAsia="zh-CN"/>
                    </w:rPr>
                    <w:t>3</w:t>
                  </w:r>
                </w:p>
              </w:tc>
              <w:tc>
                <w:tcPr>
                  <w:tcW w:w="708" w:type="pct"/>
                  <w:tcBorders>
                    <w:tl2br w:val="nil"/>
                    <w:tr2bl w:val="nil"/>
                  </w:tcBorders>
                  <w:noWrap w:val="0"/>
                  <w:vAlign w:val="center"/>
                </w:tcPr>
                <w:p w14:paraId="3E76D9A0">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b/>
                      <w:bCs/>
                      <w:color w:val="auto"/>
                      <w:sz w:val="21"/>
                      <w:szCs w:val="21"/>
                      <w:vertAlign w:val="subscript"/>
                      <w:lang w:val="en-US" w:eastAsia="zh-CN"/>
                    </w:rPr>
                  </w:pPr>
                  <w:r>
                    <w:rPr>
                      <w:rFonts w:hint="eastAsia" w:ascii="Times New Roman" w:hAnsi="Times New Roman" w:eastAsia="宋体"/>
                      <w:b/>
                      <w:bCs/>
                      <w:color w:val="auto"/>
                      <w:sz w:val="21"/>
                      <w:szCs w:val="21"/>
                      <w:lang w:val="en-US" w:eastAsia="zh-CN"/>
                    </w:rPr>
                    <w:t>PM</w:t>
                  </w:r>
                  <w:r>
                    <w:rPr>
                      <w:rFonts w:hint="eastAsia" w:ascii="Times New Roman" w:hAnsi="Times New Roman" w:eastAsia="宋体"/>
                      <w:b/>
                      <w:bCs/>
                      <w:color w:val="auto"/>
                      <w:sz w:val="21"/>
                      <w:szCs w:val="21"/>
                      <w:vertAlign w:val="subscript"/>
                      <w:lang w:val="en-US" w:eastAsia="zh-CN"/>
                    </w:rPr>
                    <w:t>2.5</w:t>
                  </w:r>
                </w:p>
                <w:p w14:paraId="17ECDCB5">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μg/m</w:t>
                  </w:r>
                  <w:r>
                    <w:rPr>
                      <w:rFonts w:hint="default" w:ascii="Times New Roman" w:hAnsi="Times New Roman" w:eastAsia="宋体" w:cs="Times New Roman"/>
                      <w:b/>
                      <w:bCs/>
                      <w:color w:val="auto"/>
                      <w:sz w:val="21"/>
                      <w:szCs w:val="21"/>
                      <w:vertAlign w:val="superscript"/>
                      <w:lang w:val="en-US" w:eastAsia="zh-CN"/>
                    </w:rPr>
                    <w:t>3</w:t>
                  </w:r>
                </w:p>
              </w:tc>
              <w:tc>
                <w:tcPr>
                  <w:tcW w:w="708" w:type="pct"/>
                  <w:tcBorders>
                    <w:tl2br w:val="nil"/>
                    <w:tr2bl w:val="nil"/>
                  </w:tcBorders>
                  <w:noWrap w:val="0"/>
                  <w:vAlign w:val="center"/>
                </w:tcPr>
                <w:p w14:paraId="759DB698">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CO</w:t>
                  </w:r>
                </w:p>
                <w:p w14:paraId="43E5FB6E">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m</w:t>
                  </w:r>
                  <w:r>
                    <w:rPr>
                      <w:rFonts w:hint="default" w:ascii="Times New Roman" w:hAnsi="Times New Roman" w:eastAsia="宋体"/>
                      <w:b/>
                      <w:bCs/>
                      <w:color w:val="auto"/>
                      <w:sz w:val="21"/>
                      <w:szCs w:val="21"/>
                      <w:lang w:val="en-US" w:eastAsia="zh-CN"/>
                    </w:rPr>
                    <w:t>g/m</w:t>
                  </w:r>
                  <w:r>
                    <w:rPr>
                      <w:rFonts w:hint="default" w:ascii="Times New Roman" w:hAnsi="Times New Roman" w:eastAsia="宋体"/>
                      <w:b/>
                      <w:bCs/>
                      <w:color w:val="auto"/>
                      <w:sz w:val="21"/>
                      <w:szCs w:val="21"/>
                      <w:vertAlign w:val="superscript"/>
                      <w:lang w:val="en-US" w:eastAsia="zh-CN"/>
                    </w:rPr>
                    <w:t>3</w:t>
                  </w:r>
                </w:p>
              </w:tc>
              <w:tc>
                <w:tcPr>
                  <w:tcW w:w="709" w:type="pct"/>
                  <w:tcBorders>
                    <w:tl2br w:val="nil"/>
                    <w:tr2bl w:val="nil"/>
                  </w:tcBorders>
                  <w:noWrap w:val="0"/>
                  <w:vAlign w:val="center"/>
                </w:tcPr>
                <w:p w14:paraId="779EDA6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b/>
                      <w:bCs/>
                      <w:color w:val="auto"/>
                      <w:sz w:val="21"/>
                      <w:szCs w:val="21"/>
                      <w:vertAlign w:val="subscript"/>
                      <w:lang w:val="en-US" w:eastAsia="zh-CN"/>
                    </w:rPr>
                  </w:pPr>
                  <w:r>
                    <w:rPr>
                      <w:rFonts w:hint="eastAsia" w:ascii="Times New Roman" w:hAnsi="Times New Roman" w:eastAsia="宋体"/>
                      <w:b/>
                      <w:bCs/>
                      <w:color w:val="auto"/>
                      <w:sz w:val="21"/>
                      <w:szCs w:val="21"/>
                      <w:lang w:val="en-US" w:eastAsia="zh-CN"/>
                    </w:rPr>
                    <w:t>O</w:t>
                  </w:r>
                  <w:r>
                    <w:rPr>
                      <w:rFonts w:hint="eastAsia" w:ascii="Times New Roman" w:hAnsi="Times New Roman" w:eastAsia="宋体"/>
                      <w:b/>
                      <w:bCs/>
                      <w:color w:val="auto"/>
                      <w:sz w:val="21"/>
                      <w:szCs w:val="21"/>
                      <w:vertAlign w:val="subscript"/>
                      <w:lang w:val="en-US" w:eastAsia="zh-CN"/>
                    </w:rPr>
                    <w:t>3</w:t>
                  </w:r>
                </w:p>
                <w:p w14:paraId="318DEDD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μg/m</w:t>
                  </w:r>
                  <w:r>
                    <w:rPr>
                      <w:rFonts w:hint="default" w:ascii="Times New Roman" w:hAnsi="Times New Roman" w:eastAsia="宋体" w:cs="Times New Roman"/>
                      <w:b/>
                      <w:bCs/>
                      <w:color w:val="auto"/>
                      <w:sz w:val="21"/>
                      <w:szCs w:val="21"/>
                      <w:vertAlign w:val="superscript"/>
                      <w:lang w:val="en-US" w:eastAsia="zh-CN"/>
                    </w:rPr>
                    <w:t>3</w:t>
                  </w:r>
                </w:p>
              </w:tc>
            </w:tr>
            <w:tr w14:paraId="5D6922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0203607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202</w:t>
                  </w:r>
                  <w:r>
                    <w:rPr>
                      <w:rFonts w:hint="eastAsia"/>
                      <w:color w:val="auto"/>
                      <w:sz w:val="21"/>
                      <w:szCs w:val="21"/>
                      <w:lang w:val="en-US" w:eastAsia="zh-CN"/>
                    </w:rPr>
                    <w:t>5</w:t>
                  </w:r>
                  <w:r>
                    <w:rPr>
                      <w:rFonts w:hint="eastAsia" w:ascii="Times New Roman" w:hAnsi="Times New Roman" w:eastAsia="宋体"/>
                      <w:color w:val="auto"/>
                      <w:sz w:val="21"/>
                      <w:szCs w:val="21"/>
                      <w:lang w:val="en-US" w:eastAsia="zh-CN"/>
                    </w:rPr>
                    <w:t>年1月</w:t>
                  </w:r>
                </w:p>
              </w:tc>
              <w:tc>
                <w:tcPr>
                  <w:tcW w:w="708" w:type="pct"/>
                  <w:tcBorders>
                    <w:tl2br w:val="nil"/>
                    <w:tr2bl w:val="nil"/>
                  </w:tcBorders>
                  <w:noWrap w:val="0"/>
                  <w:vAlign w:val="center"/>
                </w:tcPr>
                <w:p w14:paraId="3AC49718">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6</w:t>
                  </w:r>
                </w:p>
              </w:tc>
              <w:tc>
                <w:tcPr>
                  <w:tcW w:w="708" w:type="pct"/>
                  <w:tcBorders>
                    <w:tl2br w:val="nil"/>
                    <w:tr2bl w:val="nil"/>
                  </w:tcBorders>
                  <w:noWrap w:val="0"/>
                  <w:vAlign w:val="center"/>
                </w:tcPr>
                <w:p w14:paraId="6D324BDA">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29</w:t>
                  </w:r>
                </w:p>
              </w:tc>
              <w:tc>
                <w:tcPr>
                  <w:tcW w:w="708" w:type="pct"/>
                  <w:tcBorders>
                    <w:tl2br w:val="nil"/>
                    <w:tr2bl w:val="nil"/>
                  </w:tcBorders>
                  <w:noWrap w:val="0"/>
                  <w:vAlign w:val="center"/>
                </w:tcPr>
                <w:p w14:paraId="78DDE1A3">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51</w:t>
                  </w:r>
                </w:p>
              </w:tc>
              <w:tc>
                <w:tcPr>
                  <w:tcW w:w="708" w:type="pct"/>
                  <w:tcBorders>
                    <w:tl2br w:val="nil"/>
                    <w:tr2bl w:val="nil"/>
                  </w:tcBorders>
                  <w:noWrap w:val="0"/>
                  <w:vAlign w:val="center"/>
                </w:tcPr>
                <w:p w14:paraId="43AF66B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30</w:t>
                  </w:r>
                </w:p>
              </w:tc>
              <w:tc>
                <w:tcPr>
                  <w:tcW w:w="708" w:type="pct"/>
                  <w:tcBorders>
                    <w:tl2br w:val="nil"/>
                    <w:tr2bl w:val="nil"/>
                  </w:tcBorders>
                  <w:noWrap w:val="0"/>
                  <w:vAlign w:val="center"/>
                </w:tcPr>
                <w:p w14:paraId="2667C550">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0.83</w:t>
                  </w:r>
                </w:p>
              </w:tc>
              <w:tc>
                <w:tcPr>
                  <w:tcW w:w="709" w:type="pct"/>
                  <w:tcBorders>
                    <w:tl2br w:val="nil"/>
                    <w:tr2bl w:val="nil"/>
                  </w:tcBorders>
                  <w:noWrap w:val="0"/>
                  <w:vAlign w:val="center"/>
                </w:tcPr>
                <w:p w14:paraId="12A7B96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139</w:t>
                  </w:r>
                </w:p>
              </w:tc>
            </w:tr>
            <w:tr w14:paraId="74E792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3AE265F9">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202</w:t>
                  </w:r>
                  <w:r>
                    <w:rPr>
                      <w:rFonts w:hint="eastAsia"/>
                      <w:color w:val="auto"/>
                      <w:sz w:val="21"/>
                      <w:szCs w:val="21"/>
                      <w:lang w:val="en-US" w:eastAsia="zh-CN"/>
                    </w:rPr>
                    <w:t>5</w:t>
                  </w:r>
                  <w:r>
                    <w:rPr>
                      <w:rFonts w:hint="eastAsia" w:ascii="Times New Roman" w:hAnsi="Times New Roman" w:eastAsia="宋体"/>
                      <w:color w:val="auto"/>
                      <w:sz w:val="21"/>
                      <w:szCs w:val="21"/>
                      <w:lang w:val="en-US" w:eastAsia="zh-CN"/>
                    </w:rPr>
                    <w:t>年2月</w:t>
                  </w:r>
                </w:p>
              </w:tc>
              <w:tc>
                <w:tcPr>
                  <w:tcW w:w="708" w:type="pct"/>
                  <w:tcBorders>
                    <w:tl2br w:val="nil"/>
                    <w:tr2bl w:val="nil"/>
                  </w:tcBorders>
                  <w:noWrap w:val="0"/>
                  <w:vAlign w:val="center"/>
                </w:tcPr>
                <w:p w14:paraId="2CA6212A">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5</w:t>
                  </w:r>
                </w:p>
              </w:tc>
              <w:tc>
                <w:tcPr>
                  <w:tcW w:w="708" w:type="pct"/>
                  <w:tcBorders>
                    <w:tl2br w:val="nil"/>
                    <w:tr2bl w:val="nil"/>
                  </w:tcBorders>
                  <w:noWrap w:val="0"/>
                  <w:vAlign w:val="center"/>
                </w:tcPr>
                <w:p w14:paraId="39664969">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25</w:t>
                  </w:r>
                </w:p>
              </w:tc>
              <w:tc>
                <w:tcPr>
                  <w:tcW w:w="708" w:type="pct"/>
                  <w:tcBorders>
                    <w:tl2br w:val="nil"/>
                    <w:tr2bl w:val="nil"/>
                  </w:tcBorders>
                  <w:noWrap w:val="0"/>
                  <w:vAlign w:val="center"/>
                </w:tcPr>
                <w:p w14:paraId="5951FDB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47</w:t>
                  </w:r>
                </w:p>
              </w:tc>
              <w:tc>
                <w:tcPr>
                  <w:tcW w:w="708" w:type="pct"/>
                  <w:tcBorders>
                    <w:tl2br w:val="nil"/>
                    <w:tr2bl w:val="nil"/>
                  </w:tcBorders>
                  <w:noWrap w:val="0"/>
                  <w:vAlign w:val="center"/>
                </w:tcPr>
                <w:p w14:paraId="79CD5433">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27</w:t>
                  </w:r>
                </w:p>
              </w:tc>
              <w:tc>
                <w:tcPr>
                  <w:tcW w:w="708" w:type="pct"/>
                  <w:tcBorders>
                    <w:tl2br w:val="nil"/>
                    <w:tr2bl w:val="nil"/>
                  </w:tcBorders>
                  <w:noWrap w:val="0"/>
                  <w:vAlign w:val="center"/>
                </w:tcPr>
                <w:p w14:paraId="2EAF6589">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0.78</w:t>
                  </w:r>
                </w:p>
              </w:tc>
              <w:tc>
                <w:tcPr>
                  <w:tcW w:w="709" w:type="pct"/>
                  <w:tcBorders>
                    <w:tl2br w:val="nil"/>
                    <w:tr2bl w:val="nil"/>
                  </w:tcBorders>
                  <w:noWrap w:val="0"/>
                  <w:vAlign w:val="center"/>
                </w:tcPr>
                <w:p w14:paraId="4F19785E">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132</w:t>
                  </w:r>
                </w:p>
              </w:tc>
            </w:tr>
            <w:tr w14:paraId="6D9121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46" w:type="pct"/>
                  <w:tcBorders>
                    <w:tl2br w:val="nil"/>
                    <w:tr2bl w:val="nil"/>
                  </w:tcBorders>
                  <w:noWrap w:val="0"/>
                  <w:vAlign w:val="center"/>
                </w:tcPr>
                <w:p w14:paraId="3403C6C4">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202</w:t>
                  </w:r>
                  <w:r>
                    <w:rPr>
                      <w:rFonts w:hint="eastAsia"/>
                      <w:color w:val="auto"/>
                      <w:sz w:val="21"/>
                      <w:szCs w:val="21"/>
                      <w:lang w:val="en-US" w:eastAsia="zh-CN"/>
                    </w:rPr>
                    <w:t>5</w:t>
                  </w:r>
                  <w:r>
                    <w:rPr>
                      <w:rFonts w:hint="eastAsia" w:ascii="Times New Roman" w:hAnsi="Times New Roman" w:eastAsia="宋体"/>
                      <w:color w:val="auto"/>
                      <w:sz w:val="21"/>
                      <w:szCs w:val="21"/>
                      <w:lang w:val="en-US" w:eastAsia="zh-CN"/>
                    </w:rPr>
                    <w:t>年3月</w:t>
                  </w:r>
                </w:p>
              </w:tc>
              <w:tc>
                <w:tcPr>
                  <w:tcW w:w="708" w:type="pct"/>
                  <w:tcBorders>
                    <w:tl2br w:val="nil"/>
                    <w:tr2bl w:val="nil"/>
                  </w:tcBorders>
                  <w:noWrap w:val="0"/>
                  <w:vAlign w:val="center"/>
                </w:tcPr>
                <w:p w14:paraId="090D2DD8">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5</w:t>
                  </w:r>
                </w:p>
              </w:tc>
              <w:tc>
                <w:tcPr>
                  <w:tcW w:w="708" w:type="pct"/>
                  <w:tcBorders>
                    <w:tl2br w:val="nil"/>
                    <w:tr2bl w:val="nil"/>
                  </w:tcBorders>
                  <w:noWrap w:val="0"/>
                  <w:vAlign w:val="center"/>
                </w:tcPr>
                <w:p w14:paraId="20E65CA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24</w:t>
                  </w:r>
                </w:p>
              </w:tc>
              <w:tc>
                <w:tcPr>
                  <w:tcW w:w="708" w:type="pct"/>
                  <w:tcBorders>
                    <w:tl2br w:val="nil"/>
                    <w:tr2bl w:val="nil"/>
                  </w:tcBorders>
                  <w:noWrap w:val="0"/>
                  <w:vAlign w:val="center"/>
                </w:tcPr>
                <w:p w14:paraId="6736535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42</w:t>
                  </w:r>
                </w:p>
              </w:tc>
              <w:tc>
                <w:tcPr>
                  <w:tcW w:w="708" w:type="pct"/>
                  <w:tcBorders>
                    <w:tl2br w:val="nil"/>
                    <w:tr2bl w:val="nil"/>
                  </w:tcBorders>
                  <w:noWrap w:val="0"/>
                  <w:vAlign w:val="center"/>
                </w:tcPr>
                <w:p w14:paraId="5BB801F1">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24</w:t>
                  </w:r>
                </w:p>
              </w:tc>
              <w:tc>
                <w:tcPr>
                  <w:tcW w:w="708" w:type="pct"/>
                  <w:tcBorders>
                    <w:tl2br w:val="nil"/>
                    <w:tr2bl w:val="nil"/>
                  </w:tcBorders>
                  <w:noWrap w:val="0"/>
                  <w:vAlign w:val="center"/>
                </w:tcPr>
                <w:p w14:paraId="409EF1EA">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0.75</w:t>
                  </w:r>
                </w:p>
              </w:tc>
              <w:tc>
                <w:tcPr>
                  <w:tcW w:w="709" w:type="pct"/>
                  <w:tcBorders>
                    <w:tl2br w:val="nil"/>
                    <w:tr2bl w:val="nil"/>
                  </w:tcBorders>
                  <w:noWrap w:val="0"/>
                  <w:vAlign w:val="center"/>
                </w:tcPr>
                <w:p w14:paraId="789DAA0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155</w:t>
                  </w:r>
                </w:p>
              </w:tc>
            </w:tr>
            <w:tr w14:paraId="125B32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50C7592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202</w:t>
                  </w:r>
                  <w:r>
                    <w:rPr>
                      <w:rFonts w:hint="eastAsia"/>
                      <w:color w:val="auto"/>
                      <w:sz w:val="21"/>
                      <w:szCs w:val="21"/>
                      <w:lang w:val="en-US" w:eastAsia="zh-CN"/>
                    </w:rPr>
                    <w:t>5</w:t>
                  </w:r>
                  <w:r>
                    <w:rPr>
                      <w:rFonts w:hint="eastAsia" w:ascii="Times New Roman" w:hAnsi="Times New Roman" w:eastAsia="宋体"/>
                      <w:color w:val="auto"/>
                      <w:sz w:val="21"/>
                      <w:szCs w:val="21"/>
                      <w:lang w:val="en-US" w:eastAsia="zh-CN"/>
                    </w:rPr>
                    <w:t>年4月</w:t>
                  </w:r>
                </w:p>
              </w:tc>
              <w:tc>
                <w:tcPr>
                  <w:tcW w:w="708" w:type="pct"/>
                  <w:tcBorders>
                    <w:tl2br w:val="nil"/>
                    <w:tr2bl w:val="nil"/>
                  </w:tcBorders>
                  <w:noWrap w:val="0"/>
                  <w:vAlign w:val="center"/>
                </w:tcPr>
                <w:p w14:paraId="51646D7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5</w:t>
                  </w:r>
                </w:p>
              </w:tc>
              <w:tc>
                <w:tcPr>
                  <w:tcW w:w="708" w:type="pct"/>
                  <w:tcBorders>
                    <w:tl2br w:val="nil"/>
                    <w:tr2bl w:val="nil"/>
                  </w:tcBorders>
                  <w:noWrap w:val="0"/>
                  <w:vAlign w:val="center"/>
                </w:tcPr>
                <w:p w14:paraId="49E79275">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23</w:t>
                  </w:r>
                </w:p>
              </w:tc>
              <w:tc>
                <w:tcPr>
                  <w:tcW w:w="708" w:type="pct"/>
                  <w:tcBorders>
                    <w:tl2br w:val="nil"/>
                    <w:tr2bl w:val="nil"/>
                  </w:tcBorders>
                  <w:noWrap w:val="0"/>
                  <w:vAlign w:val="center"/>
                </w:tcPr>
                <w:p w14:paraId="4B874508">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39</w:t>
                  </w:r>
                </w:p>
              </w:tc>
              <w:tc>
                <w:tcPr>
                  <w:tcW w:w="708" w:type="pct"/>
                  <w:tcBorders>
                    <w:tl2br w:val="nil"/>
                    <w:tr2bl w:val="nil"/>
                  </w:tcBorders>
                  <w:noWrap w:val="0"/>
                  <w:vAlign w:val="center"/>
                </w:tcPr>
                <w:p w14:paraId="15347CA9">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22</w:t>
                  </w:r>
                </w:p>
              </w:tc>
              <w:tc>
                <w:tcPr>
                  <w:tcW w:w="708" w:type="pct"/>
                  <w:tcBorders>
                    <w:tl2br w:val="nil"/>
                    <w:tr2bl w:val="nil"/>
                  </w:tcBorders>
                  <w:noWrap w:val="0"/>
                  <w:vAlign w:val="center"/>
                </w:tcPr>
                <w:p w14:paraId="58A38D24">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0.71</w:t>
                  </w:r>
                </w:p>
              </w:tc>
              <w:tc>
                <w:tcPr>
                  <w:tcW w:w="709" w:type="pct"/>
                  <w:tcBorders>
                    <w:tl2br w:val="nil"/>
                    <w:tr2bl w:val="nil"/>
                  </w:tcBorders>
                  <w:noWrap w:val="0"/>
                  <w:vAlign w:val="center"/>
                </w:tcPr>
                <w:p w14:paraId="62EE5680">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157</w:t>
                  </w:r>
                </w:p>
              </w:tc>
            </w:tr>
            <w:tr w14:paraId="49EE9E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59EC0294">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202</w:t>
                  </w:r>
                  <w:r>
                    <w:rPr>
                      <w:rFonts w:hint="eastAsia"/>
                      <w:color w:val="auto"/>
                      <w:sz w:val="21"/>
                      <w:szCs w:val="21"/>
                      <w:lang w:val="en-US" w:eastAsia="zh-CN"/>
                    </w:rPr>
                    <w:t>5</w:t>
                  </w:r>
                  <w:r>
                    <w:rPr>
                      <w:rFonts w:hint="eastAsia" w:ascii="Times New Roman" w:hAnsi="Times New Roman" w:eastAsia="宋体"/>
                      <w:color w:val="auto"/>
                      <w:sz w:val="21"/>
                      <w:szCs w:val="21"/>
                      <w:lang w:val="en-US" w:eastAsia="zh-CN"/>
                    </w:rPr>
                    <w:t>年5月</w:t>
                  </w:r>
                </w:p>
              </w:tc>
              <w:tc>
                <w:tcPr>
                  <w:tcW w:w="708" w:type="pct"/>
                  <w:tcBorders>
                    <w:tl2br w:val="nil"/>
                    <w:tr2bl w:val="nil"/>
                  </w:tcBorders>
                  <w:noWrap w:val="0"/>
                  <w:vAlign w:val="center"/>
                </w:tcPr>
                <w:p w14:paraId="0D292A75">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5</w:t>
                  </w:r>
                </w:p>
              </w:tc>
              <w:tc>
                <w:tcPr>
                  <w:tcW w:w="708" w:type="pct"/>
                  <w:tcBorders>
                    <w:tl2br w:val="nil"/>
                    <w:tr2bl w:val="nil"/>
                  </w:tcBorders>
                  <w:noWrap w:val="0"/>
                  <w:vAlign w:val="center"/>
                </w:tcPr>
                <w:p w14:paraId="03488431">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24</w:t>
                  </w:r>
                </w:p>
              </w:tc>
              <w:tc>
                <w:tcPr>
                  <w:tcW w:w="708" w:type="pct"/>
                  <w:tcBorders>
                    <w:tl2br w:val="nil"/>
                    <w:tr2bl w:val="nil"/>
                  </w:tcBorders>
                  <w:noWrap w:val="0"/>
                  <w:vAlign w:val="center"/>
                </w:tcPr>
                <w:p w14:paraId="2970865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40</w:t>
                  </w:r>
                </w:p>
              </w:tc>
              <w:tc>
                <w:tcPr>
                  <w:tcW w:w="708" w:type="pct"/>
                  <w:tcBorders>
                    <w:tl2br w:val="nil"/>
                    <w:tr2bl w:val="nil"/>
                  </w:tcBorders>
                  <w:noWrap w:val="0"/>
                  <w:vAlign w:val="center"/>
                </w:tcPr>
                <w:p w14:paraId="0691ABB4">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22</w:t>
                  </w:r>
                </w:p>
              </w:tc>
              <w:tc>
                <w:tcPr>
                  <w:tcW w:w="708" w:type="pct"/>
                  <w:tcBorders>
                    <w:tl2br w:val="nil"/>
                    <w:tr2bl w:val="nil"/>
                  </w:tcBorders>
                  <w:noWrap w:val="0"/>
                  <w:vAlign w:val="center"/>
                </w:tcPr>
                <w:p w14:paraId="0CA7E77A">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0.70</w:t>
                  </w:r>
                </w:p>
              </w:tc>
              <w:tc>
                <w:tcPr>
                  <w:tcW w:w="709" w:type="pct"/>
                  <w:tcBorders>
                    <w:tl2br w:val="nil"/>
                    <w:tr2bl w:val="nil"/>
                  </w:tcBorders>
                  <w:noWrap w:val="0"/>
                  <w:vAlign w:val="center"/>
                </w:tcPr>
                <w:p w14:paraId="12455BB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159</w:t>
                  </w:r>
                </w:p>
              </w:tc>
            </w:tr>
            <w:tr w14:paraId="187FD2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540EB637">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202</w:t>
                  </w:r>
                  <w:r>
                    <w:rPr>
                      <w:rFonts w:hint="eastAsia"/>
                      <w:color w:val="auto"/>
                      <w:sz w:val="21"/>
                      <w:szCs w:val="21"/>
                      <w:lang w:val="en-US" w:eastAsia="zh-CN"/>
                    </w:rPr>
                    <w:t>5</w:t>
                  </w:r>
                  <w:r>
                    <w:rPr>
                      <w:rFonts w:hint="eastAsia" w:ascii="Times New Roman" w:hAnsi="Times New Roman" w:eastAsia="宋体"/>
                      <w:color w:val="auto"/>
                      <w:sz w:val="21"/>
                      <w:szCs w:val="21"/>
                      <w:lang w:val="en-US" w:eastAsia="zh-CN"/>
                    </w:rPr>
                    <w:t>年6月</w:t>
                  </w:r>
                </w:p>
              </w:tc>
              <w:tc>
                <w:tcPr>
                  <w:tcW w:w="708" w:type="pct"/>
                  <w:tcBorders>
                    <w:tl2br w:val="nil"/>
                    <w:tr2bl w:val="nil"/>
                  </w:tcBorders>
                  <w:noWrap w:val="0"/>
                  <w:vAlign w:val="center"/>
                </w:tcPr>
                <w:p w14:paraId="2616054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5</w:t>
                  </w:r>
                </w:p>
              </w:tc>
              <w:tc>
                <w:tcPr>
                  <w:tcW w:w="708" w:type="pct"/>
                  <w:tcBorders>
                    <w:tl2br w:val="nil"/>
                    <w:tr2bl w:val="nil"/>
                  </w:tcBorders>
                  <w:noWrap w:val="0"/>
                  <w:vAlign w:val="center"/>
                </w:tcPr>
                <w:p w14:paraId="1A6CA9B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22</w:t>
                  </w:r>
                </w:p>
              </w:tc>
              <w:tc>
                <w:tcPr>
                  <w:tcW w:w="708" w:type="pct"/>
                  <w:tcBorders>
                    <w:tl2br w:val="nil"/>
                    <w:tr2bl w:val="nil"/>
                  </w:tcBorders>
                  <w:noWrap w:val="0"/>
                  <w:vAlign w:val="center"/>
                </w:tcPr>
                <w:p w14:paraId="3583C62D">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38</w:t>
                  </w:r>
                </w:p>
              </w:tc>
              <w:tc>
                <w:tcPr>
                  <w:tcW w:w="708" w:type="pct"/>
                  <w:tcBorders>
                    <w:tl2br w:val="nil"/>
                    <w:tr2bl w:val="nil"/>
                  </w:tcBorders>
                  <w:noWrap w:val="0"/>
                  <w:vAlign w:val="center"/>
                </w:tcPr>
                <w:p w14:paraId="2630F5AF">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21</w:t>
                  </w:r>
                </w:p>
              </w:tc>
              <w:tc>
                <w:tcPr>
                  <w:tcW w:w="708" w:type="pct"/>
                  <w:tcBorders>
                    <w:tl2br w:val="nil"/>
                    <w:tr2bl w:val="nil"/>
                  </w:tcBorders>
                  <w:noWrap w:val="0"/>
                  <w:vAlign w:val="center"/>
                </w:tcPr>
                <w:p w14:paraId="744BC9B4">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0.69</w:t>
                  </w:r>
                </w:p>
              </w:tc>
              <w:tc>
                <w:tcPr>
                  <w:tcW w:w="709" w:type="pct"/>
                  <w:tcBorders>
                    <w:tl2br w:val="nil"/>
                    <w:tr2bl w:val="nil"/>
                  </w:tcBorders>
                  <w:noWrap w:val="0"/>
                  <w:vAlign w:val="center"/>
                </w:tcPr>
                <w:p w14:paraId="6444CE60">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154</w:t>
                  </w:r>
                </w:p>
              </w:tc>
            </w:tr>
            <w:tr w14:paraId="5C86A9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7C74B843">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202</w:t>
                  </w:r>
                  <w:r>
                    <w:rPr>
                      <w:rFonts w:hint="eastAsia"/>
                      <w:color w:val="auto"/>
                      <w:sz w:val="21"/>
                      <w:szCs w:val="21"/>
                      <w:lang w:val="en-US" w:eastAsia="zh-CN"/>
                    </w:rPr>
                    <w:t>5</w:t>
                  </w:r>
                  <w:r>
                    <w:rPr>
                      <w:rFonts w:hint="eastAsia" w:ascii="Times New Roman" w:hAnsi="Times New Roman" w:eastAsia="宋体"/>
                      <w:color w:val="auto"/>
                      <w:sz w:val="21"/>
                      <w:szCs w:val="21"/>
                      <w:lang w:val="en-US" w:eastAsia="zh-CN"/>
                    </w:rPr>
                    <w:t>年7月</w:t>
                  </w:r>
                </w:p>
              </w:tc>
              <w:tc>
                <w:tcPr>
                  <w:tcW w:w="708" w:type="pct"/>
                  <w:tcBorders>
                    <w:tl2br w:val="nil"/>
                    <w:tr2bl w:val="nil"/>
                  </w:tcBorders>
                  <w:noWrap w:val="0"/>
                  <w:vAlign w:val="center"/>
                </w:tcPr>
                <w:p w14:paraId="18A4B98A">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4</w:t>
                  </w:r>
                </w:p>
              </w:tc>
              <w:tc>
                <w:tcPr>
                  <w:tcW w:w="708" w:type="pct"/>
                  <w:tcBorders>
                    <w:tl2br w:val="nil"/>
                    <w:tr2bl w:val="nil"/>
                  </w:tcBorders>
                  <w:noWrap w:val="0"/>
                  <w:vAlign w:val="center"/>
                </w:tcPr>
                <w:p w14:paraId="01E0628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20</w:t>
                  </w:r>
                </w:p>
              </w:tc>
              <w:tc>
                <w:tcPr>
                  <w:tcW w:w="708" w:type="pct"/>
                  <w:tcBorders>
                    <w:tl2br w:val="nil"/>
                    <w:tr2bl w:val="nil"/>
                  </w:tcBorders>
                  <w:noWrap w:val="0"/>
                  <w:vAlign w:val="center"/>
                </w:tcPr>
                <w:p w14:paraId="2D5D0217">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35</w:t>
                  </w:r>
                </w:p>
              </w:tc>
              <w:tc>
                <w:tcPr>
                  <w:tcW w:w="708" w:type="pct"/>
                  <w:tcBorders>
                    <w:tl2br w:val="nil"/>
                    <w:tr2bl w:val="nil"/>
                  </w:tcBorders>
                  <w:noWrap w:val="0"/>
                  <w:vAlign w:val="center"/>
                </w:tcPr>
                <w:p w14:paraId="17467E93">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19</w:t>
                  </w:r>
                </w:p>
              </w:tc>
              <w:tc>
                <w:tcPr>
                  <w:tcW w:w="708" w:type="pct"/>
                  <w:tcBorders>
                    <w:tl2br w:val="nil"/>
                    <w:tr2bl w:val="nil"/>
                  </w:tcBorders>
                  <w:noWrap w:val="0"/>
                  <w:vAlign w:val="center"/>
                </w:tcPr>
                <w:p w14:paraId="3B3F650E">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0.65</w:t>
                  </w:r>
                </w:p>
              </w:tc>
              <w:tc>
                <w:tcPr>
                  <w:tcW w:w="709" w:type="pct"/>
                  <w:tcBorders>
                    <w:tl2br w:val="nil"/>
                    <w:tr2bl w:val="nil"/>
                  </w:tcBorders>
                  <w:noWrap w:val="0"/>
                  <w:vAlign w:val="center"/>
                </w:tcPr>
                <w:p w14:paraId="5D60DFEA">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146</w:t>
                  </w:r>
                </w:p>
              </w:tc>
            </w:tr>
            <w:tr w14:paraId="77699D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71BFBCB5">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202</w:t>
                  </w:r>
                  <w:r>
                    <w:rPr>
                      <w:rFonts w:hint="eastAsia"/>
                      <w:color w:val="auto"/>
                      <w:sz w:val="21"/>
                      <w:szCs w:val="21"/>
                      <w:lang w:val="en-US" w:eastAsia="zh-CN"/>
                    </w:rPr>
                    <w:t>5</w:t>
                  </w:r>
                  <w:r>
                    <w:rPr>
                      <w:rFonts w:hint="eastAsia" w:ascii="Times New Roman" w:hAnsi="Times New Roman" w:eastAsia="宋体"/>
                      <w:color w:val="auto"/>
                      <w:sz w:val="21"/>
                      <w:szCs w:val="21"/>
                      <w:lang w:val="en-US" w:eastAsia="zh-CN"/>
                    </w:rPr>
                    <w:t>年8月</w:t>
                  </w:r>
                </w:p>
              </w:tc>
              <w:tc>
                <w:tcPr>
                  <w:tcW w:w="708" w:type="pct"/>
                  <w:tcBorders>
                    <w:tl2br w:val="nil"/>
                    <w:tr2bl w:val="nil"/>
                  </w:tcBorders>
                  <w:noWrap w:val="0"/>
                  <w:vAlign w:val="center"/>
                </w:tcPr>
                <w:p w14:paraId="721E188D">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4</w:t>
                  </w:r>
                </w:p>
              </w:tc>
              <w:tc>
                <w:tcPr>
                  <w:tcW w:w="708" w:type="pct"/>
                  <w:tcBorders>
                    <w:tl2br w:val="nil"/>
                    <w:tr2bl w:val="nil"/>
                  </w:tcBorders>
                  <w:noWrap w:val="0"/>
                  <w:vAlign w:val="center"/>
                </w:tcPr>
                <w:p w14:paraId="3FDBB2B4">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19</w:t>
                  </w:r>
                </w:p>
              </w:tc>
              <w:tc>
                <w:tcPr>
                  <w:tcW w:w="708" w:type="pct"/>
                  <w:tcBorders>
                    <w:tl2br w:val="nil"/>
                    <w:tr2bl w:val="nil"/>
                  </w:tcBorders>
                  <w:noWrap w:val="0"/>
                  <w:vAlign w:val="center"/>
                </w:tcPr>
                <w:p w14:paraId="3FDA43F9">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34</w:t>
                  </w:r>
                </w:p>
              </w:tc>
              <w:tc>
                <w:tcPr>
                  <w:tcW w:w="708" w:type="pct"/>
                  <w:tcBorders>
                    <w:tl2br w:val="nil"/>
                    <w:tr2bl w:val="nil"/>
                  </w:tcBorders>
                  <w:noWrap w:val="0"/>
                  <w:vAlign w:val="center"/>
                </w:tcPr>
                <w:p w14:paraId="35C0E8DD">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18</w:t>
                  </w:r>
                </w:p>
              </w:tc>
              <w:tc>
                <w:tcPr>
                  <w:tcW w:w="708" w:type="pct"/>
                  <w:tcBorders>
                    <w:tl2br w:val="nil"/>
                    <w:tr2bl w:val="nil"/>
                  </w:tcBorders>
                  <w:noWrap w:val="0"/>
                  <w:vAlign w:val="center"/>
                </w:tcPr>
                <w:p w14:paraId="206BC0FD">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0.63</w:t>
                  </w:r>
                </w:p>
              </w:tc>
              <w:tc>
                <w:tcPr>
                  <w:tcW w:w="709" w:type="pct"/>
                  <w:tcBorders>
                    <w:tl2br w:val="nil"/>
                    <w:tr2bl w:val="nil"/>
                  </w:tcBorders>
                  <w:noWrap w:val="0"/>
                  <w:vAlign w:val="center"/>
                </w:tcPr>
                <w:p w14:paraId="228D572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144</w:t>
                  </w:r>
                </w:p>
              </w:tc>
            </w:tr>
            <w:tr w14:paraId="3E73AB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7A756B9E">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202</w:t>
                  </w:r>
                  <w:r>
                    <w:rPr>
                      <w:rFonts w:hint="eastAsia"/>
                      <w:color w:val="auto"/>
                      <w:sz w:val="21"/>
                      <w:szCs w:val="21"/>
                      <w:lang w:val="en-US" w:eastAsia="zh-CN"/>
                    </w:rPr>
                    <w:t>5</w:t>
                  </w:r>
                  <w:r>
                    <w:rPr>
                      <w:rFonts w:hint="eastAsia" w:ascii="Times New Roman" w:hAnsi="Times New Roman" w:eastAsia="宋体"/>
                      <w:color w:val="auto"/>
                      <w:sz w:val="21"/>
                      <w:szCs w:val="21"/>
                      <w:lang w:val="en-US" w:eastAsia="zh-CN"/>
                    </w:rPr>
                    <w:t>年9月</w:t>
                  </w:r>
                </w:p>
              </w:tc>
              <w:tc>
                <w:tcPr>
                  <w:tcW w:w="708" w:type="pct"/>
                  <w:tcBorders>
                    <w:tl2br w:val="nil"/>
                    <w:tr2bl w:val="nil"/>
                  </w:tcBorders>
                  <w:noWrap w:val="0"/>
                  <w:vAlign w:val="center"/>
                </w:tcPr>
                <w:p w14:paraId="5FD0DCF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4</w:t>
                  </w:r>
                </w:p>
              </w:tc>
              <w:tc>
                <w:tcPr>
                  <w:tcW w:w="708" w:type="pct"/>
                  <w:tcBorders>
                    <w:tl2br w:val="nil"/>
                    <w:tr2bl w:val="nil"/>
                  </w:tcBorders>
                  <w:noWrap w:val="0"/>
                  <w:vAlign w:val="center"/>
                </w:tcPr>
                <w:p w14:paraId="2E060E31">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21</w:t>
                  </w:r>
                </w:p>
              </w:tc>
              <w:tc>
                <w:tcPr>
                  <w:tcW w:w="708" w:type="pct"/>
                  <w:tcBorders>
                    <w:tl2br w:val="nil"/>
                    <w:tr2bl w:val="nil"/>
                  </w:tcBorders>
                  <w:noWrap w:val="0"/>
                  <w:vAlign w:val="center"/>
                </w:tcPr>
                <w:p w14:paraId="1EEE5D2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37</w:t>
                  </w:r>
                </w:p>
              </w:tc>
              <w:tc>
                <w:tcPr>
                  <w:tcW w:w="708" w:type="pct"/>
                  <w:tcBorders>
                    <w:tl2br w:val="nil"/>
                    <w:tr2bl w:val="nil"/>
                  </w:tcBorders>
                  <w:noWrap w:val="0"/>
                  <w:vAlign w:val="center"/>
                </w:tcPr>
                <w:p w14:paraId="2D0F56DE">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20</w:t>
                  </w:r>
                </w:p>
              </w:tc>
              <w:tc>
                <w:tcPr>
                  <w:tcW w:w="708" w:type="pct"/>
                  <w:tcBorders>
                    <w:tl2br w:val="nil"/>
                    <w:tr2bl w:val="nil"/>
                  </w:tcBorders>
                  <w:noWrap w:val="0"/>
                  <w:vAlign w:val="center"/>
                </w:tcPr>
                <w:p w14:paraId="37351155">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0.66</w:t>
                  </w:r>
                </w:p>
              </w:tc>
              <w:tc>
                <w:tcPr>
                  <w:tcW w:w="709" w:type="pct"/>
                  <w:tcBorders>
                    <w:tl2br w:val="nil"/>
                    <w:tr2bl w:val="nil"/>
                  </w:tcBorders>
                  <w:noWrap w:val="0"/>
                  <w:vAlign w:val="center"/>
                </w:tcPr>
                <w:p w14:paraId="2021382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151</w:t>
                  </w:r>
                </w:p>
              </w:tc>
            </w:tr>
            <w:tr w14:paraId="313927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50519678">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202</w:t>
                  </w:r>
                  <w:r>
                    <w:rPr>
                      <w:rFonts w:hint="eastAsia"/>
                      <w:color w:val="auto"/>
                      <w:sz w:val="21"/>
                      <w:szCs w:val="21"/>
                      <w:lang w:val="en-US" w:eastAsia="zh-CN"/>
                    </w:rPr>
                    <w:t>5</w:t>
                  </w:r>
                  <w:r>
                    <w:rPr>
                      <w:rFonts w:hint="eastAsia" w:ascii="Times New Roman" w:hAnsi="Times New Roman" w:eastAsia="宋体"/>
                      <w:color w:val="auto"/>
                      <w:sz w:val="21"/>
                      <w:szCs w:val="21"/>
                      <w:lang w:val="en-US" w:eastAsia="zh-CN"/>
                    </w:rPr>
                    <w:t>年10月</w:t>
                  </w:r>
                </w:p>
              </w:tc>
              <w:tc>
                <w:tcPr>
                  <w:tcW w:w="708" w:type="pct"/>
                  <w:tcBorders>
                    <w:tl2br w:val="nil"/>
                    <w:tr2bl w:val="nil"/>
                  </w:tcBorders>
                  <w:noWrap w:val="0"/>
                  <w:vAlign w:val="center"/>
                </w:tcPr>
                <w:p w14:paraId="63DEE7E7">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5</w:t>
                  </w:r>
                </w:p>
              </w:tc>
              <w:tc>
                <w:tcPr>
                  <w:tcW w:w="708" w:type="pct"/>
                  <w:tcBorders>
                    <w:tl2br w:val="nil"/>
                    <w:tr2bl w:val="nil"/>
                  </w:tcBorders>
                  <w:noWrap w:val="0"/>
                  <w:vAlign w:val="center"/>
                </w:tcPr>
                <w:p w14:paraId="13F29668">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22</w:t>
                  </w:r>
                </w:p>
              </w:tc>
              <w:tc>
                <w:tcPr>
                  <w:tcW w:w="708" w:type="pct"/>
                  <w:tcBorders>
                    <w:tl2br w:val="nil"/>
                    <w:tr2bl w:val="nil"/>
                  </w:tcBorders>
                  <w:noWrap w:val="0"/>
                  <w:vAlign w:val="center"/>
                </w:tcPr>
                <w:p w14:paraId="193E50C4">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41</w:t>
                  </w:r>
                </w:p>
              </w:tc>
              <w:tc>
                <w:tcPr>
                  <w:tcW w:w="708" w:type="pct"/>
                  <w:tcBorders>
                    <w:tl2br w:val="nil"/>
                    <w:tr2bl w:val="nil"/>
                  </w:tcBorders>
                  <w:noWrap w:val="0"/>
                  <w:vAlign w:val="center"/>
                </w:tcPr>
                <w:p w14:paraId="25A32B60">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21</w:t>
                  </w:r>
                </w:p>
              </w:tc>
              <w:tc>
                <w:tcPr>
                  <w:tcW w:w="708" w:type="pct"/>
                  <w:tcBorders>
                    <w:tl2br w:val="nil"/>
                    <w:tr2bl w:val="nil"/>
                  </w:tcBorders>
                  <w:noWrap w:val="0"/>
                  <w:vAlign w:val="center"/>
                </w:tcPr>
                <w:p w14:paraId="4F465A7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0.68</w:t>
                  </w:r>
                </w:p>
              </w:tc>
              <w:tc>
                <w:tcPr>
                  <w:tcW w:w="709" w:type="pct"/>
                  <w:tcBorders>
                    <w:tl2br w:val="nil"/>
                    <w:tr2bl w:val="nil"/>
                  </w:tcBorders>
                  <w:noWrap w:val="0"/>
                  <w:vAlign w:val="center"/>
                </w:tcPr>
                <w:p w14:paraId="58623685">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149</w:t>
                  </w:r>
                </w:p>
              </w:tc>
            </w:tr>
            <w:tr w14:paraId="3AD9C7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288E0B8A">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202</w:t>
                  </w:r>
                  <w:r>
                    <w:rPr>
                      <w:rFonts w:hint="eastAsia"/>
                      <w:color w:val="auto"/>
                      <w:sz w:val="21"/>
                      <w:szCs w:val="21"/>
                      <w:lang w:val="en-US" w:eastAsia="zh-CN"/>
                    </w:rPr>
                    <w:t>5</w:t>
                  </w:r>
                  <w:r>
                    <w:rPr>
                      <w:rFonts w:hint="eastAsia" w:ascii="Times New Roman" w:hAnsi="Times New Roman" w:eastAsia="宋体"/>
                      <w:color w:val="auto"/>
                      <w:sz w:val="21"/>
                      <w:szCs w:val="21"/>
                      <w:lang w:val="en-US" w:eastAsia="zh-CN"/>
                    </w:rPr>
                    <w:t>年11月</w:t>
                  </w:r>
                </w:p>
              </w:tc>
              <w:tc>
                <w:tcPr>
                  <w:tcW w:w="708" w:type="pct"/>
                  <w:tcBorders>
                    <w:tl2br w:val="nil"/>
                    <w:tr2bl w:val="nil"/>
                  </w:tcBorders>
                  <w:noWrap w:val="0"/>
                  <w:vAlign w:val="center"/>
                </w:tcPr>
                <w:p w14:paraId="345A6B3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5</w:t>
                  </w:r>
                </w:p>
              </w:tc>
              <w:tc>
                <w:tcPr>
                  <w:tcW w:w="708" w:type="pct"/>
                  <w:tcBorders>
                    <w:tl2br w:val="nil"/>
                    <w:tr2bl w:val="nil"/>
                  </w:tcBorders>
                  <w:noWrap w:val="0"/>
                  <w:vAlign w:val="center"/>
                </w:tcPr>
                <w:p w14:paraId="227F7153">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25</w:t>
                  </w:r>
                </w:p>
              </w:tc>
              <w:tc>
                <w:tcPr>
                  <w:tcW w:w="708" w:type="pct"/>
                  <w:tcBorders>
                    <w:tl2br w:val="nil"/>
                    <w:tr2bl w:val="nil"/>
                  </w:tcBorders>
                  <w:noWrap w:val="0"/>
                  <w:vAlign w:val="center"/>
                </w:tcPr>
                <w:p w14:paraId="621C55BF">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43</w:t>
                  </w:r>
                </w:p>
              </w:tc>
              <w:tc>
                <w:tcPr>
                  <w:tcW w:w="708" w:type="pct"/>
                  <w:tcBorders>
                    <w:tl2br w:val="nil"/>
                    <w:tr2bl w:val="nil"/>
                  </w:tcBorders>
                  <w:noWrap w:val="0"/>
                  <w:vAlign w:val="center"/>
                </w:tcPr>
                <w:p w14:paraId="24AE663E">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24</w:t>
                  </w:r>
                </w:p>
              </w:tc>
              <w:tc>
                <w:tcPr>
                  <w:tcW w:w="708" w:type="pct"/>
                  <w:tcBorders>
                    <w:tl2br w:val="nil"/>
                    <w:tr2bl w:val="nil"/>
                  </w:tcBorders>
                  <w:noWrap w:val="0"/>
                  <w:vAlign w:val="center"/>
                </w:tcPr>
                <w:p w14:paraId="6FB1F3B4">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0.73</w:t>
                  </w:r>
                </w:p>
              </w:tc>
              <w:tc>
                <w:tcPr>
                  <w:tcW w:w="709" w:type="pct"/>
                  <w:tcBorders>
                    <w:tl2br w:val="nil"/>
                    <w:tr2bl w:val="nil"/>
                  </w:tcBorders>
                  <w:noWrap w:val="0"/>
                  <w:vAlign w:val="center"/>
                </w:tcPr>
                <w:p w14:paraId="7F02EBB0">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138</w:t>
                  </w:r>
                </w:p>
              </w:tc>
            </w:tr>
            <w:tr w14:paraId="4BA98C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03135C51">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202</w:t>
                  </w:r>
                  <w:r>
                    <w:rPr>
                      <w:rFonts w:hint="eastAsia"/>
                      <w:color w:val="auto"/>
                      <w:sz w:val="21"/>
                      <w:szCs w:val="21"/>
                      <w:lang w:val="en-US" w:eastAsia="zh-CN"/>
                    </w:rPr>
                    <w:t>5</w:t>
                  </w:r>
                  <w:r>
                    <w:rPr>
                      <w:rFonts w:hint="eastAsia" w:ascii="Times New Roman" w:hAnsi="Times New Roman" w:eastAsia="宋体"/>
                      <w:color w:val="auto"/>
                      <w:sz w:val="21"/>
                      <w:szCs w:val="21"/>
                      <w:lang w:val="en-US" w:eastAsia="zh-CN"/>
                    </w:rPr>
                    <w:t>年12月</w:t>
                  </w:r>
                </w:p>
              </w:tc>
              <w:tc>
                <w:tcPr>
                  <w:tcW w:w="708" w:type="pct"/>
                  <w:tcBorders>
                    <w:tl2br w:val="nil"/>
                    <w:tr2bl w:val="nil"/>
                  </w:tcBorders>
                  <w:noWrap w:val="0"/>
                  <w:vAlign w:val="center"/>
                </w:tcPr>
                <w:p w14:paraId="7CE7CE10">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6</w:t>
                  </w:r>
                </w:p>
              </w:tc>
              <w:tc>
                <w:tcPr>
                  <w:tcW w:w="708" w:type="pct"/>
                  <w:tcBorders>
                    <w:tl2br w:val="nil"/>
                    <w:tr2bl w:val="nil"/>
                  </w:tcBorders>
                  <w:noWrap w:val="0"/>
                  <w:vAlign w:val="center"/>
                </w:tcPr>
                <w:p w14:paraId="6936B14C">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28</w:t>
                  </w:r>
                </w:p>
              </w:tc>
              <w:tc>
                <w:tcPr>
                  <w:tcW w:w="708" w:type="pct"/>
                  <w:tcBorders>
                    <w:tl2br w:val="nil"/>
                    <w:tr2bl w:val="nil"/>
                  </w:tcBorders>
                  <w:noWrap w:val="0"/>
                  <w:vAlign w:val="center"/>
                </w:tcPr>
                <w:p w14:paraId="0D1F22EC">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49</w:t>
                  </w:r>
                </w:p>
              </w:tc>
              <w:tc>
                <w:tcPr>
                  <w:tcW w:w="708" w:type="pct"/>
                  <w:tcBorders>
                    <w:tl2br w:val="nil"/>
                    <w:tr2bl w:val="nil"/>
                  </w:tcBorders>
                  <w:noWrap w:val="0"/>
                  <w:vAlign w:val="center"/>
                </w:tcPr>
                <w:p w14:paraId="5686E3E3">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29</w:t>
                  </w:r>
                </w:p>
              </w:tc>
              <w:tc>
                <w:tcPr>
                  <w:tcW w:w="708" w:type="pct"/>
                  <w:tcBorders>
                    <w:tl2br w:val="nil"/>
                    <w:tr2bl w:val="nil"/>
                  </w:tcBorders>
                  <w:noWrap w:val="0"/>
                  <w:vAlign w:val="center"/>
                </w:tcPr>
                <w:p w14:paraId="7CFC624F">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0.81</w:t>
                  </w:r>
                </w:p>
              </w:tc>
              <w:tc>
                <w:tcPr>
                  <w:tcW w:w="709" w:type="pct"/>
                  <w:tcBorders>
                    <w:tl2br w:val="nil"/>
                    <w:tr2bl w:val="nil"/>
                  </w:tcBorders>
                  <w:noWrap w:val="0"/>
                  <w:vAlign w:val="center"/>
                </w:tcPr>
                <w:p w14:paraId="6F9B293A">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135</w:t>
                  </w:r>
                </w:p>
              </w:tc>
            </w:tr>
            <w:tr w14:paraId="4C2191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25261D11">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环境空气质量标准（GB 3095—2026）</w:t>
                  </w:r>
                </w:p>
              </w:tc>
              <w:tc>
                <w:tcPr>
                  <w:tcW w:w="708" w:type="pct"/>
                  <w:tcBorders>
                    <w:tl2br w:val="nil"/>
                    <w:tr2bl w:val="nil"/>
                  </w:tcBorders>
                  <w:noWrap w:val="0"/>
                  <w:vAlign w:val="center"/>
                </w:tcPr>
                <w:p w14:paraId="784E3A6E">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150</w:t>
                  </w:r>
                </w:p>
              </w:tc>
              <w:tc>
                <w:tcPr>
                  <w:tcW w:w="708" w:type="pct"/>
                  <w:tcBorders>
                    <w:tl2br w:val="nil"/>
                    <w:tr2bl w:val="nil"/>
                  </w:tcBorders>
                  <w:noWrap w:val="0"/>
                  <w:vAlign w:val="center"/>
                </w:tcPr>
                <w:p w14:paraId="63A7653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80</w:t>
                  </w:r>
                </w:p>
              </w:tc>
              <w:tc>
                <w:tcPr>
                  <w:tcW w:w="708" w:type="pct"/>
                  <w:tcBorders>
                    <w:tl2br w:val="nil"/>
                    <w:tr2bl w:val="nil"/>
                  </w:tcBorders>
                  <w:noWrap w:val="0"/>
                  <w:vAlign w:val="center"/>
                </w:tcPr>
                <w:p w14:paraId="25154214">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120</w:t>
                  </w:r>
                </w:p>
              </w:tc>
              <w:tc>
                <w:tcPr>
                  <w:tcW w:w="708" w:type="pct"/>
                  <w:tcBorders>
                    <w:tl2br w:val="nil"/>
                    <w:tr2bl w:val="nil"/>
                  </w:tcBorders>
                  <w:noWrap w:val="0"/>
                  <w:vAlign w:val="center"/>
                </w:tcPr>
                <w:p w14:paraId="7B0621BC">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30</w:t>
                  </w:r>
                </w:p>
              </w:tc>
              <w:tc>
                <w:tcPr>
                  <w:tcW w:w="708" w:type="pct"/>
                  <w:tcBorders>
                    <w:tl2br w:val="nil"/>
                    <w:tr2bl w:val="nil"/>
                  </w:tcBorders>
                  <w:noWrap w:val="0"/>
                  <w:vAlign w:val="center"/>
                </w:tcPr>
                <w:p w14:paraId="6349FF91">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w:t>
                  </w:r>
                </w:p>
              </w:tc>
              <w:tc>
                <w:tcPr>
                  <w:tcW w:w="709" w:type="pct"/>
                  <w:tcBorders>
                    <w:tl2br w:val="nil"/>
                    <w:tr2bl w:val="nil"/>
                  </w:tcBorders>
                  <w:noWrap w:val="0"/>
                  <w:vAlign w:val="center"/>
                </w:tcPr>
                <w:p w14:paraId="446B28E7">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160</w:t>
                  </w:r>
                </w:p>
              </w:tc>
            </w:tr>
            <w:tr w14:paraId="0B1564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746" w:type="pct"/>
                  <w:tcBorders>
                    <w:tl2br w:val="nil"/>
                    <w:tr2bl w:val="nil"/>
                  </w:tcBorders>
                  <w:noWrap w:val="0"/>
                  <w:vAlign w:val="center"/>
                </w:tcPr>
                <w:p w14:paraId="643596D5">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达标情况</w:t>
                  </w:r>
                </w:p>
              </w:tc>
              <w:tc>
                <w:tcPr>
                  <w:tcW w:w="708" w:type="pct"/>
                  <w:tcBorders>
                    <w:tl2br w:val="nil"/>
                    <w:tr2bl w:val="nil"/>
                  </w:tcBorders>
                  <w:noWrap w:val="0"/>
                  <w:vAlign w:val="center"/>
                </w:tcPr>
                <w:p w14:paraId="45AC984C">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达标</w:t>
                  </w:r>
                </w:p>
              </w:tc>
              <w:tc>
                <w:tcPr>
                  <w:tcW w:w="708" w:type="pct"/>
                  <w:tcBorders>
                    <w:tl2br w:val="nil"/>
                    <w:tr2bl w:val="nil"/>
                  </w:tcBorders>
                  <w:noWrap w:val="0"/>
                  <w:vAlign w:val="center"/>
                </w:tcPr>
                <w:p w14:paraId="01965789">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达标</w:t>
                  </w:r>
                </w:p>
              </w:tc>
              <w:tc>
                <w:tcPr>
                  <w:tcW w:w="708" w:type="pct"/>
                  <w:tcBorders>
                    <w:tl2br w:val="nil"/>
                    <w:tr2bl w:val="nil"/>
                  </w:tcBorders>
                  <w:noWrap w:val="0"/>
                  <w:vAlign w:val="center"/>
                </w:tcPr>
                <w:p w14:paraId="3F72C10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达标</w:t>
                  </w:r>
                </w:p>
              </w:tc>
              <w:tc>
                <w:tcPr>
                  <w:tcW w:w="708" w:type="pct"/>
                  <w:tcBorders>
                    <w:tl2br w:val="nil"/>
                    <w:tr2bl w:val="nil"/>
                  </w:tcBorders>
                  <w:noWrap w:val="0"/>
                  <w:vAlign w:val="center"/>
                </w:tcPr>
                <w:p w14:paraId="33E7D1E3">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达标</w:t>
                  </w:r>
                </w:p>
              </w:tc>
              <w:tc>
                <w:tcPr>
                  <w:tcW w:w="708" w:type="pct"/>
                  <w:tcBorders>
                    <w:tl2br w:val="nil"/>
                    <w:tr2bl w:val="nil"/>
                  </w:tcBorders>
                  <w:noWrap w:val="0"/>
                  <w:vAlign w:val="center"/>
                </w:tcPr>
                <w:p w14:paraId="2DD542D5">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达标</w:t>
                  </w:r>
                </w:p>
              </w:tc>
              <w:tc>
                <w:tcPr>
                  <w:tcW w:w="709" w:type="pct"/>
                  <w:tcBorders>
                    <w:tl2br w:val="nil"/>
                    <w:tr2bl w:val="nil"/>
                  </w:tcBorders>
                  <w:noWrap w:val="0"/>
                  <w:vAlign w:val="center"/>
                </w:tcPr>
                <w:p w14:paraId="0A68896B">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达标</w:t>
                  </w:r>
                </w:p>
              </w:tc>
            </w:tr>
          </w:tbl>
          <w:p w14:paraId="620EE8D5">
            <w:pPr>
              <w:pStyle w:val="5"/>
              <w:bidi w:val="0"/>
              <w:rPr>
                <w:rFonts w:hint="eastAsia" w:ascii="Times New Roman" w:hAnsi="Times New Roman"/>
                <w:color w:val="auto"/>
                <w:lang w:val="en-US" w:eastAsia="zh-CN"/>
              </w:rPr>
            </w:pPr>
            <w:r>
              <w:rPr>
                <w:rFonts w:hint="eastAsia"/>
                <w:color w:val="auto"/>
                <w:sz w:val="24"/>
                <w:lang w:val="en-US" w:eastAsia="zh-CN"/>
              </w:rPr>
              <w:t>由上表可知，福州高新区2025年1月—2025年12月份空气环境中SO</w:t>
            </w:r>
            <w:r>
              <w:rPr>
                <w:rFonts w:hint="eastAsia"/>
                <w:color w:val="auto"/>
                <w:sz w:val="24"/>
                <w:vertAlign w:val="subscript"/>
                <w:lang w:val="en-US" w:eastAsia="zh-CN"/>
              </w:rPr>
              <w:t>2</w:t>
            </w:r>
            <w:r>
              <w:rPr>
                <w:rFonts w:hint="eastAsia"/>
                <w:color w:val="auto"/>
                <w:sz w:val="24"/>
                <w:lang w:val="en-US" w:eastAsia="zh-CN"/>
              </w:rPr>
              <w:t>、NO</w:t>
            </w:r>
            <w:r>
              <w:rPr>
                <w:rFonts w:hint="eastAsia"/>
                <w:color w:val="auto"/>
                <w:sz w:val="24"/>
                <w:vertAlign w:val="subscript"/>
                <w:lang w:val="en-US" w:eastAsia="zh-CN"/>
              </w:rPr>
              <w:t>2</w:t>
            </w:r>
            <w:r>
              <w:rPr>
                <w:rFonts w:hint="eastAsia"/>
                <w:color w:val="auto"/>
                <w:sz w:val="24"/>
                <w:lang w:val="en-US" w:eastAsia="zh-CN"/>
              </w:rPr>
              <w:t>、PM</w:t>
            </w:r>
            <w:r>
              <w:rPr>
                <w:rFonts w:hint="eastAsia"/>
                <w:color w:val="auto"/>
                <w:sz w:val="24"/>
                <w:vertAlign w:val="subscript"/>
                <w:lang w:val="en-US" w:eastAsia="zh-CN"/>
              </w:rPr>
              <w:t>10</w:t>
            </w:r>
            <w:r>
              <w:rPr>
                <w:rFonts w:hint="eastAsia"/>
                <w:color w:val="auto"/>
                <w:sz w:val="24"/>
                <w:lang w:val="en-US" w:eastAsia="zh-CN"/>
              </w:rPr>
              <w:t>和PM</w:t>
            </w:r>
            <w:r>
              <w:rPr>
                <w:rFonts w:hint="eastAsia"/>
                <w:color w:val="auto"/>
                <w:sz w:val="24"/>
                <w:vertAlign w:val="subscript"/>
                <w:lang w:val="en-US" w:eastAsia="zh-CN"/>
              </w:rPr>
              <w:t>2.5</w:t>
            </w:r>
            <w:r>
              <w:rPr>
                <w:rFonts w:hint="eastAsia"/>
                <w:color w:val="auto"/>
                <w:sz w:val="24"/>
                <w:lang w:val="en-US" w:eastAsia="zh-CN"/>
              </w:rPr>
              <w:t>均未超过环境空气质量标准（GB 3095—2026）</w:t>
            </w:r>
            <w:r>
              <w:rPr>
                <w:color w:val="auto"/>
                <w:sz w:val="24"/>
              </w:rPr>
              <w:t>表1中环境空气污染物基本项目浓度限值的二级过渡阶段限值</w:t>
            </w:r>
            <w:r>
              <w:rPr>
                <w:rFonts w:hint="eastAsia"/>
                <w:color w:val="auto"/>
                <w:sz w:val="24"/>
                <w:lang w:val="en-US" w:eastAsia="zh-CN"/>
              </w:rPr>
              <w:t>，CO日均值和O</w:t>
            </w:r>
            <w:r>
              <w:rPr>
                <w:rFonts w:hint="eastAsia"/>
                <w:color w:val="auto"/>
                <w:sz w:val="24"/>
                <w:vertAlign w:val="subscript"/>
                <w:lang w:val="en-US" w:eastAsia="zh-CN"/>
              </w:rPr>
              <w:t>3</w:t>
            </w:r>
            <w:r>
              <w:rPr>
                <w:rFonts w:hint="eastAsia"/>
                <w:color w:val="auto"/>
                <w:sz w:val="24"/>
                <w:lang w:val="en-US" w:eastAsia="zh-CN"/>
              </w:rPr>
              <w:t>最大8小时值未超过环境空气质量标准（GB 3095—2026）</w:t>
            </w:r>
            <w:r>
              <w:rPr>
                <w:color w:val="auto"/>
                <w:sz w:val="24"/>
              </w:rPr>
              <w:t>表1中环境空气污染物基本项目浓度限值的二级过渡阶段限值</w:t>
            </w:r>
            <w:r>
              <w:rPr>
                <w:rFonts w:hint="eastAsia" w:ascii="Times New Roman" w:hAnsi="Times New Roman"/>
                <w:color w:val="auto"/>
                <w:lang w:val="en-US" w:eastAsia="zh-CN"/>
              </w:rPr>
              <w:t>，本项目位于</w:t>
            </w:r>
            <w:r>
              <w:rPr>
                <w:rFonts w:hint="eastAsia"/>
                <w:color w:val="auto"/>
                <w:lang w:val="en-US" w:eastAsia="zh-CN"/>
              </w:rPr>
              <w:t>福建省福州市闽侯县上街镇马保村后园32号2号楼1层</w:t>
            </w:r>
            <w:r>
              <w:rPr>
                <w:rFonts w:hint="eastAsia" w:ascii="Times New Roman" w:hAnsi="Times New Roman"/>
                <w:color w:val="auto"/>
                <w:lang w:val="en-US" w:eastAsia="zh-CN"/>
              </w:rPr>
              <w:t>，所在地城市环境空气质量常规六项污染物全部达标，所在区域属于达标区。</w:t>
            </w:r>
          </w:p>
          <w:p w14:paraId="32ACC82F">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②特征污染物因子</w:t>
            </w:r>
          </w:p>
          <w:p w14:paraId="2AC14395">
            <w:pPr>
              <w:keepNext w:val="0"/>
              <w:keepLines w:val="0"/>
              <w:pageBreakBefore w:val="0"/>
              <w:widowControl/>
              <w:suppressLineNumbers w:val="0"/>
              <w:kinsoku/>
              <w:wordWrap/>
              <w:overflowPunct/>
              <w:topLinePunct w:val="0"/>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0"/>
                <w:sz w:val="24"/>
                <w:szCs w:val="24"/>
                <w:lang w:val="en-US" w:eastAsia="zh-CN" w:bidi="ar"/>
              </w:rPr>
            </w:pPr>
            <w:r>
              <w:rPr>
                <w:rFonts w:ascii="Times New Roman" w:hAnsi="Times New Roman" w:eastAsia="宋体" w:cs="宋体"/>
                <w:color w:val="auto"/>
                <w:kern w:val="0"/>
                <w:sz w:val="24"/>
                <w:szCs w:val="24"/>
                <w:lang w:val="en-US" w:eastAsia="zh-CN" w:bidi="ar"/>
              </w:rPr>
              <w:t>本项目大气特征污染物因子为非甲烷总烃、乙醚、乙醇、丙酮</w:t>
            </w:r>
            <w:r>
              <w:rPr>
                <w:rFonts w:hint="eastAsia" w:cs="宋体"/>
                <w:color w:val="auto"/>
                <w:kern w:val="0"/>
                <w:sz w:val="24"/>
                <w:szCs w:val="24"/>
                <w:lang w:val="en-US" w:eastAsia="zh-CN" w:bidi="ar"/>
              </w:rPr>
              <w:t>、颗粒物</w:t>
            </w:r>
            <w:r>
              <w:rPr>
                <w:rFonts w:ascii="Times New Roman" w:hAnsi="Times New Roman" w:eastAsia="宋体" w:cs="宋体"/>
                <w:color w:val="auto"/>
                <w:kern w:val="0"/>
                <w:sz w:val="24"/>
                <w:szCs w:val="24"/>
                <w:lang w:val="en-US" w:eastAsia="zh-CN" w:bidi="ar"/>
              </w:rPr>
              <w:t>。根据《建设项目环境影响报告表编制技术指南（污染影响类）（试行）》（环办环评〔2020〕33号）要求，应根据建设项目所在环境功能区、适用的国家及地方环境质量标准以及地方环境质量管理要求，评价大气环境质量现状达标情况。经核查，</w:t>
            </w:r>
            <w:r>
              <w:rPr>
                <w:rStyle w:val="22"/>
                <w:rFonts w:ascii="Times New Roman" w:hAnsi="Times New Roman" w:eastAsia="宋体" w:cs="宋体"/>
                <w:b/>
                <w:bCs/>
                <w:color w:val="auto"/>
                <w:kern w:val="0"/>
                <w:sz w:val="24"/>
                <w:szCs w:val="24"/>
                <w:lang w:val="en-US" w:eastAsia="zh-CN" w:bidi="ar"/>
              </w:rPr>
              <w:t>现行国家《环境空气质量标准》（GB 3095-20</w:t>
            </w:r>
            <w:r>
              <w:rPr>
                <w:rStyle w:val="22"/>
                <w:rFonts w:hint="eastAsia" w:cs="宋体"/>
                <w:b/>
                <w:bCs/>
                <w:color w:val="auto"/>
                <w:kern w:val="0"/>
                <w:sz w:val="24"/>
                <w:szCs w:val="24"/>
                <w:lang w:val="en-US" w:eastAsia="zh-CN" w:bidi="ar"/>
              </w:rPr>
              <w:t>26</w:t>
            </w:r>
            <w:r>
              <w:rPr>
                <w:rStyle w:val="22"/>
                <w:rFonts w:ascii="Times New Roman" w:hAnsi="Times New Roman" w:eastAsia="宋体" w:cs="宋体"/>
                <w:b/>
                <w:bCs/>
                <w:color w:val="auto"/>
                <w:kern w:val="0"/>
                <w:sz w:val="24"/>
                <w:szCs w:val="24"/>
                <w:lang w:val="en-US" w:eastAsia="zh-CN" w:bidi="ar"/>
              </w:rPr>
              <w:t>）及地方环境空气质量标准中，无非甲烷总烃、乙醚、乙醇、丙酮的环境质量标准限值</w:t>
            </w:r>
            <w:r>
              <w:rPr>
                <w:rFonts w:ascii="Times New Roman" w:hAnsi="Times New Roman" w:eastAsia="宋体" w:cs="宋体"/>
                <w:color w:val="auto"/>
                <w:kern w:val="0"/>
                <w:sz w:val="24"/>
                <w:szCs w:val="24"/>
                <w:lang w:val="en-US" w:eastAsia="zh-CN" w:bidi="ar"/>
              </w:rPr>
              <w:t>，无对应的评价标准可执行。依据相关技术规范，</w:t>
            </w:r>
            <w:r>
              <w:rPr>
                <w:rStyle w:val="22"/>
                <w:rFonts w:ascii="Times New Roman" w:hAnsi="Times New Roman" w:eastAsia="宋体" w:cs="宋体"/>
                <w:b/>
                <w:bCs/>
                <w:color w:val="auto"/>
                <w:kern w:val="0"/>
                <w:sz w:val="24"/>
                <w:szCs w:val="24"/>
                <w:lang w:val="en-US" w:eastAsia="zh-CN" w:bidi="ar"/>
              </w:rPr>
              <w:t>无环境质量标准的污染物可不开展现状环境质量监测</w:t>
            </w:r>
            <w:r>
              <w:rPr>
                <w:rFonts w:ascii="Times New Roman" w:hAnsi="Times New Roman" w:eastAsia="宋体" w:cs="宋体"/>
                <w:color w:val="auto"/>
                <w:kern w:val="0"/>
                <w:sz w:val="24"/>
                <w:szCs w:val="24"/>
                <w:lang w:val="en-US" w:eastAsia="zh-CN" w:bidi="ar"/>
              </w:rPr>
              <w:t>，本次评价不对上述</w:t>
            </w:r>
            <w:r>
              <w:rPr>
                <w:rFonts w:hint="eastAsia" w:cs="宋体"/>
                <w:color w:val="auto"/>
                <w:kern w:val="0"/>
                <w:sz w:val="24"/>
                <w:szCs w:val="24"/>
                <w:lang w:val="en-US" w:eastAsia="zh-CN" w:bidi="ar"/>
              </w:rPr>
              <w:t>这些</w:t>
            </w:r>
            <w:r>
              <w:rPr>
                <w:rFonts w:ascii="Times New Roman" w:hAnsi="Times New Roman" w:eastAsia="宋体" w:cs="宋体"/>
                <w:color w:val="auto"/>
                <w:kern w:val="0"/>
                <w:sz w:val="24"/>
                <w:szCs w:val="24"/>
                <w:lang w:val="en-US" w:eastAsia="zh-CN" w:bidi="ar"/>
              </w:rPr>
              <w:t>特征污染物进行现状监测</w:t>
            </w:r>
            <w:r>
              <w:rPr>
                <w:rFonts w:hint="eastAsia" w:cs="宋体"/>
                <w:color w:val="auto"/>
                <w:kern w:val="0"/>
                <w:sz w:val="24"/>
                <w:szCs w:val="24"/>
                <w:lang w:val="en-US" w:eastAsia="zh-CN" w:bidi="ar"/>
              </w:rPr>
              <w:t>，因此本次评价</w:t>
            </w:r>
            <w:r>
              <w:rPr>
                <w:rFonts w:hint="default" w:ascii="Times New Roman" w:hAnsi="Times New Roman" w:eastAsia="宋体" w:cs="Times New Roman"/>
                <w:color w:val="auto"/>
                <w:kern w:val="0"/>
                <w:sz w:val="24"/>
                <w:szCs w:val="24"/>
                <w:lang w:val="en-US" w:eastAsia="zh-CN" w:bidi="ar"/>
              </w:rPr>
              <w:t>确定项目大气环境现状调查因子为颗粒物</w:t>
            </w:r>
            <w:r>
              <w:rPr>
                <w:rFonts w:hint="eastAsia" w:ascii="Times New Roman" w:hAnsi="Times New Roman" w:eastAsia="宋体" w:cs="Times New Roman"/>
                <w:color w:val="auto"/>
                <w:kern w:val="0"/>
                <w:sz w:val="24"/>
                <w:szCs w:val="24"/>
                <w:lang w:val="en-US" w:eastAsia="zh-CN" w:bidi="ar"/>
              </w:rPr>
              <w:t>，为了解项目所在区域环境空气中颗粒物情况，建设单位</w:t>
            </w:r>
            <w:r>
              <w:rPr>
                <w:rFonts w:hint="eastAsia" w:cs="Times New Roman"/>
                <w:color w:val="auto"/>
                <w:kern w:val="0"/>
                <w:sz w:val="24"/>
                <w:szCs w:val="24"/>
                <w:lang w:val="en-US" w:eastAsia="zh-CN" w:bidi="ar"/>
              </w:rPr>
              <w:t>引用</w:t>
            </w:r>
            <w:r>
              <w:rPr>
                <w:rFonts w:hint="default" w:ascii="Times New Roman" w:hAnsi="Times New Roman" w:eastAsia="宋体" w:cs="Times New Roman"/>
                <w:color w:val="auto"/>
                <w:kern w:val="0"/>
                <w:sz w:val="24"/>
                <w:szCs w:val="24"/>
                <w:lang w:val="en-US" w:eastAsia="zh-CN" w:bidi="ar"/>
              </w:rPr>
              <w:t>福建华远检测有限公司</w:t>
            </w:r>
            <w:r>
              <w:rPr>
                <w:rFonts w:hint="eastAsia" w:ascii="Times New Roman" w:hAnsi="Times New Roman" w:eastAsia="宋体" w:cs="Times New Roman"/>
                <w:color w:val="auto"/>
                <w:kern w:val="0"/>
                <w:sz w:val="24"/>
                <w:szCs w:val="24"/>
                <w:lang w:val="en-US" w:eastAsia="zh-CN" w:bidi="ar"/>
              </w:rPr>
              <w:t>于202</w:t>
            </w:r>
            <w:r>
              <w:rPr>
                <w:rFonts w:hint="eastAsia" w:cs="Times New Roman"/>
                <w:color w:val="auto"/>
                <w:kern w:val="0"/>
                <w:sz w:val="24"/>
                <w:szCs w:val="24"/>
                <w:lang w:val="en-US" w:eastAsia="zh-CN" w:bidi="ar"/>
              </w:rPr>
              <w:t>6</w:t>
            </w:r>
            <w:r>
              <w:rPr>
                <w:rFonts w:hint="eastAsia" w:ascii="Times New Roman" w:hAnsi="Times New Roman" w:eastAsia="宋体" w:cs="Times New Roman"/>
                <w:color w:val="auto"/>
                <w:kern w:val="0"/>
                <w:sz w:val="24"/>
                <w:szCs w:val="24"/>
                <w:lang w:val="en-US" w:eastAsia="zh-CN" w:bidi="ar"/>
              </w:rPr>
              <w:t>年</w:t>
            </w:r>
            <w:r>
              <w:rPr>
                <w:rFonts w:hint="eastAsia" w:cs="Times New Roman"/>
                <w:color w:val="auto"/>
                <w:kern w:val="0"/>
                <w:sz w:val="24"/>
                <w:szCs w:val="24"/>
                <w:lang w:val="en-US" w:eastAsia="zh-CN" w:bidi="ar"/>
              </w:rPr>
              <w:t>6</w:t>
            </w:r>
            <w:r>
              <w:rPr>
                <w:rFonts w:hint="eastAsia" w:ascii="Times New Roman" w:hAnsi="Times New Roman" w:eastAsia="宋体" w:cs="Times New Roman"/>
                <w:color w:val="auto"/>
                <w:kern w:val="0"/>
                <w:sz w:val="24"/>
                <w:szCs w:val="24"/>
                <w:lang w:val="en-US" w:eastAsia="zh-CN" w:bidi="ar"/>
              </w:rPr>
              <w:t>月</w:t>
            </w:r>
            <w:r>
              <w:rPr>
                <w:rFonts w:hint="eastAsia" w:cs="Times New Roman"/>
                <w:color w:val="auto"/>
                <w:kern w:val="0"/>
                <w:sz w:val="24"/>
                <w:szCs w:val="24"/>
                <w:lang w:val="en-US" w:eastAsia="zh-CN" w:bidi="ar"/>
              </w:rPr>
              <w:t>4</w:t>
            </w:r>
            <w:r>
              <w:rPr>
                <w:rFonts w:hint="eastAsia" w:ascii="Times New Roman" w:hAnsi="Times New Roman" w:eastAsia="宋体" w:cs="Times New Roman"/>
                <w:color w:val="auto"/>
                <w:kern w:val="0"/>
                <w:sz w:val="24"/>
                <w:szCs w:val="24"/>
                <w:lang w:val="en-US" w:eastAsia="zh-CN" w:bidi="ar"/>
              </w:rPr>
              <w:t>日</w:t>
            </w:r>
            <w:r>
              <w:rPr>
                <w:rFonts w:hint="eastAsia" w:cs="Times New Roman"/>
                <w:color w:val="auto"/>
                <w:kern w:val="0"/>
                <w:sz w:val="24"/>
                <w:szCs w:val="24"/>
                <w:lang w:val="en-US" w:eastAsia="zh-CN" w:bidi="ar"/>
              </w:rPr>
              <w:t>—</w:t>
            </w:r>
            <w:r>
              <w:rPr>
                <w:rFonts w:hint="eastAsia" w:ascii="Times New Roman" w:hAnsi="Times New Roman" w:eastAsia="宋体" w:cs="Times New Roman"/>
                <w:color w:val="auto"/>
                <w:kern w:val="0"/>
                <w:sz w:val="24"/>
                <w:szCs w:val="24"/>
                <w:lang w:val="en-US" w:eastAsia="zh-CN" w:bidi="ar"/>
              </w:rPr>
              <w:t>202</w:t>
            </w:r>
            <w:r>
              <w:rPr>
                <w:rFonts w:hint="eastAsia" w:cs="Times New Roman"/>
                <w:color w:val="auto"/>
                <w:kern w:val="0"/>
                <w:sz w:val="24"/>
                <w:szCs w:val="24"/>
                <w:lang w:val="en-US" w:eastAsia="zh-CN" w:bidi="ar"/>
              </w:rPr>
              <w:t>6</w:t>
            </w:r>
            <w:r>
              <w:rPr>
                <w:rFonts w:hint="eastAsia" w:ascii="Times New Roman" w:hAnsi="Times New Roman" w:eastAsia="宋体" w:cs="Times New Roman"/>
                <w:color w:val="auto"/>
                <w:kern w:val="0"/>
                <w:sz w:val="24"/>
                <w:szCs w:val="24"/>
                <w:lang w:val="en-US" w:eastAsia="zh-CN" w:bidi="ar"/>
              </w:rPr>
              <w:t>年</w:t>
            </w:r>
            <w:r>
              <w:rPr>
                <w:rFonts w:hint="eastAsia" w:cs="Times New Roman"/>
                <w:color w:val="auto"/>
                <w:kern w:val="0"/>
                <w:sz w:val="24"/>
                <w:szCs w:val="24"/>
                <w:lang w:val="en-US" w:eastAsia="zh-CN" w:bidi="ar"/>
              </w:rPr>
              <w:t>6</w:t>
            </w:r>
            <w:r>
              <w:rPr>
                <w:rFonts w:hint="eastAsia" w:ascii="Times New Roman" w:hAnsi="Times New Roman" w:eastAsia="宋体" w:cs="Times New Roman"/>
                <w:color w:val="auto"/>
                <w:kern w:val="0"/>
                <w:sz w:val="24"/>
                <w:szCs w:val="24"/>
                <w:lang w:val="en-US" w:eastAsia="zh-CN" w:bidi="ar"/>
              </w:rPr>
              <w:t>月</w:t>
            </w:r>
            <w:r>
              <w:rPr>
                <w:rFonts w:hint="eastAsia" w:cs="Times New Roman"/>
                <w:color w:val="auto"/>
                <w:kern w:val="0"/>
                <w:sz w:val="24"/>
                <w:szCs w:val="24"/>
                <w:lang w:val="en-US" w:eastAsia="zh-CN" w:bidi="ar"/>
              </w:rPr>
              <w:t>7</w:t>
            </w:r>
            <w:r>
              <w:rPr>
                <w:rFonts w:hint="eastAsia" w:ascii="Times New Roman" w:hAnsi="Times New Roman" w:eastAsia="宋体" w:cs="Times New Roman"/>
                <w:color w:val="auto"/>
                <w:kern w:val="0"/>
                <w:sz w:val="24"/>
                <w:szCs w:val="24"/>
                <w:lang w:val="en-US" w:eastAsia="zh-CN" w:bidi="ar"/>
              </w:rPr>
              <w:t>日进行监测，监测结果见表3-4，检测报告见附件21。</w:t>
            </w:r>
          </w:p>
          <w:p w14:paraId="20745DFD">
            <w:pPr>
              <w:widowControl w:val="0"/>
              <w:spacing w:line="240" w:lineRule="auto"/>
              <w:ind w:firstLine="0" w:firstLineChars="0"/>
              <w:jc w:val="center"/>
              <w:outlineLvl w:val="2"/>
              <w:rPr>
                <w:rFonts w:hint="eastAsia" w:ascii="Times New Roman" w:hAnsi="Times New Roman" w:eastAsia="宋体" w:cs="Times New Roman"/>
                <w:b/>
                <w:bCs/>
                <w:color w:val="auto"/>
                <w:szCs w:val="32"/>
                <w:highlight w:val="none"/>
                <w:lang w:val="en-US" w:eastAsia="zh-CN"/>
              </w:rPr>
            </w:pPr>
            <w:r>
              <w:rPr>
                <w:rFonts w:hint="eastAsia" w:ascii="Times New Roman" w:hAnsi="Times New Roman" w:eastAsia="宋体" w:cs="Times New Roman"/>
                <w:b/>
                <w:bCs/>
                <w:color w:val="auto"/>
                <w:szCs w:val="32"/>
                <w:highlight w:val="none"/>
                <w:lang w:val="en-US" w:eastAsia="zh-CN"/>
              </w:rPr>
              <w:t>表</w:t>
            </w:r>
            <w:r>
              <w:rPr>
                <w:rFonts w:hint="default" w:ascii="Times New Roman" w:hAnsi="Times New Roman" w:eastAsia="宋体" w:cs="Times New Roman"/>
                <w:b/>
                <w:bCs/>
                <w:color w:val="auto"/>
                <w:szCs w:val="32"/>
                <w:highlight w:val="none"/>
                <w:lang w:val="en-US" w:eastAsia="zh-CN"/>
              </w:rPr>
              <w:t>3</w:t>
            </w:r>
            <w:r>
              <w:rPr>
                <w:rFonts w:hint="eastAsia" w:ascii="Times New Roman" w:hAnsi="Times New Roman" w:eastAsia="宋体" w:cs="Times New Roman"/>
                <w:b/>
                <w:bCs/>
                <w:color w:val="auto"/>
                <w:szCs w:val="32"/>
                <w:highlight w:val="none"/>
                <w:lang w:val="en-US" w:eastAsia="zh-CN"/>
              </w:rPr>
              <w:t>.1-3</w:t>
            </w:r>
            <w:r>
              <w:rPr>
                <w:rFonts w:hint="default" w:ascii="Times New Roman" w:hAnsi="Times New Roman" w:eastAsia="宋体" w:cs="Times New Roman"/>
                <w:b/>
                <w:bCs/>
                <w:color w:val="auto"/>
                <w:szCs w:val="32"/>
                <w:highlight w:val="none"/>
                <w:lang w:val="en-US" w:eastAsia="zh-CN"/>
              </w:rPr>
              <w:t xml:space="preserve"> </w:t>
            </w:r>
            <w:r>
              <w:rPr>
                <w:rFonts w:hint="eastAsia" w:ascii="Times New Roman" w:hAnsi="Times New Roman" w:eastAsia="宋体" w:cs="Times New Roman"/>
                <w:b/>
                <w:bCs/>
                <w:color w:val="auto"/>
                <w:szCs w:val="32"/>
                <w:highlight w:val="none"/>
                <w:lang w:val="en-US" w:eastAsia="zh-CN"/>
              </w:rPr>
              <w:t>颗粒物现状情况一览表</w:t>
            </w:r>
          </w:p>
          <w:p w14:paraId="018EC02A">
            <w:pPr>
              <w:widowControl w:val="0"/>
              <w:spacing w:line="240" w:lineRule="auto"/>
              <w:ind w:firstLine="0" w:firstLineChars="0"/>
              <w:jc w:val="center"/>
              <w:outlineLvl w:val="2"/>
              <w:rPr>
                <w:rFonts w:hint="default" w:ascii="Times New Roman" w:hAnsi="Times New Roman" w:eastAsia="宋体" w:cs="Times New Roman"/>
                <w:b/>
                <w:bCs/>
                <w:color w:val="auto"/>
                <w:szCs w:val="32"/>
                <w:highlight w:val="none"/>
                <w:lang w:val="en-US" w:eastAsia="zh-CN"/>
              </w:rPr>
            </w:pPr>
            <w:r>
              <w:rPr>
                <w:rFonts w:hint="eastAsia" w:cs="Times New Roman"/>
                <w:b/>
                <w:bCs/>
                <w:color w:val="auto"/>
                <w:szCs w:val="32"/>
                <w:highlight w:val="none"/>
                <w:lang w:val="en-US" w:eastAsia="zh-CN"/>
              </w:rPr>
              <w:t>*</w:t>
            </w:r>
          </w:p>
          <w:p w14:paraId="4DF8ED6F">
            <w:pPr>
              <w:keepLines w:val="0"/>
              <w:pageBreakBefore w:val="0"/>
              <w:numPr>
                <w:ilvl w:val="0"/>
                <w:numId w:val="0"/>
              </w:numPr>
              <w:kinsoku/>
              <w:wordWrap/>
              <w:topLinePunct w:val="0"/>
              <w:autoSpaceDE/>
              <w:autoSpaceDN/>
              <w:bidi w:val="0"/>
              <w:spacing w:line="360" w:lineRule="auto"/>
              <w:ind w:left="0" w:leftChars="0" w:right="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根据上表监测结果可知，项目所在区TS</w:t>
            </w:r>
            <w:r>
              <w:rPr>
                <w:rFonts w:hint="default" w:ascii="Times New Roman" w:hAnsi="Times New Roman" w:eastAsia="宋体" w:cs="Times New Roman"/>
                <w:color w:val="auto"/>
                <w:sz w:val="24"/>
                <w:szCs w:val="24"/>
                <w:highlight w:val="none"/>
              </w:rPr>
              <w:t>P的浓度值</w:t>
            </w:r>
            <w:r>
              <w:rPr>
                <w:rFonts w:hint="eastAsia" w:ascii="Times New Roman" w:hAnsi="Times New Roman" w:eastAsia="宋体" w:cs="Times New Roman"/>
                <w:color w:val="auto"/>
                <w:sz w:val="24"/>
                <w:szCs w:val="24"/>
                <w:highlight w:val="none"/>
                <w:lang w:val="en-US" w:eastAsia="zh-CN"/>
              </w:rPr>
              <w:t>均</w:t>
            </w:r>
            <w:r>
              <w:rPr>
                <w:rFonts w:hint="default" w:ascii="Times New Roman" w:hAnsi="Times New Roman" w:eastAsia="宋体" w:cs="Times New Roman"/>
                <w:color w:val="auto"/>
                <w:sz w:val="24"/>
                <w:szCs w:val="24"/>
                <w:highlight w:val="none"/>
              </w:rPr>
              <w:t>符合</w:t>
            </w:r>
            <w:r>
              <w:rPr>
                <w:rFonts w:hint="eastAsia" w:ascii="Times New Roman" w:hAnsi="Times New Roman" w:eastAsia="宋体" w:cs="Times New Roman"/>
                <w:color w:val="auto"/>
                <w:sz w:val="24"/>
                <w:szCs w:val="24"/>
              </w:rPr>
              <w:t>《环境空气质量标准》（GB 3095—2026）</w:t>
            </w:r>
            <w:r>
              <w:rPr>
                <w:rFonts w:hint="default" w:ascii="Times New Roman" w:hAnsi="Times New Roman" w:eastAsia="宋体" w:cs="Times New Roman"/>
                <w:color w:val="auto"/>
                <w:sz w:val="24"/>
                <w:szCs w:val="24"/>
              </w:rPr>
              <w:t>中的二级标准，即≤</w:t>
            </w:r>
            <w:r>
              <w:rPr>
                <w:rFonts w:hint="eastAsia" w:ascii="Times New Roman" w:hAnsi="Times New Roman" w:eastAsia="宋体" w:cs="Times New Roman"/>
                <w:color w:val="auto"/>
                <w:sz w:val="24"/>
                <w:szCs w:val="24"/>
                <w:lang w:val="en-US" w:eastAsia="zh-CN"/>
              </w:rPr>
              <w:t>0.3</w:t>
            </w:r>
            <w:r>
              <w:rPr>
                <w:rFonts w:hint="eastAsia" w:ascii="Times New Roman" w:hAnsi="Times New Roman" w:cs="Times New Roman"/>
                <w:color w:val="auto"/>
                <w:sz w:val="24"/>
                <w:szCs w:val="24"/>
                <w:lang w:val="en-US" w:eastAsia="zh-CN"/>
              </w:rPr>
              <w:t>0</w:t>
            </w:r>
            <w:r>
              <w:rPr>
                <w:rFonts w:hint="eastAsia"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highlight w:val="none"/>
              </w:rPr>
              <w:t>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rPr>
              <w:t>，环境质量现状良好。</w:t>
            </w:r>
          </w:p>
          <w:p w14:paraId="6FA60A0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w:t>
            </w:r>
            <w:r>
              <w:rPr>
                <w:rFonts w:hint="default" w:ascii="Times New Roman" w:hAnsi="Times New Roman" w:eastAsia="宋体" w:cs="宋体"/>
                <w:color w:val="auto"/>
                <w:kern w:val="2"/>
                <w:sz w:val="24"/>
                <w:szCs w:val="24"/>
                <w:lang w:val="en-US" w:eastAsia="zh-CN" w:bidi="ar-SA"/>
              </w:rPr>
              <w:t>引用资料的可行性分析</w:t>
            </w:r>
          </w:p>
          <w:p w14:paraId="35CA17BE">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根据《建设项目环境影响报告表编制技术指南</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污染影响类</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试行</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环办环评〔2020〕33号</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的要求：</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大气环境区域环境质量现状常规污染物引用与建设项目距离近的有效数据，包括近3年的规划环境影响评价的监测数据，国家、地方环境空气质量监测网数据或生态环境主管部门公开发布的质量数据等</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排放国家、地方环境空气质量标准中有标准限值要求的特征污染物时，引用建设项目周边5千米范围内近3年的现有监测数据</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因此引用福州高新区202</w:t>
            </w:r>
            <w:r>
              <w:rPr>
                <w:rFonts w:hint="eastAsia" w:cs="宋体"/>
                <w:color w:val="auto"/>
                <w:kern w:val="2"/>
                <w:sz w:val="24"/>
                <w:szCs w:val="24"/>
                <w:lang w:val="en-US" w:eastAsia="zh-CN" w:bidi="ar-SA"/>
              </w:rPr>
              <w:t>5</w:t>
            </w:r>
            <w:r>
              <w:rPr>
                <w:rFonts w:hint="eastAsia" w:ascii="Times New Roman" w:hAnsi="Times New Roman" w:eastAsia="宋体" w:cs="宋体"/>
                <w:color w:val="auto"/>
                <w:kern w:val="2"/>
                <w:sz w:val="24"/>
                <w:szCs w:val="24"/>
                <w:lang w:val="en-US" w:eastAsia="zh-CN" w:bidi="ar-SA"/>
              </w:rPr>
              <w:t>年1</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12月空气质量月报的数据是可行的。</w:t>
            </w:r>
          </w:p>
          <w:p w14:paraId="74CAFDD6">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46" w:name="_Toc24755"/>
            <w:bookmarkStart w:id="47" w:name="_Toc2060"/>
            <w:r>
              <w:rPr>
                <w:rFonts w:hint="eastAsia" w:ascii="Times New Roman" w:hAnsi="Times New Roman" w:eastAsia="宋体" w:cs="Times New Roman"/>
                <w:b/>
                <w:color w:val="auto"/>
                <w:kern w:val="2"/>
                <w:sz w:val="28"/>
                <w:szCs w:val="24"/>
                <w:lang w:val="en-US" w:eastAsia="zh-CN" w:bidi="ar-SA"/>
              </w:rPr>
              <w:t>3.2地表水环境质量现状</w:t>
            </w:r>
            <w:bookmarkEnd w:id="46"/>
            <w:bookmarkEnd w:id="47"/>
          </w:p>
          <w:p w14:paraId="52D5AF2E">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48" w:name="_Toc19681"/>
            <w:r>
              <w:rPr>
                <w:rFonts w:hint="eastAsia" w:ascii="Times New Roman" w:hAnsi="Times New Roman" w:eastAsia="宋体" w:cs="Times New Roman"/>
                <w:b/>
                <w:color w:val="auto"/>
                <w:kern w:val="2"/>
                <w:sz w:val="24"/>
                <w:szCs w:val="24"/>
                <w:lang w:val="en-US" w:eastAsia="zh-CN" w:bidi="ar-SA"/>
              </w:rPr>
              <w:t>3.2.1地表水功能区划</w:t>
            </w:r>
            <w:bookmarkEnd w:id="48"/>
          </w:p>
          <w:p w14:paraId="401A84CC">
            <w:pPr>
              <w:pStyle w:val="5"/>
              <w:bidi w:val="0"/>
              <w:rPr>
                <w:rFonts w:hint="default" w:ascii="Times New Roman" w:hAnsi="Times New Roman"/>
                <w:color w:val="auto"/>
                <w:lang w:val="en-US" w:eastAsia="zh-CN"/>
              </w:rPr>
            </w:pPr>
            <w:r>
              <w:rPr>
                <w:rFonts w:hint="default" w:ascii="Times New Roman" w:hAnsi="Times New Roman" w:eastAsia="宋体" w:cs="宋体"/>
                <w:color w:val="auto"/>
                <w:lang w:val="en-US" w:eastAsia="zh-CN"/>
              </w:rPr>
              <w:t>项目附近水域为</w:t>
            </w:r>
            <w:r>
              <w:rPr>
                <w:rFonts w:hint="eastAsia" w:ascii="Times New Roman" w:hAnsi="Times New Roman" w:eastAsia="宋体" w:cs="宋体"/>
                <w:color w:val="auto"/>
                <w:lang w:val="en-US" w:eastAsia="zh-CN"/>
              </w:rPr>
              <w:t>溪源溪</w:t>
            </w:r>
            <w:r>
              <w:rPr>
                <w:rFonts w:hint="default" w:ascii="Times New Roman" w:hAnsi="Times New Roman" w:eastAsia="宋体" w:cs="宋体"/>
                <w:color w:val="auto"/>
                <w:lang w:val="en-US" w:eastAsia="zh-CN"/>
              </w:rPr>
              <w:t>，溪源溪为闽江南港（乌龙江）支流，位于闽侯上街镇；依据闽政文〔2006〕133号，溪源溪溪源宫～榕桥段为饮用水源二级保护区、渔业用水，水质执行《地表水环境质量标准》（GB3838-2002）Ⅲ类；榕桥以下段为农业、工业用水，执行Ⅳ类标准；废水最终汇入闽江南港（乌龙江），该水体功能为渔业、农业用水，执行Ⅲ类水质标准。</w:t>
            </w:r>
            <w:r>
              <w:rPr>
                <w:rFonts w:hint="default" w:ascii="Times New Roman" w:hAnsi="Times New Roman"/>
                <w:color w:val="auto"/>
                <w:lang w:val="en-US" w:eastAsia="zh-CN"/>
              </w:rPr>
              <w:t>具体标准值见表3.2-1。</w:t>
            </w:r>
          </w:p>
          <w:p w14:paraId="397B2A4C">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表3.2-1</w:t>
            </w:r>
            <w:r>
              <w:rPr>
                <w:rFonts w:hint="eastAsia" w:cs="Times New Roman"/>
                <w:b/>
                <w:color w:val="auto"/>
                <w:kern w:val="0"/>
                <w:sz w:val="24"/>
                <w:szCs w:val="20"/>
                <w:lang w:val="en-US" w:eastAsia="zh-CN" w:bidi="ar-SA"/>
              </w:rPr>
              <w:t xml:space="preserve">  </w:t>
            </w:r>
            <w:r>
              <w:rPr>
                <w:rFonts w:hint="eastAsia" w:ascii="Times New Roman" w:hAnsi="Times New Roman" w:eastAsia="宋体" w:cs="Times New Roman"/>
                <w:b/>
                <w:color w:val="auto"/>
                <w:kern w:val="0"/>
                <w:sz w:val="24"/>
                <w:szCs w:val="20"/>
                <w:lang w:val="en-US" w:eastAsia="zh-CN" w:bidi="ar-SA"/>
              </w:rPr>
              <w:t>地表水环境质量标准</w:t>
            </w:r>
          </w:p>
          <w:tbl>
            <w:tblPr>
              <w:tblStyle w:val="19"/>
              <w:tblW w:w="5000"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28" w:type="dxa"/>
                <w:bottom w:w="0" w:type="dxa"/>
                <w:right w:w="28" w:type="dxa"/>
              </w:tblCellMar>
            </w:tblPr>
            <w:tblGrid>
              <w:gridCol w:w="979"/>
              <w:gridCol w:w="3235"/>
              <w:gridCol w:w="1245"/>
              <w:gridCol w:w="987"/>
              <w:gridCol w:w="984"/>
              <w:gridCol w:w="991"/>
            </w:tblGrid>
            <w:tr w14:paraId="790B85C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1" w:type="pct"/>
                  <w:tcBorders>
                    <w:tl2br w:val="nil"/>
                    <w:tr2bl w:val="nil"/>
                  </w:tcBorders>
                  <w:shd w:val="clear" w:color="auto" w:fill="auto"/>
                  <w:noWrap w:val="0"/>
                  <w:vAlign w:val="center"/>
                </w:tcPr>
                <w:p w14:paraId="446DA4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序号</w:t>
                  </w:r>
                </w:p>
              </w:tc>
              <w:tc>
                <w:tcPr>
                  <w:tcW w:w="1920" w:type="pct"/>
                  <w:tcBorders>
                    <w:tl2br w:val="nil"/>
                    <w:tr2bl w:val="nil"/>
                  </w:tcBorders>
                  <w:shd w:val="clear" w:color="auto" w:fill="auto"/>
                  <w:noWrap w:val="0"/>
                  <w:vAlign w:val="center"/>
                </w:tcPr>
                <w:p w14:paraId="64470D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项目</w:t>
                  </w:r>
                </w:p>
              </w:tc>
              <w:tc>
                <w:tcPr>
                  <w:tcW w:w="739" w:type="pct"/>
                  <w:tcBorders>
                    <w:tl2br w:val="nil"/>
                    <w:tr2bl w:val="nil"/>
                  </w:tcBorders>
                  <w:shd w:val="clear" w:color="auto" w:fill="auto"/>
                  <w:noWrap w:val="0"/>
                  <w:vAlign w:val="center"/>
                </w:tcPr>
                <w:p w14:paraId="6430D5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Ⅱ类</w:t>
                  </w:r>
                </w:p>
              </w:tc>
              <w:tc>
                <w:tcPr>
                  <w:tcW w:w="586" w:type="pct"/>
                  <w:tcBorders>
                    <w:tl2br w:val="nil"/>
                    <w:tr2bl w:val="nil"/>
                  </w:tcBorders>
                  <w:shd w:val="clear" w:color="auto" w:fill="A4A4A4"/>
                  <w:noWrap w:val="0"/>
                  <w:vAlign w:val="center"/>
                </w:tcPr>
                <w:p w14:paraId="58C6BC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Ⅲ类</w:t>
                  </w:r>
                </w:p>
              </w:tc>
              <w:tc>
                <w:tcPr>
                  <w:tcW w:w="584" w:type="pct"/>
                  <w:tcBorders>
                    <w:tl2br w:val="nil"/>
                    <w:tr2bl w:val="nil"/>
                  </w:tcBorders>
                  <w:shd w:val="clear" w:color="auto" w:fill="auto"/>
                  <w:noWrap w:val="0"/>
                  <w:vAlign w:val="center"/>
                </w:tcPr>
                <w:p w14:paraId="5D562B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Ⅳ类</w:t>
                  </w:r>
                </w:p>
              </w:tc>
              <w:tc>
                <w:tcPr>
                  <w:tcW w:w="587" w:type="pct"/>
                  <w:tcBorders>
                    <w:tl2br w:val="nil"/>
                    <w:tr2bl w:val="nil"/>
                  </w:tcBorders>
                  <w:shd w:val="clear" w:color="auto" w:fill="auto"/>
                  <w:noWrap w:val="0"/>
                  <w:vAlign w:val="center"/>
                </w:tcPr>
                <w:p w14:paraId="5C7EB52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Ⅴ类</w:t>
                  </w:r>
                </w:p>
              </w:tc>
            </w:tr>
            <w:tr w14:paraId="57E312D4">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1" w:type="pct"/>
                  <w:tcBorders>
                    <w:tl2br w:val="nil"/>
                    <w:tr2bl w:val="nil"/>
                  </w:tcBorders>
                  <w:shd w:val="clear" w:color="auto" w:fill="auto"/>
                  <w:noWrap w:val="0"/>
                  <w:vAlign w:val="center"/>
                </w:tcPr>
                <w:p w14:paraId="2D7F104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1</w:t>
                  </w:r>
                </w:p>
              </w:tc>
              <w:tc>
                <w:tcPr>
                  <w:tcW w:w="1920" w:type="pct"/>
                  <w:tcBorders>
                    <w:tl2br w:val="nil"/>
                    <w:tr2bl w:val="nil"/>
                  </w:tcBorders>
                  <w:shd w:val="clear" w:color="auto" w:fill="auto"/>
                  <w:noWrap w:val="0"/>
                  <w:vAlign w:val="center"/>
                </w:tcPr>
                <w:p w14:paraId="1BBFD6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pH</w:t>
                  </w:r>
                  <w:r>
                    <w:rPr>
                      <w:rFonts w:hint="eastAsia" w:ascii="Times New Roman" w:hAnsi="Times New Roman" w:eastAsia="宋体" w:cs="Times New Roman"/>
                      <w:color w:val="auto"/>
                      <w:kern w:val="0"/>
                      <w:sz w:val="21"/>
                      <w:szCs w:val="21"/>
                      <w:lang w:val="en-US" w:eastAsia="zh-CN" w:bidi="ar-SA"/>
                    </w:rPr>
                    <w:t>（</w:t>
                  </w:r>
                  <w:r>
                    <w:rPr>
                      <w:rFonts w:hint="eastAsia" w:ascii="Times New Roman" w:hAnsi="Times New Roman" w:eastAsia="宋体" w:cs="宋体"/>
                      <w:color w:val="auto"/>
                      <w:kern w:val="0"/>
                      <w:sz w:val="21"/>
                      <w:szCs w:val="21"/>
                      <w:lang w:val="en-US" w:eastAsia="zh-CN" w:bidi="ar-SA"/>
                    </w:rPr>
                    <w:t>无量纲）</w:t>
                  </w:r>
                </w:p>
              </w:tc>
              <w:tc>
                <w:tcPr>
                  <w:tcW w:w="2497" w:type="pct"/>
                  <w:gridSpan w:val="4"/>
                  <w:tcBorders>
                    <w:tl2br w:val="nil"/>
                    <w:tr2bl w:val="nil"/>
                  </w:tcBorders>
                  <w:shd w:val="clear" w:color="auto" w:fill="A4A4A4"/>
                  <w:noWrap w:val="0"/>
                  <w:vAlign w:val="center"/>
                </w:tcPr>
                <w:p w14:paraId="14FDB1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6</w:t>
                  </w:r>
                  <w:r>
                    <w:rPr>
                      <w:rFonts w:hint="eastAsia" w:ascii="Times New Roman" w:hAnsi="Times New Roman" w:eastAsia="宋体" w:cs="Times New Roman"/>
                      <w:color w:val="auto"/>
                      <w:kern w:val="0"/>
                      <w:sz w:val="21"/>
                      <w:szCs w:val="21"/>
                      <w:lang w:val="en-US" w:eastAsia="zh-CN" w:bidi="ar-SA"/>
                    </w:rPr>
                    <w:t>~</w:t>
                  </w:r>
                  <w:r>
                    <w:rPr>
                      <w:rFonts w:ascii="Times New Roman" w:hAnsi="Times New Roman" w:eastAsia="宋体" w:cs="Times New Roman"/>
                      <w:color w:val="auto"/>
                      <w:kern w:val="0"/>
                      <w:sz w:val="21"/>
                      <w:szCs w:val="21"/>
                      <w:lang w:val="en-US" w:eastAsia="zh-CN" w:bidi="ar-SA"/>
                    </w:rPr>
                    <w:t>9</w:t>
                  </w:r>
                </w:p>
              </w:tc>
            </w:tr>
            <w:tr w14:paraId="45AE974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1" w:type="pct"/>
                  <w:tcBorders>
                    <w:tl2br w:val="nil"/>
                    <w:tr2bl w:val="nil"/>
                  </w:tcBorders>
                  <w:shd w:val="clear" w:color="auto" w:fill="auto"/>
                  <w:noWrap w:val="0"/>
                  <w:vAlign w:val="center"/>
                </w:tcPr>
                <w:p w14:paraId="209C1A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2</w:t>
                  </w:r>
                </w:p>
              </w:tc>
              <w:tc>
                <w:tcPr>
                  <w:tcW w:w="1920" w:type="pct"/>
                  <w:tcBorders>
                    <w:tl2br w:val="nil"/>
                    <w:tr2bl w:val="nil"/>
                  </w:tcBorders>
                  <w:shd w:val="clear" w:color="auto" w:fill="auto"/>
                  <w:noWrap w:val="0"/>
                  <w:vAlign w:val="center"/>
                </w:tcPr>
                <w:p w14:paraId="133566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溶解氧≥</w:t>
                  </w:r>
                </w:p>
              </w:tc>
              <w:tc>
                <w:tcPr>
                  <w:tcW w:w="739" w:type="pct"/>
                  <w:tcBorders>
                    <w:tl2br w:val="nil"/>
                    <w:tr2bl w:val="nil"/>
                  </w:tcBorders>
                  <w:shd w:val="clear" w:color="auto" w:fill="auto"/>
                  <w:noWrap w:val="0"/>
                  <w:vAlign w:val="center"/>
                </w:tcPr>
                <w:p w14:paraId="65464A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6</w:t>
                  </w:r>
                </w:p>
              </w:tc>
              <w:tc>
                <w:tcPr>
                  <w:tcW w:w="586" w:type="pct"/>
                  <w:tcBorders>
                    <w:tl2br w:val="nil"/>
                    <w:tr2bl w:val="nil"/>
                  </w:tcBorders>
                  <w:shd w:val="clear" w:color="auto" w:fill="A4A4A4"/>
                  <w:noWrap w:val="0"/>
                  <w:vAlign w:val="center"/>
                </w:tcPr>
                <w:p w14:paraId="70C6C0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5</w:t>
                  </w:r>
                </w:p>
              </w:tc>
              <w:tc>
                <w:tcPr>
                  <w:tcW w:w="584" w:type="pct"/>
                  <w:tcBorders>
                    <w:tl2br w:val="nil"/>
                    <w:tr2bl w:val="nil"/>
                  </w:tcBorders>
                  <w:shd w:val="clear" w:color="auto" w:fill="auto"/>
                  <w:noWrap w:val="0"/>
                  <w:vAlign w:val="center"/>
                </w:tcPr>
                <w:p w14:paraId="0565E0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3</w:t>
                  </w:r>
                </w:p>
              </w:tc>
              <w:tc>
                <w:tcPr>
                  <w:tcW w:w="587" w:type="pct"/>
                  <w:tcBorders>
                    <w:tl2br w:val="nil"/>
                    <w:tr2bl w:val="nil"/>
                  </w:tcBorders>
                  <w:shd w:val="clear" w:color="auto" w:fill="auto"/>
                  <w:noWrap w:val="0"/>
                  <w:vAlign w:val="center"/>
                </w:tcPr>
                <w:p w14:paraId="6B8268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2</w:t>
                  </w:r>
                </w:p>
              </w:tc>
            </w:tr>
            <w:tr w14:paraId="571A98B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1" w:type="pct"/>
                  <w:tcBorders>
                    <w:tl2br w:val="nil"/>
                    <w:tr2bl w:val="nil"/>
                  </w:tcBorders>
                  <w:shd w:val="clear" w:color="auto" w:fill="auto"/>
                  <w:noWrap w:val="0"/>
                  <w:vAlign w:val="center"/>
                </w:tcPr>
                <w:p w14:paraId="750FCD6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3</w:t>
                  </w:r>
                </w:p>
              </w:tc>
              <w:tc>
                <w:tcPr>
                  <w:tcW w:w="1920" w:type="pct"/>
                  <w:tcBorders>
                    <w:tl2br w:val="nil"/>
                    <w:tr2bl w:val="nil"/>
                  </w:tcBorders>
                  <w:shd w:val="clear" w:color="auto" w:fill="auto"/>
                  <w:noWrap w:val="0"/>
                  <w:vAlign w:val="center"/>
                </w:tcPr>
                <w:p w14:paraId="0724FD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高锰酸盐指数≤</w:t>
                  </w:r>
                </w:p>
              </w:tc>
              <w:tc>
                <w:tcPr>
                  <w:tcW w:w="739" w:type="pct"/>
                  <w:tcBorders>
                    <w:tl2br w:val="nil"/>
                    <w:tr2bl w:val="nil"/>
                  </w:tcBorders>
                  <w:shd w:val="clear" w:color="auto" w:fill="auto"/>
                  <w:noWrap w:val="0"/>
                  <w:vAlign w:val="center"/>
                </w:tcPr>
                <w:p w14:paraId="0639E2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4</w:t>
                  </w:r>
                </w:p>
              </w:tc>
              <w:tc>
                <w:tcPr>
                  <w:tcW w:w="586" w:type="pct"/>
                  <w:tcBorders>
                    <w:tl2br w:val="nil"/>
                    <w:tr2bl w:val="nil"/>
                  </w:tcBorders>
                  <w:shd w:val="clear" w:color="auto" w:fill="A4A4A4"/>
                  <w:noWrap w:val="0"/>
                  <w:vAlign w:val="center"/>
                </w:tcPr>
                <w:p w14:paraId="298385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6</w:t>
                  </w:r>
                </w:p>
              </w:tc>
              <w:tc>
                <w:tcPr>
                  <w:tcW w:w="584" w:type="pct"/>
                  <w:tcBorders>
                    <w:tl2br w:val="nil"/>
                    <w:tr2bl w:val="nil"/>
                  </w:tcBorders>
                  <w:shd w:val="clear" w:color="auto" w:fill="auto"/>
                  <w:noWrap w:val="0"/>
                  <w:vAlign w:val="center"/>
                </w:tcPr>
                <w:p w14:paraId="697908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10</w:t>
                  </w:r>
                </w:p>
              </w:tc>
              <w:tc>
                <w:tcPr>
                  <w:tcW w:w="587" w:type="pct"/>
                  <w:tcBorders>
                    <w:tl2br w:val="nil"/>
                    <w:tr2bl w:val="nil"/>
                  </w:tcBorders>
                  <w:shd w:val="clear" w:color="auto" w:fill="auto"/>
                  <w:noWrap w:val="0"/>
                  <w:vAlign w:val="center"/>
                </w:tcPr>
                <w:p w14:paraId="10E8BE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15</w:t>
                  </w:r>
                </w:p>
              </w:tc>
            </w:tr>
            <w:tr w14:paraId="0E08E70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1" w:type="pct"/>
                  <w:tcBorders>
                    <w:tl2br w:val="nil"/>
                    <w:tr2bl w:val="nil"/>
                  </w:tcBorders>
                  <w:shd w:val="clear" w:color="auto" w:fill="auto"/>
                  <w:noWrap w:val="0"/>
                  <w:vAlign w:val="center"/>
                </w:tcPr>
                <w:p w14:paraId="7BA747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4</w:t>
                  </w:r>
                </w:p>
              </w:tc>
              <w:tc>
                <w:tcPr>
                  <w:tcW w:w="1920" w:type="pct"/>
                  <w:tcBorders>
                    <w:tl2br w:val="nil"/>
                    <w:tr2bl w:val="nil"/>
                  </w:tcBorders>
                  <w:shd w:val="clear" w:color="auto" w:fill="auto"/>
                  <w:noWrap w:val="0"/>
                  <w:vAlign w:val="center"/>
                </w:tcPr>
                <w:p w14:paraId="6737C0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化学需氧量</w:t>
                  </w:r>
                  <w:r>
                    <w:rPr>
                      <w:rFonts w:hint="eastAsia" w:ascii="Times New Roman" w:hAnsi="Times New Roman" w:eastAsia="宋体" w:cs="Times New Roman"/>
                      <w:color w:val="auto"/>
                      <w:kern w:val="0"/>
                      <w:sz w:val="21"/>
                      <w:szCs w:val="21"/>
                      <w:lang w:val="en-US" w:eastAsia="zh-CN" w:bidi="ar-SA"/>
                    </w:rPr>
                    <w:t>（</w:t>
                  </w:r>
                  <w:r>
                    <w:rPr>
                      <w:rFonts w:ascii="Times New Roman" w:hAnsi="Times New Roman" w:eastAsia="宋体" w:cs="Times New Roman"/>
                      <w:color w:val="auto"/>
                      <w:kern w:val="0"/>
                      <w:sz w:val="21"/>
                      <w:szCs w:val="21"/>
                      <w:lang w:val="en-US" w:eastAsia="zh-CN" w:bidi="ar-SA"/>
                    </w:rPr>
                    <w:t>COD</w:t>
                  </w:r>
                  <w:r>
                    <w:rPr>
                      <w:rFonts w:hint="eastAsia" w:ascii="Times New Roman" w:hAnsi="Times New Roman" w:eastAsia="宋体" w:cs="Times New Roman"/>
                      <w:color w:val="auto"/>
                      <w:kern w:val="0"/>
                      <w:sz w:val="21"/>
                      <w:szCs w:val="21"/>
                      <w:lang w:val="en-US" w:eastAsia="zh-CN" w:bidi="ar-SA"/>
                    </w:rPr>
                    <w:t>）</w:t>
                  </w:r>
                  <w:r>
                    <w:rPr>
                      <w:rFonts w:ascii="Times New Roman" w:hAnsi="Times New Roman" w:eastAsia="宋体" w:cs="Times New Roman"/>
                      <w:color w:val="auto"/>
                      <w:kern w:val="0"/>
                      <w:sz w:val="21"/>
                      <w:szCs w:val="21"/>
                      <w:lang w:val="en-US" w:eastAsia="zh-CN" w:bidi="ar-SA"/>
                    </w:rPr>
                    <w:t>≤</w:t>
                  </w:r>
                </w:p>
              </w:tc>
              <w:tc>
                <w:tcPr>
                  <w:tcW w:w="739" w:type="pct"/>
                  <w:tcBorders>
                    <w:tl2br w:val="nil"/>
                    <w:tr2bl w:val="nil"/>
                  </w:tcBorders>
                  <w:shd w:val="clear" w:color="auto" w:fill="auto"/>
                  <w:noWrap w:val="0"/>
                  <w:vAlign w:val="center"/>
                </w:tcPr>
                <w:p w14:paraId="4447BB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15</w:t>
                  </w:r>
                </w:p>
              </w:tc>
              <w:tc>
                <w:tcPr>
                  <w:tcW w:w="586" w:type="pct"/>
                  <w:tcBorders>
                    <w:tl2br w:val="nil"/>
                    <w:tr2bl w:val="nil"/>
                  </w:tcBorders>
                  <w:shd w:val="clear" w:color="auto" w:fill="A4A4A4"/>
                  <w:noWrap w:val="0"/>
                  <w:vAlign w:val="center"/>
                </w:tcPr>
                <w:p w14:paraId="30972D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20</w:t>
                  </w:r>
                </w:p>
              </w:tc>
              <w:tc>
                <w:tcPr>
                  <w:tcW w:w="584" w:type="pct"/>
                  <w:tcBorders>
                    <w:tl2br w:val="nil"/>
                    <w:tr2bl w:val="nil"/>
                  </w:tcBorders>
                  <w:shd w:val="clear" w:color="auto" w:fill="auto"/>
                  <w:noWrap w:val="0"/>
                  <w:vAlign w:val="center"/>
                </w:tcPr>
                <w:p w14:paraId="783C179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30</w:t>
                  </w:r>
                </w:p>
              </w:tc>
              <w:tc>
                <w:tcPr>
                  <w:tcW w:w="587" w:type="pct"/>
                  <w:tcBorders>
                    <w:tl2br w:val="nil"/>
                    <w:tr2bl w:val="nil"/>
                  </w:tcBorders>
                  <w:shd w:val="clear" w:color="auto" w:fill="auto"/>
                  <w:noWrap w:val="0"/>
                  <w:vAlign w:val="center"/>
                </w:tcPr>
                <w:p w14:paraId="237545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40</w:t>
                  </w:r>
                </w:p>
              </w:tc>
            </w:tr>
            <w:tr w14:paraId="2852D07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1" w:type="pct"/>
                  <w:tcBorders>
                    <w:tl2br w:val="nil"/>
                    <w:tr2bl w:val="nil"/>
                  </w:tcBorders>
                  <w:shd w:val="clear" w:color="auto" w:fill="auto"/>
                  <w:noWrap w:val="0"/>
                  <w:vAlign w:val="center"/>
                </w:tcPr>
                <w:p w14:paraId="34F802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5</w:t>
                  </w:r>
                </w:p>
              </w:tc>
              <w:tc>
                <w:tcPr>
                  <w:tcW w:w="1920" w:type="pct"/>
                  <w:tcBorders>
                    <w:tl2br w:val="nil"/>
                    <w:tr2bl w:val="nil"/>
                  </w:tcBorders>
                  <w:shd w:val="clear" w:color="auto" w:fill="auto"/>
                  <w:noWrap w:val="0"/>
                  <w:vAlign w:val="center"/>
                </w:tcPr>
                <w:p w14:paraId="51352D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氨氮</w:t>
                  </w:r>
                  <w:r>
                    <w:rPr>
                      <w:rFonts w:hint="eastAsia" w:ascii="Times New Roman" w:hAnsi="Times New Roman" w:eastAsia="宋体" w:cs="Times New Roman"/>
                      <w:color w:val="auto"/>
                      <w:kern w:val="0"/>
                      <w:sz w:val="21"/>
                      <w:szCs w:val="21"/>
                      <w:lang w:val="en-US" w:eastAsia="zh-CN" w:bidi="ar-SA"/>
                    </w:rPr>
                    <w:t>（</w:t>
                  </w:r>
                  <w:r>
                    <w:rPr>
                      <w:rFonts w:ascii="Times New Roman" w:hAnsi="Times New Roman" w:eastAsia="宋体" w:cs="Times New Roman"/>
                      <w:color w:val="auto"/>
                      <w:kern w:val="0"/>
                      <w:sz w:val="21"/>
                      <w:szCs w:val="21"/>
                      <w:lang w:val="en-US" w:eastAsia="zh-CN" w:bidi="ar-SA"/>
                    </w:rPr>
                    <w:t>NH</w:t>
                  </w:r>
                  <w:r>
                    <w:rPr>
                      <w:rFonts w:ascii="Times New Roman" w:hAnsi="Times New Roman" w:eastAsia="宋体" w:cs="Times New Roman"/>
                      <w:color w:val="auto"/>
                      <w:kern w:val="0"/>
                      <w:sz w:val="21"/>
                      <w:szCs w:val="21"/>
                      <w:vertAlign w:val="subscript"/>
                      <w:lang w:val="en-US" w:eastAsia="zh-CN" w:bidi="ar-SA"/>
                    </w:rPr>
                    <w:t>3</w:t>
                  </w:r>
                  <w:r>
                    <w:rPr>
                      <w:rFonts w:ascii="Times New Roman" w:hAnsi="Times New Roman" w:eastAsia="宋体" w:cs="Times New Roman"/>
                      <w:color w:val="auto"/>
                      <w:kern w:val="0"/>
                      <w:sz w:val="21"/>
                      <w:szCs w:val="21"/>
                      <w:lang w:val="en-US" w:eastAsia="zh-CN" w:bidi="ar-SA"/>
                    </w:rPr>
                    <w:t>-N</w:t>
                  </w:r>
                  <w:r>
                    <w:rPr>
                      <w:rFonts w:hint="eastAsia" w:ascii="Times New Roman" w:hAnsi="Times New Roman" w:eastAsia="宋体" w:cs="Times New Roman"/>
                      <w:color w:val="auto"/>
                      <w:kern w:val="0"/>
                      <w:sz w:val="21"/>
                      <w:szCs w:val="21"/>
                      <w:lang w:val="en-US" w:eastAsia="zh-CN" w:bidi="ar-SA"/>
                    </w:rPr>
                    <w:t>）</w:t>
                  </w:r>
                  <w:r>
                    <w:rPr>
                      <w:rFonts w:ascii="Times New Roman" w:hAnsi="Times New Roman" w:eastAsia="宋体" w:cs="Times New Roman"/>
                      <w:color w:val="auto"/>
                      <w:kern w:val="0"/>
                      <w:sz w:val="21"/>
                      <w:szCs w:val="21"/>
                      <w:lang w:val="en-US" w:eastAsia="zh-CN" w:bidi="ar-SA"/>
                    </w:rPr>
                    <w:t>≤</w:t>
                  </w:r>
                </w:p>
              </w:tc>
              <w:tc>
                <w:tcPr>
                  <w:tcW w:w="739" w:type="pct"/>
                  <w:tcBorders>
                    <w:tl2br w:val="nil"/>
                    <w:tr2bl w:val="nil"/>
                  </w:tcBorders>
                  <w:shd w:val="clear" w:color="auto" w:fill="auto"/>
                  <w:noWrap w:val="0"/>
                  <w:vAlign w:val="center"/>
                </w:tcPr>
                <w:p w14:paraId="083974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0.5</w:t>
                  </w:r>
                </w:p>
              </w:tc>
              <w:tc>
                <w:tcPr>
                  <w:tcW w:w="586" w:type="pct"/>
                  <w:tcBorders>
                    <w:tl2br w:val="nil"/>
                    <w:tr2bl w:val="nil"/>
                  </w:tcBorders>
                  <w:shd w:val="clear" w:color="auto" w:fill="A4A4A4"/>
                  <w:noWrap w:val="0"/>
                  <w:vAlign w:val="center"/>
                </w:tcPr>
                <w:p w14:paraId="252B75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1.0</w:t>
                  </w:r>
                </w:p>
              </w:tc>
              <w:tc>
                <w:tcPr>
                  <w:tcW w:w="584" w:type="pct"/>
                  <w:tcBorders>
                    <w:tl2br w:val="nil"/>
                    <w:tr2bl w:val="nil"/>
                  </w:tcBorders>
                  <w:shd w:val="clear" w:color="auto" w:fill="auto"/>
                  <w:noWrap w:val="0"/>
                  <w:vAlign w:val="center"/>
                </w:tcPr>
                <w:p w14:paraId="3D1821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1.5</w:t>
                  </w:r>
                </w:p>
              </w:tc>
              <w:tc>
                <w:tcPr>
                  <w:tcW w:w="587" w:type="pct"/>
                  <w:tcBorders>
                    <w:tl2br w:val="nil"/>
                    <w:tr2bl w:val="nil"/>
                  </w:tcBorders>
                  <w:shd w:val="clear" w:color="auto" w:fill="auto"/>
                  <w:noWrap w:val="0"/>
                  <w:vAlign w:val="center"/>
                </w:tcPr>
                <w:p w14:paraId="60ED4F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2.0</w:t>
                  </w:r>
                </w:p>
              </w:tc>
            </w:tr>
            <w:tr w14:paraId="10714BE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1" w:type="pct"/>
                  <w:tcBorders>
                    <w:tl2br w:val="nil"/>
                    <w:tr2bl w:val="nil"/>
                  </w:tcBorders>
                  <w:shd w:val="clear" w:color="auto" w:fill="auto"/>
                  <w:noWrap w:val="0"/>
                  <w:vAlign w:val="center"/>
                </w:tcPr>
                <w:p w14:paraId="481F25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6</w:t>
                  </w:r>
                </w:p>
              </w:tc>
              <w:tc>
                <w:tcPr>
                  <w:tcW w:w="1920" w:type="pct"/>
                  <w:tcBorders>
                    <w:tl2br w:val="nil"/>
                    <w:tr2bl w:val="nil"/>
                  </w:tcBorders>
                  <w:shd w:val="clear" w:color="auto" w:fill="auto"/>
                  <w:noWrap w:val="0"/>
                  <w:vAlign w:val="center"/>
                </w:tcPr>
                <w:p w14:paraId="5A2C5A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五日生化需氧量</w:t>
                  </w:r>
                  <w:r>
                    <w:rPr>
                      <w:rFonts w:hint="eastAsia" w:ascii="Times New Roman" w:hAnsi="Times New Roman" w:eastAsia="宋体" w:cs="Times New Roman"/>
                      <w:color w:val="auto"/>
                      <w:kern w:val="0"/>
                      <w:sz w:val="21"/>
                      <w:szCs w:val="21"/>
                      <w:lang w:val="en-US" w:eastAsia="zh-CN" w:bidi="ar-SA"/>
                    </w:rPr>
                    <w:t>（</w:t>
                  </w:r>
                  <w:r>
                    <w:rPr>
                      <w:rFonts w:ascii="Times New Roman" w:hAnsi="Times New Roman" w:eastAsia="宋体" w:cs="Times New Roman"/>
                      <w:color w:val="auto"/>
                      <w:kern w:val="0"/>
                      <w:sz w:val="21"/>
                      <w:szCs w:val="21"/>
                      <w:lang w:val="en-US" w:eastAsia="zh-CN" w:bidi="ar-SA"/>
                    </w:rPr>
                    <w:t>BOD</w:t>
                  </w:r>
                  <w:r>
                    <w:rPr>
                      <w:rFonts w:ascii="Times New Roman" w:hAnsi="Times New Roman" w:eastAsia="宋体" w:cs="Times New Roman"/>
                      <w:color w:val="auto"/>
                      <w:kern w:val="0"/>
                      <w:sz w:val="21"/>
                      <w:szCs w:val="21"/>
                      <w:vertAlign w:val="subscript"/>
                      <w:lang w:val="en-US" w:eastAsia="zh-CN" w:bidi="ar-SA"/>
                    </w:rPr>
                    <w:t>5</w:t>
                  </w:r>
                  <w:r>
                    <w:rPr>
                      <w:rFonts w:hint="eastAsia" w:ascii="Times New Roman" w:hAnsi="Times New Roman" w:eastAsia="宋体" w:cs="Times New Roman"/>
                      <w:color w:val="auto"/>
                      <w:kern w:val="0"/>
                      <w:sz w:val="21"/>
                      <w:szCs w:val="21"/>
                      <w:lang w:val="en-US" w:eastAsia="zh-CN" w:bidi="ar-SA"/>
                    </w:rPr>
                    <w:t>）</w:t>
                  </w:r>
                  <w:r>
                    <w:rPr>
                      <w:rFonts w:ascii="Times New Roman" w:hAnsi="Times New Roman" w:eastAsia="宋体" w:cs="Times New Roman"/>
                      <w:color w:val="auto"/>
                      <w:kern w:val="0"/>
                      <w:sz w:val="21"/>
                      <w:szCs w:val="21"/>
                      <w:lang w:val="en-US" w:eastAsia="zh-CN" w:bidi="ar-SA"/>
                    </w:rPr>
                    <w:t>≤</w:t>
                  </w:r>
                </w:p>
              </w:tc>
              <w:tc>
                <w:tcPr>
                  <w:tcW w:w="739" w:type="pct"/>
                  <w:tcBorders>
                    <w:tl2br w:val="nil"/>
                    <w:tr2bl w:val="nil"/>
                  </w:tcBorders>
                  <w:shd w:val="clear" w:color="auto" w:fill="auto"/>
                  <w:noWrap w:val="0"/>
                  <w:vAlign w:val="center"/>
                </w:tcPr>
                <w:p w14:paraId="3868F1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3</w:t>
                  </w:r>
                </w:p>
              </w:tc>
              <w:tc>
                <w:tcPr>
                  <w:tcW w:w="586" w:type="pct"/>
                  <w:tcBorders>
                    <w:tl2br w:val="nil"/>
                    <w:tr2bl w:val="nil"/>
                  </w:tcBorders>
                  <w:shd w:val="clear" w:color="auto" w:fill="A4A4A4"/>
                  <w:noWrap w:val="0"/>
                  <w:vAlign w:val="center"/>
                </w:tcPr>
                <w:p w14:paraId="79BA59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4</w:t>
                  </w:r>
                </w:p>
              </w:tc>
              <w:tc>
                <w:tcPr>
                  <w:tcW w:w="584" w:type="pct"/>
                  <w:tcBorders>
                    <w:tl2br w:val="nil"/>
                    <w:tr2bl w:val="nil"/>
                  </w:tcBorders>
                  <w:shd w:val="clear" w:color="auto" w:fill="auto"/>
                  <w:noWrap w:val="0"/>
                  <w:vAlign w:val="center"/>
                </w:tcPr>
                <w:p w14:paraId="2B9B5A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6</w:t>
                  </w:r>
                </w:p>
              </w:tc>
              <w:tc>
                <w:tcPr>
                  <w:tcW w:w="587" w:type="pct"/>
                  <w:tcBorders>
                    <w:tl2br w:val="nil"/>
                    <w:tr2bl w:val="nil"/>
                  </w:tcBorders>
                  <w:shd w:val="clear" w:color="auto" w:fill="auto"/>
                  <w:noWrap w:val="0"/>
                  <w:vAlign w:val="center"/>
                </w:tcPr>
                <w:p w14:paraId="3FF996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10</w:t>
                  </w:r>
                </w:p>
              </w:tc>
            </w:tr>
            <w:tr w14:paraId="2C91230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28" w:type="dxa"/>
                  <w:bottom w:w="0" w:type="dxa"/>
                  <w:right w:w="28" w:type="dxa"/>
                </w:tblCellMar>
              </w:tblPrEx>
              <w:trPr>
                <w:cantSplit/>
                <w:trHeight w:val="397" w:hRule="exact"/>
                <w:jc w:val="center"/>
              </w:trPr>
              <w:tc>
                <w:tcPr>
                  <w:tcW w:w="581" w:type="pct"/>
                  <w:tcBorders>
                    <w:tl2br w:val="nil"/>
                    <w:tr2bl w:val="nil"/>
                  </w:tcBorders>
                  <w:shd w:val="clear" w:color="auto" w:fill="auto"/>
                  <w:noWrap w:val="0"/>
                  <w:vAlign w:val="center"/>
                </w:tcPr>
                <w:p w14:paraId="4937EC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1"/>
                      <w:lang w:val="en-US" w:eastAsia="zh-CN" w:bidi="ar-SA"/>
                    </w:rPr>
                  </w:pPr>
                  <w:bookmarkStart w:id="49" w:name="_Toc15753"/>
                  <w:r>
                    <w:rPr>
                      <w:rFonts w:hint="eastAsia" w:cs="Times New Roman"/>
                      <w:color w:val="auto"/>
                      <w:kern w:val="0"/>
                      <w:sz w:val="21"/>
                      <w:szCs w:val="21"/>
                      <w:lang w:val="en-US" w:eastAsia="zh-CN" w:bidi="ar-SA"/>
                    </w:rPr>
                    <w:t>8</w:t>
                  </w:r>
                </w:p>
              </w:tc>
              <w:tc>
                <w:tcPr>
                  <w:tcW w:w="1920" w:type="pct"/>
                  <w:tcBorders>
                    <w:tl2br w:val="nil"/>
                    <w:tr2bl w:val="nil"/>
                  </w:tcBorders>
                  <w:shd w:val="clear" w:color="auto" w:fill="auto"/>
                  <w:noWrap w:val="0"/>
                  <w:vAlign w:val="center"/>
                </w:tcPr>
                <w:p w14:paraId="49EE36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阴离子表面活性剂≤</w:t>
                  </w:r>
                </w:p>
              </w:tc>
              <w:tc>
                <w:tcPr>
                  <w:tcW w:w="739" w:type="pct"/>
                  <w:tcBorders>
                    <w:tl2br w:val="nil"/>
                    <w:tr2bl w:val="nil"/>
                  </w:tcBorders>
                  <w:shd w:val="clear" w:color="auto" w:fill="auto"/>
                  <w:noWrap w:val="0"/>
                  <w:vAlign w:val="center"/>
                </w:tcPr>
                <w:p w14:paraId="3149CD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0.2</w:t>
                  </w:r>
                </w:p>
              </w:tc>
              <w:tc>
                <w:tcPr>
                  <w:tcW w:w="586" w:type="pct"/>
                  <w:tcBorders>
                    <w:tl2br w:val="nil"/>
                    <w:tr2bl w:val="nil"/>
                  </w:tcBorders>
                  <w:shd w:val="clear" w:color="auto" w:fill="A4A4A4"/>
                  <w:noWrap w:val="0"/>
                  <w:vAlign w:val="center"/>
                </w:tcPr>
                <w:p w14:paraId="4086F3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eastAsia="Times New Roman"/>
                      <w:color w:val="auto"/>
                      <w:spacing w:val="2"/>
                      <w:szCs w:val="21"/>
                    </w:rPr>
                  </w:pPr>
                  <w:r>
                    <w:rPr>
                      <w:rFonts w:eastAsia="Times New Roman"/>
                      <w:color w:val="auto"/>
                      <w:spacing w:val="1"/>
                      <w:szCs w:val="21"/>
                    </w:rPr>
                    <w:t>0.2</w:t>
                  </w:r>
                </w:p>
              </w:tc>
              <w:tc>
                <w:tcPr>
                  <w:tcW w:w="584" w:type="pct"/>
                  <w:tcBorders>
                    <w:tl2br w:val="nil"/>
                    <w:tr2bl w:val="nil"/>
                  </w:tcBorders>
                  <w:shd w:val="clear" w:color="auto" w:fill="auto"/>
                  <w:noWrap w:val="0"/>
                  <w:vAlign w:val="center"/>
                </w:tcPr>
                <w:p w14:paraId="053757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0.3</w:t>
                  </w:r>
                </w:p>
              </w:tc>
              <w:tc>
                <w:tcPr>
                  <w:tcW w:w="587" w:type="pct"/>
                  <w:tcBorders>
                    <w:tl2br w:val="nil"/>
                    <w:tr2bl w:val="nil"/>
                  </w:tcBorders>
                  <w:shd w:val="clear" w:color="auto" w:fill="auto"/>
                  <w:noWrap w:val="0"/>
                  <w:vAlign w:val="center"/>
                </w:tcPr>
                <w:p w14:paraId="3B4E21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0.3</w:t>
                  </w:r>
                </w:p>
              </w:tc>
            </w:tr>
          </w:tbl>
          <w:p w14:paraId="12757FBF">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3.2.2地表水环境质量现状</w:t>
            </w:r>
            <w:bookmarkEnd w:id="49"/>
          </w:p>
          <w:p w14:paraId="13D7DC7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w:t>
            </w:r>
            <w:r>
              <w:rPr>
                <w:rFonts w:hint="default" w:ascii="Times New Roman" w:hAnsi="Times New Roman" w:eastAsia="宋体" w:cs="宋体"/>
                <w:color w:val="auto"/>
                <w:kern w:val="2"/>
                <w:sz w:val="24"/>
                <w:szCs w:val="24"/>
                <w:lang w:val="en-US" w:eastAsia="zh-CN" w:bidi="ar-SA"/>
              </w:rPr>
              <w:t>地表水水质现状调查</w:t>
            </w:r>
          </w:p>
          <w:p w14:paraId="30E45158">
            <w:pPr>
              <w:pStyle w:val="5"/>
              <w:bidi w:val="0"/>
              <w:rPr>
                <w:rFonts w:hint="eastAsia" w:ascii="Times New Roman" w:hAnsi="Times New Roman" w:eastAsia="宋体" w:cs="宋体"/>
                <w:color w:val="auto"/>
                <w:lang w:val="en-US" w:eastAsia="zh-CN"/>
              </w:rPr>
            </w:pPr>
            <w:r>
              <w:rPr>
                <w:rFonts w:hint="default" w:ascii="Times New Roman" w:hAnsi="Times New Roman"/>
                <w:color w:val="auto"/>
                <w:lang w:val="en-US" w:eastAsia="zh-CN"/>
              </w:rPr>
              <w:t>本项目南侧为</w:t>
            </w:r>
            <w:r>
              <w:rPr>
                <w:rFonts w:hint="eastAsia" w:ascii="Times New Roman" w:hAnsi="Times New Roman" w:eastAsia="宋体" w:cs="宋体"/>
                <w:color w:val="auto"/>
                <w:lang w:val="en-US" w:eastAsia="zh-CN"/>
              </w:rPr>
              <w:t>溪源溪</w:t>
            </w:r>
            <w:r>
              <w:rPr>
                <w:rFonts w:hint="default" w:ascii="Times New Roman" w:hAnsi="Times New Roman"/>
                <w:color w:val="auto"/>
                <w:lang w:val="en-US" w:eastAsia="zh-CN"/>
              </w:rPr>
              <w:t>（</w:t>
            </w:r>
            <w:r>
              <w:rPr>
                <w:rFonts w:hint="default" w:ascii="Times New Roman" w:hAnsi="Times New Roman" w:eastAsia="宋体" w:cs="宋体"/>
                <w:color w:val="auto"/>
                <w:lang w:val="en-US" w:eastAsia="zh-CN"/>
              </w:rPr>
              <w:t>闽江南港（乌龙江）支流</w:t>
            </w:r>
            <w:r>
              <w:rPr>
                <w:rFonts w:hint="default" w:ascii="Times New Roman" w:hAnsi="Times New Roman"/>
                <w:color w:val="auto"/>
                <w:lang w:val="en-US" w:eastAsia="zh-CN"/>
              </w:rPr>
              <w:t>，汇入</w:t>
            </w:r>
            <w:r>
              <w:rPr>
                <w:rFonts w:ascii="宋体" w:hAnsi="宋体" w:eastAsia="宋体" w:cs="宋体"/>
                <w:color w:val="auto"/>
                <w:sz w:val="24"/>
                <w:szCs w:val="24"/>
              </w:rPr>
              <w:t>闽江南港（乌龙江）</w:t>
            </w:r>
            <w:r>
              <w:rPr>
                <w:rFonts w:hint="default" w:ascii="Times New Roman" w:hAnsi="Times New Roman"/>
                <w:color w:val="auto"/>
                <w:lang w:val="en-US" w:eastAsia="zh-CN"/>
              </w:rPr>
              <w:t>）。根据福建省生态环境厅网站上公布的《</w:t>
            </w:r>
            <w:r>
              <w:rPr>
                <w:rFonts w:hint="eastAsia" w:ascii="Times New Roman" w:hAnsi="Times New Roman"/>
                <w:color w:val="auto"/>
                <w:lang w:val="en-US" w:eastAsia="zh-CN"/>
              </w:rPr>
              <w:t>水质</w:t>
            </w:r>
            <w:r>
              <w:rPr>
                <w:rFonts w:hint="default" w:ascii="Times New Roman" w:hAnsi="Times New Roman"/>
                <w:color w:val="auto"/>
                <w:lang w:val="en-US" w:eastAsia="zh-CN"/>
              </w:rPr>
              <w:t>周报》</w:t>
            </w:r>
            <w:r>
              <w:rPr>
                <w:rFonts w:hint="default" w:ascii="Times New Roman" w:hAnsi="Times New Roman" w:eastAsia="宋体" w:cs="宋体"/>
                <w:color w:val="auto"/>
                <w:lang w:val="en-US" w:eastAsia="zh-CN"/>
              </w:rPr>
              <w:t>，</w:t>
            </w:r>
            <w:r>
              <w:rPr>
                <w:rFonts w:hint="eastAsia" w:ascii="Times New Roman" w:hAnsi="Times New Roman" w:eastAsia="宋体" w:cs="宋体"/>
                <w:color w:val="auto"/>
                <w:lang w:val="en-US" w:eastAsia="zh-CN"/>
              </w:rPr>
              <w:t>2026年第19周</w:t>
            </w:r>
            <w:r>
              <w:rPr>
                <w:rFonts w:hint="default" w:ascii="Times New Roman" w:hAnsi="Times New Roman" w:eastAsia="宋体" w:cs="宋体"/>
                <w:color w:val="auto"/>
                <w:lang w:val="en-US" w:eastAsia="zh-CN"/>
              </w:rPr>
              <w:t>福州文山里（干流，乌龙江段代表）</w:t>
            </w:r>
            <w:r>
              <w:rPr>
                <w:rFonts w:hint="eastAsia" w:ascii="Times New Roman" w:hAnsi="Times New Roman" w:eastAsia="宋体" w:cs="宋体"/>
                <w:color w:val="auto"/>
                <w:lang w:val="en-US" w:eastAsia="zh-CN"/>
              </w:rPr>
              <w:t>水质各污染物因子达到《地表水环境质量标准》Ⅲ类水质标准，详见图3.2-1。</w:t>
            </w:r>
          </w:p>
          <w:p w14:paraId="6FFE70B5">
            <w:pPr>
              <w:pStyle w:val="5"/>
              <w:bidi w:val="0"/>
              <w:spacing w:line="240" w:lineRule="auto"/>
              <w:ind w:firstLine="0" w:firstLineChars="0"/>
              <w:rPr>
                <w:rFonts w:hint="default" w:ascii="Times New Roman" w:hAnsi="Times New Roman"/>
                <w:color w:val="auto"/>
                <w:lang w:val="en-US" w:eastAsia="zh-CN"/>
              </w:rPr>
            </w:pPr>
            <w:r>
              <w:rPr>
                <w:color w:val="auto"/>
              </w:rPr>
              <w:drawing>
                <wp:inline distT="0" distB="0" distL="114300" distR="114300">
                  <wp:extent cx="5415280" cy="2715895"/>
                  <wp:effectExtent l="0" t="0" r="13970" b="8255"/>
                  <wp:docPr id="1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3"/>
                          <pic:cNvPicPr>
                            <a:picLocks noChangeAspect="1"/>
                          </pic:cNvPicPr>
                        </pic:nvPicPr>
                        <pic:blipFill>
                          <a:blip r:embed="rId13"/>
                          <a:stretch>
                            <a:fillRect/>
                          </a:stretch>
                        </pic:blipFill>
                        <pic:spPr>
                          <a:xfrm>
                            <a:off x="0" y="0"/>
                            <a:ext cx="5415280" cy="2715895"/>
                          </a:xfrm>
                          <a:prstGeom prst="rect">
                            <a:avLst/>
                          </a:prstGeom>
                          <a:noFill/>
                          <a:ln>
                            <a:noFill/>
                          </a:ln>
                        </pic:spPr>
                      </pic:pic>
                    </a:graphicData>
                  </a:graphic>
                </wp:inline>
              </w:drawing>
            </w:r>
          </w:p>
          <w:p w14:paraId="4DC7B94B">
            <w:pPr>
              <w:pStyle w:val="27"/>
              <w:bidi w:val="0"/>
              <w:rPr>
                <w:rFonts w:hint="eastAsia" w:ascii="Times New Roman" w:hAnsi="Times New Roman"/>
                <w:color w:val="auto"/>
                <w:lang w:val="en-US" w:eastAsia="zh-CN"/>
              </w:rPr>
            </w:pPr>
            <w:r>
              <w:rPr>
                <w:rFonts w:hint="eastAsia" w:ascii="Times New Roman" w:hAnsi="Times New Roman"/>
                <w:color w:val="auto"/>
                <w:lang w:val="en-US" w:eastAsia="zh-CN"/>
              </w:rPr>
              <w:t>图3.2-1</w:t>
            </w:r>
            <w:r>
              <w:rPr>
                <w:rFonts w:hint="eastAsia"/>
                <w:color w:val="auto"/>
                <w:lang w:val="en-US" w:eastAsia="zh-CN"/>
              </w:rPr>
              <w:t xml:space="preserve">  </w:t>
            </w:r>
            <w:r>
              <w:rPr>
                <w:rFonts w:hint="eastAsia" w:ascii="Times New Roman" w:hAnsi="Times New Roman"/>
                <w:color w:val="auto"/>
                <w:lang w:val="en-US" w:eastAsia="zh-CN"/>
              </w:rPr>
              <w:t>福建省生态环境厅《水质周报》截图</w:t>
            </w:r>
          </w:p>
          <w:p w14:paraId="07A5E24B">
            <w:pPr>
              <w:pStyle w:val="5"/>
              <w:bidi w:val="0"/>
              <w:rPr>
                <w:rFonts w:hint="default" w:ascii="Times New Roman" w:hAnsi="Times New Roman"/>
                <w:color w:val="auto"/>
                <w:lang w:val="en-US" w:eastAsia="zh-CN"/>
              </w:rPr>
            </w:pPr>
            <w:r>
              <w:rPr>
                <w:rFonts w:hint="eastAsia" w:ascii="Times New Roman" w:hAnsi="Times New Roman"/>
                <w:color w:val="auto"/>
                <w:lang w:val="en-US" w:eastAsia="zh-CN"/>
              </w:rPr>
              <w:t>（2）</w:t>
            </w:r>
            <w:r>
              <w:rPr>
                <w:rFonts w:hint="default" w:ascii="Times New Roman" w:hAnsi="Times New Roman"/>
                <w:color w:val="auto"/>
                <w:lang w:val="en-US" w:eastAsia="zh-CN"/>
              </w:rPr>
              <w:t>引用资料的有效性分析</w:t>
            </w:r>
          </w:p>
          <w:p w14:paraId="2D8F99C5">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根据《建设项目环境影响报告表编制技术指南</w:t>
            </w:r>
            <w:r>
              <w:rPr>
                <w:rFonts w:hint="eastAsia" w:ascii="Times New Roman" w:hAnsi="Times New Roman"/>
                <w:color w:val="auto"/>
                <w:lang w:val="en-US" w:eastAsia="zh-CN"/>
              </w:rPr>
              <w:t>（</w:t>
            </w:r>
            <w:r>
              <w:rPr>
                <w:rFonts w:hint="default" w:ascii="Times New Roman" w:hAnsi="Times New Roman"/>
                <w:color w:val="auto"/>
                <w:lang w:val="en-US" w:eastAsia="zh-CN"/>
              </w:rPr>
              <w:t>污染影响类</w:t>
            </w:r>
            <w:r>
              <w:rPr>
                <w:rFonts w:hint="eastAsia" w:ascii="Times New Roman" w:hAnsi="Times New Roman"/>
                <w:color w:val="auto"/>
                <w:lang w:val="en-US" w:eastAsia="zh-CN"/>
              </w:rPr>
              <w:t>）（</w:t>
            </w:r>
            <w:r>
              <w:rPr>
                <w:rFonts w:hint="default" w:ascii="Times New Roman" w:hAnsi="Times New Roman"/>
                <w:color w:val="auto"/>
                <w:lang w:val="en-US" w:eastAsia="zh-CN"/>
              </w:rPr>
              <w:t>试行</w:t>
            </w:r>
            <w:r>
              <w:rPr>
                <w:rFonts w:hint="eastAsia" w:ascii="Times New Roman" w:hAnsi="Times New Roman"/>
                <w:color w:val="auto"/>
                <w:lang w:val="en-US" w:eastAsia="zh-CN"/>
              </w:rPr>
              <w:t>）</w:t>
            </w:r>
            <w:r>
              <w:rPr>
                <w:rFonts w:hint="default" w:ascii="Times New Roman" w:hAnsi="Times New Roman"/>
                <w:color w:val="auto"/>
                <w:lang w:val="en-US" w:eastAsia="zh-CN"/>
              </w:rPr>
              <w:t>》</w:t>
            </w:r>
            <w:r>
              <w:rPr>
                <w:rFonts w:hint="eastAsia" w:ascii="Times New Roman" w:hAnsi="Times New Roman"/>
                <w:color w:val="auto"/>
                <w:lang w:val="en-US" w:eastAsia="zh-CN"/>
              </w:rPr>
              <w:t>（</w:t>
            </w:r>
            <w:r>
              <w:rPr>
                <w:rFonts w:hint="default" w:ascii="Times New Roman" w:hAnsi="Times New Roman"/>
                <w:color w:val="auto"/>
                <w:lang w:val="en-US" w:eastAsia="zh-CN"/>
              </w:rPr>
              <w:t>环办环评〔2020〕33号</w:t>
            </w:r>
            <w:r>
              <w:rPr>
                <w:rFonts w:hint="eastAsia" w:ascii="Times New Roman" w:hAnsi="Times New Roman"/>
                <w:color w:val="auto"/>
                <w:lang w:val="en-US" w:eastAsia="zh-CN"/>
              </w:rPr>
              <w:t>）</w:t>
            </w:r>
            <w:r>
              <w:rPr>
                <w:rFonts w:hint="default" w:ascii="Times New Roman" w:hAnsi="Times New Roman"/>
                <w:color w:val="auto"/>
                <w:lang w:val="en-US" w:eastAsia="zh-CN"/>
              </w:rPr>
              <w:t>的要求：</w:t>
            </w:r>
            <w:r>
              <w:rPr>
                <w:rFonts w:hint="eastAsia" w:ascii="Times New Roman" w:hAnsi="Times New Roman"/>
                <w:color w:val="auto"/>
                <w:lang w:val="en-US" w:eastAsia="zh-CN"/>
              </w:rPr>
              <w:t>“</w:t>
            </w:r>
            <w:r>
              <w:rPr>
                <w:rFonts w:hint="default" w:ascii="Times New Roman" w:hAnsi="Times New Roman"/>
                <w:color w:val="auto"/>
                <w:lang w:val="en-US" w:eastAsia="zh-CN"/>
              </w:rPr>
              <w:t>地表水环境区域环境质量现状引用与建设项目距离近的有效数据，包括近3年的规划环境影响评价的监测数据，所在流域控制单元内国家、地方控制断面监测数据，生态环境主管部门发布的水环境质量数据或地表水达标情况的结论</w:t>
            </w:r>
            <w:r>
              <w:rPr>
                <w:rFonts w:hint="eastAsia" w:ascii="Times New Roman" w:hAnsi="Times New Roman"/>
                <w:color w:val="auto"/>
                <w:lang w:val="en-US" w:eastAsia="zh-CN"/>
              </w:rPr>
              <w:t>”</w:t>
            </w:r>
            <w:r>
              <w:rPr>
                <w:rFonts w:hint="default" w:ascii="Times New Roman" w:hAnsi="Times New Roman"/>
                <w:color w:val="auto"/>
                <w:lang w:val="en-US" w:eastAsia="zh-CN"/>
              </w:rPr>
              <w:t>。</w:t>
            </w:r>
            <w:r>
              <w:rPr>
                <w:rFonts w:hint="eastAsia"/>
                <w:color w:val="auto"/>
                <w:lang w:val="en-US" w:eastAsia="zh-CN"/>
              </w:rPr>
              <w:t>本次</w:t>
            </w:r>
            <w:r>
              <w:rPr>
                <w:rFonts w:hint="default" w:ascii="Times New Roman" w:hAnsi="Times New Roman"/>
                <w:color w:val="auto"/>
                <w:lang w:val="en-US" w:eastAsia="zh-CN"/>
              </w:rPr>
              <w:t>评价数据有效，符合《建设项目环境影响报告表编制技术指南</w:t>
            </w:r>
            <w:r>
              <w:rPr>
                <w:rFonts w:hint="eastAsia" w:ascii="Times New Roman" w:hAnsi="Times New Roman"/>
                <w:color w:val="auto"/>
                <w:lang w:val="en-US" w:eastAsia="zh-CN"/>
              </w:rPr>
              <w:t>（</w:t>
            </w:r>
            <w:r>
              <w:rPr>
                <w:rFonts w:hint="default" w:ascii="Times New Roman" w:hAnsi="Times New Roman"/>
                <w:color w:val="auto"/>
                <w:lang w:val="en-US" w:eastAsia="zh-CN"/>
              </w:rPr>
              <w:t>污染影响类</w:t>
            </w:r>
            <w:r>
              <w:rPr>
                <w:rFonts w:hint="eastAsia" w:ascii="Times New Roman" w:hAnsi="Times New Roman"/>
                <w:color w:val="auto"/>
                <w:lang w:val="en-US" w:eastAsia="zh-CN"/>
              </w:rPr>
              <w:t>）（</w:t>
            </w:r>
            <w:r>
              <w:rPr>
                <w:rFonts w:hint="default" w:ascii="Times New Roman" w:hAnsi="Times New Roman"/>
                <w:color w:val="auto"/>
                <w:lang w:val="en-US" w:eastAsia="zh-CN"/>
              </w:rPr>
              <w:t>试行</w:t>
            </w:r>
            <w:r>
              <w:rPr>
                <w:rFonts w:hint="eastAsia" w:ascii="Times New Roman" w:hAnsi="Times New Roman"/>
                <w:color w:val="auto"/>
                <w:lang w:val="en-US" w:eastAsia="zh-CN"/>
              </w:rPr>
              <w:t>）</w:t>
            </w:r>
            <w:r>
              <w:rPr>
                <w:rFonts w:hint="default" w:ascii="Times New Roman" w:hAnsi="Times New Roman"/>
                <w:color w:val="auto"/>
                <w:lang w:val="en-US" w:eastAsia="zh-CN"/>
              </w:rPr>
              <w:t>》</w:t>
            </w:r>
            <w:r>
              <w:rPr>
                <w:rFonts w:hint="eastAsia" w:ascii="Times New Roman" w:hAnsi="Times New Roman"/>
                <w:color w:val="auto"/>
                <w:lang w:val="en-US" w:eastAsia="zh-CN"/>
              </w:rPr>
              <w:t>（</w:t>
            </w:r>
            <w:r>
              <w:rPr>
                <w:rFonts w:hint="default" w:ascii="Times New Roman" w:hAnsi="Times New Roman"/>
                <w:color w:val="auto"/>
                <w:lang w:val="en-US" w:eastAsia="zh-CN"/>
              </w:rPr>
              <w:t>环办环评〔2020〕33号</w:t>
            </w:r>
            <w:r>
              <w:rPr>
                <w:rFonts w:hint="eastAsia" w:ascii="Times New Roman" w:hAnsi="Times New Roman"/>
                <w:color w:val="auto"/>
                <w:lang w:val="en-US" w:eastAsia="zh-CN"/>
              </w:rPr>
              <w:t>）</w:t>
            </w:r>
            <w:r>
              <w:rPr>
                <w:rFonts w:hint="default" w:ascii="Times New Roman" w:hAnsi="Times New Roman"/>
                <w:color w:val="auto"/>
                <w:lang w:val="en-US" w:eastAsia="zh-CN"/>
              </w:rPr>
              <w:t>的要求。</w:t>
            </w:r>
          </w:p>
          <w:p w14:paraId="52BA6B22">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50" w:name="_Toc26680"/>
            <w:bookmarkStart w:id="51" w:name="_Toc1929"/>
            <w:r>
              <w:rPr>
                <w:rFonts w:hint="eastAsia" w:ascii="Times New Roman" w:hAnsi="Times New Roman" w:eastAsia="宋体" w:cs="Times New Roman"/>
                <w:b/>
                <w:color w:val="auto"/>
                <w:kern w:val="2"/>
                <w:sz w:val="28"/>
                <w:szCs w:val="24"/>
                <w:lang w:val="en-US" w:eastAsia="zh-CN" w:bidi="ar-SA"/>
              </w:rPr>
              <w:t>3.3声环境质量现状</w:t>
            </w:r>
            <w:bookmarkEnd w:id="50"/>
            <w:bookmarkEnd w:id="51"/>
          </w:p>
          <w:p w14:paraId="5FF26CBA">
            <w:pPr>
              <w:keepNext/>
              <w:keepLines/>
              <w:widowControl w:val="0"/>
              <w:bidi w:val="0"/>
              <w:spacing w:beforeLines="0" w:beforeAutospacing="0" w:afterLines="0" w:afterAutospacing="0" w:line="360" w:lineRule="auto"/>
              <w:jc w:val="left"/>
              <w:outlineLvl w:val="2"/>
              <w:rPr>
                <w:rFonts w:hint="default" w:ascii="Times New Roman" w:hAnsi="Times New Roman" w:eastAsia="宋体" w:cs="Times New Roman"/>
                <w:b/>
                <w:color w:val="auto"/>
                <w:kern w:val="2"/>
                <w:sz w:val="24"/>
                <w:szCs w:val="24"/>
                <w:lang w:val="en-US" w:eastAsia="zh-CN" w:bidi="ar-SA"/>
              </w:rPr>
            </w:pPr>
            <w:bookmarkStart w:id="52" w:name="_Toc2382"/>
            <w:r>
              <w:rPr>
                <w:rFonts w:hint="eastAsia" w:ascii="Times New Roman" w:hAnsi="Times New Roman" w:eastAsia="宋体" w:cs="Times New Roman"/>
                <w:b/>
                <w:color w:val="auto"/>
                <w:kern w:val="2"/>
                <w:sz w:val="24"/>
                <w:szCs w:val="24"/>
                <w:lang w:val="en-US" w:eastAsia="zh-CN" w:bidi="ar-SA"/>
              </w:rPr>
              <w:t>3.3.1声环境功能区划</w:t>
            </w:r>
            <w:bookmarkEnd w:id="52"/>
          </w:p>
          <w:p w14:paraId="070BC5A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项目</w:t>
            </w:r>
            <w:r>
              <w:rPr>
                <w:rFonts w:hint="eastAsia" w:ascii="Times New Roman" w:hAnsi="Times New Roman" w:eastAsia="宋体" w:cs="宋体"/>
                <w:color w:val="auto"/>
                <w:kern w:val="2"/>
                <w:sz w:val="24"/>
                <w:szCs w:val="24"/>
                <w:lang w:val="en-US" w:eastAsia="zh-CN" w:bidi="ar-SA"/>
              </w:rPr>
              <w:t>位于</w:t>
            </w:r>
            <w:r>
              <w:rPr>
                <w:rFonts w:hint="eastAsia" w:cs="宋体"/>
                <w:color w:val="auto"/>
                <w:kern w:val="2"/>
                <w:sz w:val="24"/>
                <w:szCs w:val="24"/>
                <w:lang w:val="en-US" w:eastAsia="zh-CN" w:bidi="ar-SA"/>
              </w:rPr>
              <w:t>福建省福州市闽侯县上街镇马保村后园32号2号楼1层</w:t>
            </w:r>
            <w:r>
              <w:rPr>
                <w:rFonts w:hint="default"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项目周边以工业生产、仓储物流为主要功能的区域，项目所在区域声环境为3类功能区，声环境功能执行《声环境质量标准》</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GB3096-2008</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表1中3类标准</w:t>
            </w:r>
            <w:r>
              <w:rPr>
                <w:rFonts w:hint="eastAsia" w:ascii="Times New Roman" w:hAnsi="Times New Roman" w:eastAsia="宋体" w:cs="Times New Roman"/>
                <w:color w:val="auto"/>
                <w:sz w:val="24"/>
                <w:highlight w:val="none"/>
                <w:lang w:val="en-US" w:eastAsia="zh-CN"/>
              </w:rPr>
              <w:t>。</w:t>
            </w:r>
          </w:p>
          <w:p w14:paraId="41814960">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表3.3-1</w:t>
            </w:r>
            <w:r>
              <w:rPr>
                <w:rFonts w:hint="eastAsia" w:cs="Times New Roman"/>
                <w:b/>
                <w:color w:val="auto"/>
                <w:kern w:val="0"/>
                <w:sz w:val="24"/>
                <w:szCs w:val="20"/>
                <w:lang w:val="en-US" w:eastAsia="zh-CN" w:bidi="ar-SA"/>
              </w:rPr>
              <w:t xml:space="preserve">  </w:t>
            </w:r>
            <w:r>
              <w:rPr>
                <w:rFonts w:hint="eastAsia" w:ascii="Times New Roman" w:hAnsi="Times New Roman" w:eastAsia="宋体" w:cs="Times New Roman"/>
                <w:b/>
                <w:color w:val="auto"/>
                <w:kern w:val="0"/>
                <w:sz w:val="24"/>
                <w:szCs w:val="20"/>
                <w:lang w:val="en-US" w:eastAsia="zh-CN" w:bidi="ar-SA"/>
              </w:rPr>
              <w:t>《声环境质量标准》（GB3096-2008）</w:t>
            </w:r>
          </w:p>
          <w:tbl>
            <w:tblPr>
              <w:tblStyle w:val="20"/>
              <w:tblW w:w="4999"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3987"/>
              <w:gridCol w:w="1361"/>
              <w:gridCol w:w="1446"/>
            </w:tblGrid>
            <w:tr w14:paraId="6623C7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5" w:type="pct"/>
                  <w:vMerge w:val="restart"/>
                  <w:tcBorders>
                    <w:tl2br w:val="nil"/>
                    <w:tr2bl w:val="nil"/>
                  </w:tcBorders>
                  <w:noWrap w:val="0"/>
                  <w:vAlign w:val="center"/>
                </w:tcPr>
                <w:p w14:paraId="3BC39D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标准类别</w:t>
                  </w:r>
                </w:p>
              </w:tc>
              <w:tc>
                <w:tcPr>
                  <w:tcW w:w="2367" w:type="pct"/>
                  <w:vMerge w:val="restart"/>
                  <w:tcBorders>
                    <w:tl2br w:val="nil"/>
                    <w:tr2bl w:val="nil"/>
                  </w:tcBorders>
                  <w:noWrap w:val="0"/>
                  <w:vAlign w:val="center"/>
                </w:tcPr>
                <w:p w14:paraId="5036F9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适用区域</w:t>
                  </w:r>
                </w:p>
              </w:tc>
              <w:tc>
                <w:tcPr>
                  <w:tcW w:w="1666" w:type="pct"/>
                  <w:gridSpan w:val="2"/>
                  <w:tcBorders>
                    <w:tl2br w:val="nil"/>
                    <w:tr2bl w:val="nil"/>
                  </w:tcBorders>
                  <w:noWrap w:val="0"/>
                  <w:vAlign w:val="center"/>
                </w:tcPr>
                <w:p w14:paraId="7BD40A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等效声级Leq</w:t>
                  </w:r>
                  <w:r>
                    <w:rPr>
                      <w:rFonts w:hint="eastAsia" w:ascii="Times New Roman" w:hAnsi="Times New Roman" w:eastAsia="宋体" w:cs="Times New Roman"/>
                      <w:b/>
                      <w:bCs/>
                      <w:color w:val="auto"/>
                      <w:kern w:val="0"/>
                      <w:sz w:val="21"/>
                      <w:szCs w:val="20"/>
                      <w:lang w:val="en-US" w:eastAsia="zh-CN" w:bidi="ar-SA"/>
                    </w:rPr>
                    <w:t>（</w:t>
                  </w:r>
                  <w:r>
                    <w:rPr>
                      <w:rFonts w:ascii="Times New Roman" w:hAnsi="Times New Roman" w:eastAsia="宋体" w:cs="Times New Roman"/>
                      <w:b/>
                      <w:bCs/>
                      <w:color w:val="auto"/>
                      <w:kern w:val="0"/>
                      <w:sz w:val="21"/>
                      <w:szCs w:val="20"/>
                      <w:lang w:val="en-US" w:eastAsia="zh-CN" w:bidi="ar-SA"/>
                    </w:rPr>
                    <w:t>dB</w:t>
                  </w:r>
                  <w:r>
                    <w:rPr>
                      <w:rFonts w:hint="eastAsia" w:ascii="Times New Roman" w:hAnsi="Times New Roman" w:eastAsia="宋体" w:cs="Times New Roman"/>
                      <w:b/>
                      <w:bCs/>
                      <w:color w:val="auto"/>
                      <w:kern w:val="0"/>
                      <w:sz w:val="21"/>
                      <w:szCs w:val="20"/>
                      <w:lang w:val="en-US" w:eastAsia="zh-CN" w:bidi="ar-SA"/>
                    </w:rPr>
                    <w:t>（</w:t>
                  </w:r>
                  <w:r>
                    <w:rPr>
                      <w:rFonts w:ascii="Times New Roman" w:hAnsi="Times New Roman" w:eastAsia="宋体" w:cs="Times New Roman"/>
                      <w:b/>
                      <w:bCs/>
                      <w:color w:val="auto"/>
                      <w:kern w:val="0"/>
                      <w:sz w:val="21"/>
                      <w:szCs w:val="20"/>
                      <w:lang w:val="en-US" w:eastAsia="zh-CN" w:bidi="ar-SA"/>
                    </w:rPr>
                    <w:t>A</w:t>
                  </w:r>
                  <w:r>
                    <w:rPr>
                      <w:rFonts w:hint="eastAsia" w:ascii="Times New Roman" w:hAnsi="Times New Roman" w:eastAsia="宋体" w:cs="Times New Roman"/>
                      <w:b/>
                      <w:bCs/>
                      <w:color w:val="auto"/>
                      <w:kern w:val="0"/>
                      <w:sz w:val="21"/>
                      <w:szCs w:val="20"/>
                      <w:lang w:val="en-US" w:eastAsia="zh-CN" w:bidi="ar-SA"/>
                    </w:rPr>
                    <w:t>））</w:t>
                  </w:r>
                </w:p>
              </w:tc>
            </w:tr>
            <w:tr w14:paraId="71BB0F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5" w:type="pct"/>
                  <w:vMerge w:val="continue"/>
                  <w:tcBorders>
                    <w:tl2br w:val="nil"/>
                    <w:tr2bl w:val="nil"/>
                  </w:tcBorders>
                  <w:noWrap w:val="0"/>
                  <w:vAlign w:val="center"/>
                </w:tcPr>
                <w:p w14:paraId="616A55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p>
              </w:tc>
              <w:tc>
                <w:tcPr>
                  <w:tcW w:w="2367" w:type="pct"/>
                  <w:vMerge w:val="continue"/>
                  <w:tcBorders>
                    <w:tl2br w:val="nil"/>
                    <w:tr2bl w:val="nil"/>
                  </w:tcBorders>
                  <w:noWrap w:val="0"/>
                  <w:vAlign w:val="center"/>
                </w:tcPr>
                <w:p w14:paraId="1E5011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p>
              </w:tc>
              <w:tc>
                <w:tcPr>
                  <w:tcW w:w="808" w:type="pct"/>
                  <w:tcBorders>
                    <w:tl2br w:val="nil"/>
                    <w:tr2bl w:val="nil"/>
                  </w:tcBorders>
                  <w:noWrap w:val="0"/>
                  <w:vAlign w:val="center"/>
                </w:tcPr>
                <w:p w14:paraId="77F8EC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昼间</w:t>
                  </w:r>
                </w:p>
              </w:tc>
              <w:tc>
                <w:tcPr>
                  <w:tcW w:w="857" w:type="pct"/>
                  <w:tcBorders>
                    <w:tl2br w:val="nil"/>
                    <w:tr2bl w:val="nil"/>
                  </w:tcBorders>
                  <w:noWrap w:val="0"/>
                  <w:vAlign w:val="center"/>
                </w:tcPr>
                <w:p w14:paraId="530F99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夜间</w:t>
                  </w:r>
                </w:p>
              </w:tc>
            </w:tr>
            <w:tr w14:paraId="4C44A4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65" w:type="pct"/>
                  <w:tcBorders>
                    <w:tl2br w:val="nil"/>
                    <w:tr2bl w:val="nil"/>
                  </w:tcBorders>
                  <w:noWrap w:val="0"/>
                  <w:vAlign w:val="center"/>
                </w:tcPr>
                <w:p w14:paraId="335008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3</w:t>
                  </w:r>
                  <w:r>
                    <w:rPr>
                      <w:rFonts w:hint="eastAsia" w:ascii="Times New Roman" w:hAnsi="Times New Roman" w:eastAsia="宋体" w:cs="Times New Roman"/>
                      <w:color w:val="auto"/>
                      <w:kern w:val="0"/>
                      <w:sz w:val="21"/>
                      <w:szCs w:val="20"/>
                      <w:lang w:val="en-US" w:eastAsia="zh-CN" w:bidi="ar-SA"/>
                    </w:rPr>
                    <w:t>类</w:t>
                  </w:r>
                </w:p>
              </w:tc>
              <w:tc>
                <w:tcPr>
                  <w:tcW w:w="2367" w:type="pct"/>
                  <w:tcBorders>
                    <w:tl2br w:val="nil"/>
                    <w:tr2bl w:val="nil"/>
                  </w:tcBorders>
                  <w:noWrap w:val="0"/>
                  <w:vAlign w:val="center"/>
                </w:tcPr>
                <w:p w14:paraId="6EC126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指以工业生产、仓储物流为主要功能，需要防止工业噪声对周围环境产生严重影响的区域。</w:t>
                  </w:r>
                </w:p>
              </w:tc>
              <w:tc>
                <w:tcPr>
                  <w:tcW w:w="808" w:type="pct"/>
                  <w:tcBorders>
                    <w:tl2br w:val="nil"/>
                    <w:tr2bl w:val="nil"/>
                  </w:tcBorders>
                  <w:noWrap w:val="0"/>
                  <w:vAlign w:val="center"/>
                </w:tcPr>
                <w:p w14:paraId="237A00D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≤65</w:t>
                  </w:r>
                </w:p>
              </w:tc>
              <w:tc>
                <w:tcPr>
                  <w:tcW w:w="857" w:type="pct"/>
                  <w:tcBorders>
                    <w:tl2br w:val="nil"/>
                    <w:tr2bl w:val="nil"/>
                  </w:tcBorders>
                  <w:noWrap w:val="0"/>
                  <w:vAlign w:val="center"/>
                </w:tcPr>
                <w:p w14:paraId="244914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w:t>
                  </w:r>
                  <w:r>
                    <w:rPr>
                      <w:rFonts w:hint="eastAsia" w:ascii="Times New Roman" w:hAnsi="Times New Roman" w:eastAsia="宋体" w:cs="Times New Roman"/>
                      <w:color w:val="auto"/>
                      <w:kern w:val="0"/>
                      <w:sz w:val="21"/>
                      <w:szCs w:val="20"/>
                      <w:lang w:val="en-US" w:eastAsia="zh-CN" w:bidi="ar-SA"/>
                    </w:rPr>
                    <w:t>55</w:t>
                  </w:r>
                </w:p>
              </w:tc>
            </w:tr>
          </w:tbl>
          <w:p w14:paraId="7D02201B">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53" w:name="_Toc2465"/>
            <w:r>
              <w:rPr>
                <w:rFonts w:hint="eastAsia" w:ascii="Times New Roman" w:hAnsi="Times New Roman" w:eastAsia="宋体" w:cs="Times New Roman"/>
                <w:b/>
                <w:color w:val="auto"/>
                <w:kern w:val="2"/>
                <w:sz w:val="24"/>
                <w:szCs w:val="24"/>
                <w:lang w:val="en-US" w:eastAsia="zh-CN" w:bidi="ar-SA"/>
              </w:rPr>
              <w:t>3.3.2声环境质量现状</w:t>
            </w:r>
            <w:bookmarkEnd w:id="53"/>
          </w:p>
          <w:p w14:paraId="3C3E60B2">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根据《建设项目环境影响报告表编制技术指南（污染影响类）》</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环办环评〔2020〕33号</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要求，</w:t>
            </w:r>
            <w:r>
              <w:rPr>
                <w:rFonts w:hint="eastAsia" w:ascii="Times New Roman" w:hAnsi="Times New Roman" w:eastAsia="宋体" w:cs="宋体"/>
                <w:color w:val="auto"/>
                <w:kern w:val="2"/>
                <w:sz w:val="24"/>
                <w:szCs w:val="24"/>
                <w:lang w:val="en-US" w:eastAsia="zh-CN" w:bidi="ar-SA"/>
              </w:rPr>
              <w:t>“厂界外周边50米范围内存在声环境保护目标的建设项目，应监测保护目标声环境质量现状并评价达标情况。”</w:t>
            </w:r>
            <w:r>
              <w:rPr>
                <w:rFonts w:ascii="Times New Roman" w:hAnsi="Times New Roman" w:eastAsia="宋体" w:cs="宋体"/>
                <w:color w:val="auto"/>
                <w:kern w:val="2"/>
                <w:sz w:val="24"/>
                <w:szCs w:val="24"/>
                <w:lang w:val="en-US" w:eastAsia="zh-CN" w:bidi="ar-SA"/>
              </w:rPr>
              <w:t>根据现场踏勘可知，项目周边50米范围内无声环境保护目标，可不进行声环境质量现状的监测。</w:t>
            </w:r>
          </w:p>
          <w:p w14:paraId="15B81327">
            <w:pPr>
              <w:keepNext/>
              <w:keepLines/>
              <w:widowControl w:val="0"/>
              <w:bidi w:val="0"/>
              <w:spacing w:beforeLines="0" w:beforeAutospacing="0" w:afterLines="0" w:afterAutospacing="0" w:line="360" w:lineRule="auto"/>
              <w:jc w:val="left"/>
              <w:textAlignment w:val="center"/>
              <w:outlineLvl w:val="1"/>
              <w:rPr>
                <w:rFonts w:ascii="Times New Roman" w:hAnsi="Times New Roman" w:eastAsia="宋体" w:cs="Times New Roman"/>
                <w:b/>
                <w:color w:val="auto"/>
                <w:kern w:val="2"/>
                <w:sz w:val="28"/>
                <w:szCs w:val="24"/>
                <w:lang w:val="en-US" w:eastAsia="zh-CN" w:bidi="ar-SA"/>
              </w:rPr>
            </w:pPr>
            <w:bookmarkStart w:id="54" w:name="_Toc18672"/>
            <w:bookmarkStart w:id="55" w:name="_Toc5823"/>
            <w:r>
              <w:rPr>
                <w:rFonts w:ascii="Times New Roman" w:hAnsi="Times New Roman" w:eastAsia="宋体" w:cs="Times New Roman"/>
                <w:b/>
                <w:color w:val="auto"/>
                <w:kern w:val="2"/>
                <w:sz w:val="28"/>
                <w:szCs w:val="24"/>
                <w:lang w:val="en-US" w:eastAsia="zh-CN" w:bidi="ar-SA"/>
              </w:rPr>
              <w:t>3.4生态环境现状调查</w:t>
            </w:r>
            <w:bookmarkEnd w:id="54"/>
            <w:bookmarkEnd w:id="55"/>
          </w:p>
          <w:p w14:paraId="7CDABEBD">
            <w:pPr>
              <w:widowControl w:val="0"/>
              <w:bidi w:val="0"/>
              <w:spacing w:line="360" w:lineRule="auto"/>
              <w:ind w:firstLine="480" w:firstLineChars="200"/>
              <w:jc w:val="both"/>
              <w:rPr>
                <w:rFonts w:ascii="Times New Roman" w:hAnsi="Times New Roman" w:eastAsia="宋体" w:cs="宋体"/>
                <w:color w:val="auto"/>
                <w:kern w:val="2"/>
                <w:sz w:val="24"/>
                <w:szCs w:val="24"/>
                <w:lang w:val="zh-CN" w:eastAsia="zh-CN" w:bidi="ar-SA"/>
              </w:rPr>
            </w:pPr>
            <w:r>
              <w:rPr>
                <w:rFonts w:ascii="Times New Roman" w:hAnsi="Times New Roman" w:eastAsia="宋体" w:cs="宋体"/>
                <w:color w:val="auto"/>
                <w:kern w:val="2"/>
                <w:sz w:val="24"/>
                <w:szCs w:val="24"/>
                <w:lang w:val="en-US" w:eastAsia="zh-CN" w:bidi="ar-SA"/>
              </w:rPr>
              <w:t>根据现场勘查，目前</w:t>
            </w:r>
            <w:r>
              <w:rPr>
                <w:rFonts w:hint="eastAsia" w:ascii="Times New Roman" w:hAnsi="Times New Roman" w:eastAsia="宋体" w:cs="宋体"/>
                <w:color w:val="auto"/>
                <w:kern w:val="2"/>
                <w:sz w:val="24"/>
                <w:szCs w:val="24"/>
                <w:lang w:val="en-US" w:eastAsia="zh-CN" w:bidi="ar-SA"/>
              </w:rPr>
              <w:t>本项目利用现有地块内的建筑物，</w:t>
            </w:r>
            <w:r>
              <w:rPr>
                <w:rFonts w:ascii="Times New Roman" w:hAnsi="Times New Roman" w:eastAsia="宋体" w:cs="宋体"/>
                <w:color w:val="auto"/>
                <w:kern w:val="2"/>
                <w:sz w:val="24"/>
                <w:szCs w:val="24"/>
                <w:lang w:val="zh-CN" w:eastAsia="zh-CN" w:bidi="ar-SA"/>
              </w:rPr>
              <w:t>项目用地周边为城市道路、其他企业等，项目评价区域主要植被为草坪、行道树等景观树种，主要动物为常见的蛙类、鸟类和昆虫类等，评价区域内无珍稀濒危物种、自然保护区、风景名胜区等生态敏感目标。调查区域也未发现国家重点保护的野生动植物等，因此，本环评不对生态环境现状进行评价</w:t>
            </w:r>
            <w:r>
              <w:rPr>
                <w:rFonts w:ascii="Times New Roman" w:hAnsi="Times New Roman" w:eastAsia="宋体" w:cs="宋体"/>
                <w:color w:val="auto"/>
                <w:kern w:val="2"/>
                <w:sz w:val="24"/>
                <w:szCs w:val="24"/>
                <w:lang w:val="en-US" w:eastAsia="zh-CN" w:bidi="ar-SA"/>
              </w:rPr>
              <w:t>。</w:t>
            </w:r>
          </w:p>
          <w:p w14:paraId="1A1107FD">
            <w:pPr>
              <w:keepNext/>
              <w:keepLines/>
              <w:widowControl w:val="0"/>
              <w:bidi w:val="0"/>
              <w:spacing w:beforeLines="0" w:beforeAutospacing="0" w:afterLines="0" w:afterAutospacing="0" w:line="360" w:lineRule="auto"/>
              <w:jc w:val="left"/>
              <w:textAlignment w:val="center"/>
              <w:outlineLvl w:val="1"/>
              <w:rPr>
                <w:rFonts w:ascii="Times New Roman" w:hAnsi="Times New Roman" w:eastAsia="宋体" w:cs="Times New Roman"/>
                <w:b/>
                <w:color w:val="auto"/>
                <w:kern w:val="2"/>
                <w:sz w:val="28"/>
                <w:szCs w:val="24"/>
                <w:lang w:val="en-US" w:eastAsia="zh-CN" w:bidi="ar-SA"/>
              </w:rPr>
            </w:pPr>
            <w:bookmarkStart w:id="56" w:name="_Toc10453"/>
            <w:bookmarkStart w:id="57" w:name="_Toc5788"/>
            <w:bookmarkStart w:id="58" w:name="_Toc3033"/>
            <w:r>
              <w:rPr>
                <w:rFonts w:ascii="Times New Roman" w:hAnsi="Times New Roman" w:eastAsia="宋体" w:cs="Times New Roman"/>
                <w:b/>
                <w:color w:val="auto"/>
                <w:kern w:val="2"/>
                <w:sz w:val="28"/>
                <w:szCs w:val="24"/>
                <w:lang w:val="en-US" w:eastAsia="zh-CN" w:bidi="ar-SA"/>
              </w:rPr>
              <w:t>3.5地下水、土壤环境质量现状</w:t>
            </w:r>
            <w:bookmarkEnd w:id="56"/>
            <w:bookmarkEnd w:id="57"/>
            <w:bookmarkEnd w:id="58"/>
          </w:p>
          <w:p w14:paraId="76DFCC30">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根据《建设项目环境影响报告表编制技术指南</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污染影响类</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试行</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环办环评〔2020〕33号</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规定，</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原则上不开展环境质量现状调查。建设项目存在土壤、地下水环境污染途径的，应结合污染源、保护目标分布情况开展现状调查以留作背景值</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w:t>
            </w:r>
          </w:p>
          <w:p w14:paraId="25620791">
            <w:pPr>
              <w:pStyle w:val="5"/>
              <w:bidi w:val="0"/>
              <w:rPr>
                <w:rFonts w:hint="default" w:ascii="Times New Roman" w:hAnsi="Times New Roman"/>
                <w:color w:val="auto"/>
                <w:lang w:val="en-US" w:eastAsia="zh-CN"/>
              </w:rPr>
            </w:pPr>
            <w:r>
              <w:rPr>
                <w:rFonts w:ascii="Times New Roman" w:hAnsi="Times New Roman" w:eastAsia="宋体" w:cs="宋体"/>
                <w:color w:val="auto"/>
                <w:kern w:val="2"/>
                <w:sz w:val="24"/>
                <w:szCs w:val="24"/>
                <w:lang w:val="en-US" w:eastAsia="zh-CN" w:bidi="ar-SA"/>
              </w:rPr>
              <w:t>项目位于</w:t>
            </w:r>
            <w:r>
              <w:rPr>
                <w:rFonts w:hint="eastAsia" w:cs="宋体"/>
                <w:color w:val="auto"/>
                <w:kern w:val="2"/>
                <w:sz w:val="24"/>
                <w:szCs w:val="24"/>
                <w:lang w:val="en-US" w:eastAsia="zh-CN" w:bidi="ar-SA"/>
              </w:rPr>
              <w:t>福建省福州市闽侯县上街镇马保村后园32号2号楼1层</w:t>
            </w:r>
            <w:r>
              <w:rPr>
                <w:rFonts w:ascii="Times New Roman" w:hAnsi="Times New Roman" w:eastAsia="宋体" w:cs="宋体"/>
                <w:color w:val="auto"/>
                <w:kern w:val="2"/>
                <w:sz w:val="24"/>
                <w:szCs w:val="24"/>
                <w:lang w:val="en-US" w:eastAsia="zh-CN" w:bidi="ar-SA"/>
              </w:rPr>
              <w:t>，根据现场勘查，周边以工业企业为主；项目周边地下水、土壤环境相对不敏感，采取有效的防渗措施后，项目对地下水、土壤环境影响很小，基本不存在土壤、地下水环境污染途径，因此，本评价不对项目地下水、土壤环境质量进行补充监测。</w:t>
            </w:r>
          </w:p>
        </w:tc>
      </w:tr>
      <w:tr w14:paraId="21D4AB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00" w:type="dxa"/>
            <w:noWrap w:val="0"/>
            <w:vAlign w:val="center"/>
          </w:tcPr>
          <w:p w14:paraId="465C3FA0">
            <w:pPr>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kern w:val="0"/>
                <w:szCs w:val="21"/>
              </w:rPr>
              <w:t>环境</w:t>
            </w:r>
          </w:p>
          <w:p w14:paraId="53062984">
            <w:pPr>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kern w:val="0"/>
                <w:szCs w:val="21"/>
              </w:rPr>
              <w:t>保护</w:t>
            </w:r>
          </w:p>
          <w:p w14:paraId="02830F2F">
            <w:pPr>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kern w:val="0"/>
                <w:szCs w:val="21"/>
              </w:rPr>
              <w:t>目标</w:t>
            </w:r>
          </w:p>
        </w:tc>
        <w:tc>
          <w:tcPr>
            <w:tcW w:w="8190" w:type="dxa"/>
            <w:noWrap w:val="0"/>
            <w:vAlign w:val="center"/>
          </w:tcPr>
          <w:p w14:paraId="780B48BF">
            <w:pPr>
              <w:keepNext/>
              <w:keepLines/>
              <w:widowControl w:val="0"/>
              <w:bidi w:val="0"/>
              <w:spacing w:beforeLines="0" w:beforeAutospacing="0" w:afterLines="0" w:afterAutospacing="0" w:line="360" w:lineRule="auto"/>
              <w:jc w:val="left"/>
              <w:outlineLvl w:val="1"/>
              <w:rPr>
                <w:rFonts w:hint="default" w:ascii="Times New Roman" w:hAnsi="Times New Roman" w:eastAsia="宋体" w:cs="Times New Roman"/>
                <w:b/>
                <w:color w:val="auto"/>
                <w:kern w:val="2"/>
                <w:sz w:val="28"/>
                <w:szCs w:val="24"/>
                <w:lang w:val="en-US" w:eastAsia="zh-CN" w:bidi="ar-SA"/>
              </w:rPr>
            </w:pPr>
            <w:bookmarkStart w:id="59" w:name="_Toc4798"/>
            <w:bookmarkStart w:id="60" w:name="_Toc25987"/>
            <w:r>
              <w:rPr>
                <w:rFonts w:hint="eastAsia" w:ascii="Times New Roman" w:hAnsi="Times New Roman" w:eastAsia="宋体" w:cs="Times New Roman"/>
                <w:b/>
                <w:color w:val="auto"/>
                <w:kern w:val="2"/>
                <w:sz w:val="28"/>
                <w:szCs w:val="24"/>
                <w:lang w:val="en-US" w:eastAsia="zh-CN" w:bidi="ar-SA"/>
              </w:rPr>
              <w:t>3.6环境保护目标</w:t>
            </w:r>
            <w:bookmarkEnd w:id="59"/>
            <w:bookmarkEnd w:id="60"/>
          </w:p>
          <w:p w14:paraId="48DF4B95">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61" w:name="_Toc253"/>
            <w:r>
              <w:rPr>
                <w:rFonts w:hint="eastAsia" w:ascii="Times New Roman" w:hAnsi="Times New Roman" w:eastAsia="宋体" w:cs="Times New Roman"/>
                <w:b/>
                <w:color w:val="auto"/>
                <w:kern w:val="2"/>
                <w:sz w:val="24"/>
                <w:szCs w:val="24"/>
                <w:lang w:val="en-US" w:eastAsia="zh-CN" w:bidi="ar-SA"/>
              </w:rPr>
              <w:t>3.6.1大气环境、水环境、声环境</w:t>
            </w:r>
            <w:bookmarkEnd w:id="61"/>
          </w:p>
          <w:p w14:paraId="60B50C38">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根据《建设项目环境影响报告表编制技术指南（污染影响类）（试行）》（环办环评〔2020〕33号）要求以及对项目周边环境的调查，本项目厂界外500米范围内的大气环境保护目标、50米范围内的声环境保护目标及500米范围内的地下环境保护目标见表3</w:t>
            </w:r>
            <w:r>
              <w:rPr>
                <w:rFonts w:hint="eastAsia" w:ascii="Times New Roman" w:hAnsi="Times New Roman" w:eastAsia="宋体" w:cs="宋体"/>
                <w:color w:val="auto"/>
                <w:kern w:val="2"/>
                <w:sz w:val="24"/>
                <w:szCs w:val="24"/>
                <w:lang w:val="en-US" w:eastAsia="zh-CN" w:bidi="ar-SA"/>
              </w:rPr>
              <w:t>.6-1</w:t>
            </w:r>
            <w:r>
              <w:rPr>
                <w:rFonts w:ascii="Times New Roman" w:hAnsi="Times New Roman" w:eastAsia="宋体" w:cs="宋体"/>
                <w:color w:val="auto"/>
                <w:kern w:val="2"/>
                <w:sz w:val="24"/>
                <w:szCs w:val="24"/>
                <w:lang w:val="en-US" w:eastAsia="zh-CN" w:bidi="ar-SA"/>
              </w:rPr>
              <w:t>。主要环境保护目标和本项目的位置关系见附图</w:t>
            </w:r>
            <w:r>
              <w:rPr>
                <w:rFonts w:hint="eastAsia" w:ascii="Times New Roman" w:hAnsi="Times New Roman" w:eastAsia="宋体" w:cs="宋体"/>
                <w:color w:val="auto"/>
                <w:kern w:val="2"/>
                <w:sz w:val="24"/>
                <w:szCs w:val="24"/>
                <w:lang w:val="en-US" w:eastAsia="zh-CN" w:bidi="ar-SA"/>
              </w:rPr>
              <w:t>2</w:t>
            </w:r>
            <w:r>
              <w:rPr>
                <w:rFonts w:ascii="Times New Roman" w:hAnsi="Times New Roman" w:eastAsia="宋体" w:cs="宋体"/>
                <w:color w:val="auto"/>
                <w:kern w:val="2"/>
                <w:sz w:val="24"/>
                <w:szCs w:val="24"/>
                <w:lang w:val="en-US" w:eastAsia="zh-CN" w:bidi="ar-SA"/>
              </w:rPr>
              <w:t>。</w:t>
            </w:r>
          </w:p>
          <w:p w14:paraId="486B6A97">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表3.6-1  环境保护目标一览表</w:t>
            </w:r>
          </w:p>
          <w:tbl>
            <w:tblPr>
              <w:tblStyle w:val="20"/>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88"/>
              <w:gridCol w:w="1595"/>
              <w:gridCol w:w="1595"/>
              <w:gridCol w:w="1618"/>
              <w:gridCol w:w="2022"/>
            </w:tblGrid>
            <w:tr w14:paraId="6BEE70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43" w:type="pct"/>
                  <w:tcBorders>
                    <w:tl2br w:val="nil"/>
                    <w:tr2bl w:val="nil"/>
                  </w:tcBorders>
                  <w:noWrap w:val="0"/>
                  <w:vAlign w:val="center"/>
                </w:tcPr>
                <w:p w14:paraId="7CDFB23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环境要素</w:t>
                  </w:r>
                </w:p>
              </w:tc>
              <w:tc>
                <w:tcPr>
                  <w:tcW w:w="947" w:type="pct"/>
                  <w:tcBorders>
                    <w:tl2br w:val="nil"/>
                    <w:tr2bl w:val="nil"/>
                  </w:tcBorders>
                  <w:noWrap w:val="0"/>
                  <w:vAlign w:val="center"/>
                </w:tcPr>
                <w:p w14:paraId="5A7568B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敏感目标/环境保护目标</w:t>
                  </w:r>
                </w:p>
              </w:tc>
              <w:tc>
                <w:tcPr>
                  <w:tcW w:w="947" w:type="pct"/>
                  <w:tcBorders>
                    <w:tl2br w:val="nil"/>
                    <w:tr2bl w:val="nil"/>
                  </w:tcBorders>
                  <w:noWrap w:val="0"/>
                  <w:vAlign w:val="center"/>
                </w:tcPr>
                <w:p w14:paraId="1787179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方位</w:t>
                  </w:r>
                </w:p>
              </w:tc>
              <w:tc>
                <w:tcPr>
                  <w:tcW w:w="961" w:type="pct"/>
                  <w:tcBorders>
                    <w:tl2br w:val="nil"/>
                    <w:tr2bl w:val="nil"/>
                  </w:tcBorders>
                  <w:noWrap w:val="0"/>
                  <w:vAlign w:val="center"/>
                </w:tcPr>
                <w:p w14:paraId="506FD8E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与本项目距离</w:t>
                  </w:r>
                </w:p>
              </w:tc>
              <w:tc>
                <w:tcPr>
                  <w:tcW w:w="1200" w:type="pct"/>
                  <w:tcBorders>
                    <w:tl2br w:val="nil"/>
                    <w:tr2bl w:val="nil"/>
                  </w:tcBorders>
                  <w:noWrap w:val="0"/>
                  <w:vAlign w:val="center"/>
                </w:tcPr>
                <w:p w14:paraId="2F58969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环境功能</w:t>
                  </w:r>
                </w:p>
              </w:tc>
            </w:tr>
            <w:tr w14:paraId="34578E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43" w:type="pct"/>
                  <w:tcBorders>
                    <w:tl2br w:val="nil"/>
                    <w:tr2bl w:val="nil"/>
                  </w:tcBorders>
                  <w:noWrap w:val="0"/>
                  <w:vAlign w:val="center"/>
                </w:tcPr>
                <w:p w14:paraId="48AD8D9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地表水环境</w:t>
                  </w:r>
                </w:p>
              </w:tc>
              <w:tc>
                <w:tcPr>
                  <w:tcW w:w="947" w:type="pct"/>
                  <w:tcBorders>
                    <w:tl2br w:val="nil"/>
                    <w:tr2bl w:val="nil"/>
                  </w:tcBorders>
                  <w:noWrap w:val="0"/>
                  <w:vAlign w:val="center"/>
                </w:tcPr>
                <w:p w14:paraId="4C0ED89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溪源溪</w:t>
                  </w:r>
                </w:p>
              </w:tc>
              <w:tc>
                <w:tcPr>
                  <w:tcW w:w="947" w:type="pct"/>
                  <w:tcBorders>
                    <w:tl2br w:val="nil"/>
                    <w:tr2bl w:val="nil"/>
                  </w:tcBorders>
                  <w:noWrap w:val="0"/>
                  <w:vAlign w:val="center"/>
                </w:tcPr>
                <w:p w14:paraId="104A077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东北侧</w:t>
                  </w:r>
                </w:p>
              </w:tc>
              <w:tc>
                <w:tcPr>
                  <w:tcW w:w="961" w:type="pct"/>
                  <w:tcBorders>
                    <w:tl2br w:val="nil"/>
                    <w:tr2bl w:val="nil"/>
                  </w:tcBorders>
                  <w:noWrap w:val="0"/>
                  <w:vAlign w:val="center"/>
                </w:tcPr>
                <w:p w14:paraId="694CECE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233m</w:t>
                  </w:r>
                </w:p>
              </w:tc>
              <w:tc>
                <w:tcPr>
                  <w:tcW w:w="1200" w:type="pct"/>
                  <w:tcBorders>
                    <w:tl2br w:val="nil"/>
                    <w:tr2bl w:val="nil"/>
                  </w:tcBorders>
                  <w:noWrap w:val="0"/>
                  <w:vAlign w:val="center"/>
                </w:tcPr>
                <w:p w14:paraId="1C00E55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宋体"/>
                      <w:color w:val="auto"/>
                      <w:lang w:val="en-US" w:eastAsia="zh-CN"/>
                    </w:rPr>
                    <w:t>《地表水环境质量标准》（GB3838-2002）Ⅲ类</w:t>
                  </w:r>
                </w:p>
              </w:tc>
            </w:tr>
            <w:tr w14:paraId="72E58D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43" w:type="pct"/>
                  <w:vMerge w:val="restart"/>
                  <w:tcBorders>
                    <w:tl2br w:val="nil"/>
                    <w:tr2bl w:val="nil"/>
                  </w:tcBorders>
                  <w:noWrap w:val="0"/>
                  <w:vAlign w:val="center"/>
                </w:tcPr>
                <w:p w14:paraId="3BB023E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大气环境</w:t>
                  </w:r>
                </w:p>
              </w:tc>
              <w:tc>
                <w:tcPr>
                  <w:tcW w:w="947" w:type="pct"/>
                  <w:tcBorders>
                    <w:tl2br w:val="nil"/>
                    <w:tr2bl w:val="nil"/>
                  </w:tcBorders>
                  <w:noWrap w:val="0"/>
                  <w:vAlign w:val="center"/>
                </w:tcPr>
                <w:p w14:paraId="762FEF3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马保村</w:t>
                  </w:r>
                </w:p>
              </w:tc>
              <w:tc>
                <w:tcPr>
                  <w:tcW w:w="947" w:type="pct"/>
                  <w:tcBorders>
                    <w:tl2br w:val="nil"/>
                    <w:tr2bl w:val="nil"/>
                  </w:tcBorders>
                  <w:noWrap w:val="0"/>
                  <w:vAlign w:val="center"/>
                </w:tcPr>
                <w:p w14:paraId="24D089D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北侧</w:t>
                  </w:r>
                </w:p>
              </w:tc>
              <w:tc>
                <w:tcPr>
                  <w:tcW w:w="961" w:type="pct"/>
                  <w:tcBorders>
                    <w:tl2br w:val="nil"/>
                    <w:tr2bl w:val="nil"/>
                  </w:tcBorders>
                  <w:noWrap w:val="0"/>
                  <w:vAlign w:val="center"/>
                </w:tcPr>
                <w:p w14:paraId="11C2EB5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280m</w:t>
                  </w:r>
                </w:p>
              </w:tc>
              <w:tc>
                <w:tcPr>
                  <w:tcW w:w="1200" w:type="pct"/>
                  <w:vMerge w:val="restart"/>
                  <w:tcBorders>
                    <w:tl2br w:val="nil"/>
                    <w:tr2bl w:val="nil"/>
                  </w:tcBorders>
                  <w:noWrap w:val="0"/>
                  <w:vAlign w:val="center"/>
                </w:tcPr>
                <w:p w14:paraId="2A3D8F4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color w:val="auto"/>
                    </w:rPr>
                    <w:t>《环境空气质量标准》（GB3095-2026）</w:t>
                  </w:r>
                  <w:r>
                    <w:rPr>
                      <w:rFonts w:hint="eastAsia"/>
                      <w:color w:val="auto"/>
                      <w:lang w:val="en-US" w:eastAsia="zh-CN"/>
                    </w:rPr>
                    <w:t>中表1二级过渡阶段浓度限值</w:t>
                  </w:r>
                </w:p>
              </w:tc>
            </w:tr>
            <w:tr w14:paraId="746C29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43" w:type="pct"/>
                  <w:vMerge w:val="continue"/>
                  <w:tcBorders>
                    <w:tl2br w:val="nil"/>
                    <w:tr2bl w:val="nil"/>
                  </w:tcBorders>
                  <w:noWrap w:val="0"/>
                  <w:vAlign w:val="center"/>
                </w:tcPr>
                <w:p w14:paraId="16946BB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p>
              </w:tc>
              <w:tc>
                <w:tcPr>
                  <w:tcW w:w="947" w:type="pct"/>
                  <w:tcBorders>
                    <w:tl2br w:val="nil"/>
                    <w:tr2bl w:val="nil"/>
                  </w:tcBorders>
                  <w:noWrap w:val="0"/>
                  <w:vAlign w:val="center"/>
                </w:tcPr>
                <w:p w14:paraId="487118A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后园村</w:t>
                  </w:r>
                </w:p>
              </w:tc>
              <w:tc>
                <w:tcPr>
                  <w:tcW w:w="947" w:type="pct"/>
                  <w:tcBorders>
                    <w:tl2br w:val="nil"/>
                    <w:tr2bl w:val="nil"/>
                  </w:tcBorders>
                  <w:noWrap w:val="0"/>
                  <w:vAlign w:val="center"/>
                </w:tcPr>
                <w:p w14:paraId="5D0E539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南侧</w:t>
                  </w:r>
                </w:p>
              </w:tc>
              <w:tc>
                <w:tcPr>
                  <w:tcW w:w="961" w:type="pct"/>
                  <w:tcBorders>
                    <w:tl2br w:val="nil"/>
                    <w:tr2bl w:val="nil"/>
                  </w:tcBorders>
                  <w:noWrap w:val="0"/>
                  <w:vAlign w:val="center"/>
                </w:tcPr>
                <w:p w14:paraId="5A41D56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110m</w:t>
                  </w:r>
                </w:p>
              </w:tc>
              <w:tc>
                <w:tcPr>
                  <w:tcW w:w="1200" w:type="pct"/>
                  <w:vMerge w:val="continue"/>
                  <w:tcBorders>
                    <w:tl2br w:val="nil"/>
                    <w:tr2bl w:val="nil"/>
                  </w:tcBorders>
                  <w:noWrap w:val="0"/>
                  <w:vAlign w:val="center"/>
                </w:tcPr>
                <w:p w14:paraId="4ED7E51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r>
            <w:tr w14:paraId="325A63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943" w:type="pct"/>
                  <w:vMerge w:val="continue"/>
                  <w:tcBorders>
                    <w:tl2br w:val="nil"/>
                    <w:tr2bl w:val="nil"/>
                  </w:tcBorders>
                  <w:noWrap w:val="0"/>
                  <w:vAlign w:val="center"/>
                </w:tcPr>
                <w:p w14:paraId="4EACDDF2">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p>
              </w:tc>
              <w:tc>
                <w:tcPr>
                  <w:tcW w:w="947" w:type="pct"/>
                  <w:tcBorders>
                    <w:tl2br w:val="nil"/>
                    <w:tr2bl w:val="nil"/>
                  </w:tcBorders>
                  <w:noWrap w:val="0"/>
                  <w:vAlign w:val="center"/>
                </w:tcPr>
                <w:p w14:paraId="58ECA24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星光小学</w:t>
                  </w:r>
                </w:p>
              </w:tc>
              <w:tc>
                <w:tcPr>
                  <w:tcW w:w="947" w:type="pct"/>
                  <w:tcBorders>
                    <w:tl2br w:val="nil"/>
                    <w:tr2bl w:val="nil"/>
                  </w:tcBorders>
                  <w:noWrap w:val="0"/>
                  <w:vAlign w:val="center"/>
                </w:tcPr>
                <w:p w14:paraId="256DDBE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西北侧</w:t>
                  </w:r>
                </w:p>
              </w:tc>
              <w:tc>
                <w:tcPr>
                  <w:tcW w:w="961" w:type="pct"/>
                  <w:tcBorders>
                    <w:tl2br w:val="nil"/>
                    <w:tr2bl w:val="nil"/>
                  </w:tcBorders>
                  <w:noWrap w:val="0"/>
                  <w:vAlign w:val="center"/>
                </w:tcPr>
                <w:p w14:paraId="16B6BFA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470m</w:t>
                  </w:r>
                </w:p>
              </w:tc>
              <w:tc>
                <w:tcPr>
                  <w:tcW w:w="1200" w:type="pct"/>
                  <w:vMerge w:val="continue"/>
                  <w:tcBorders>
                    <w:tl2br w:val="nil"/>
                    <w:tr2bl w:val="nil"/>
                  </w:tcBorders>
                  <w:noWrap w:val="0"/>
                  <w:vAlign w:val="center"/>
                </w:tcPr>
                <w:p w14:paraId="26DF916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r>
            <w:tr w14:paraId="37887D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943" w:type="pct"/>
                  <w:vMerge w:val="continue"/>
                  <w:tcBorders>
                    <w:tl2br w:val="nil"/>
                    <w:tr2bl w:val="nil"/>
                  </w:tcBorders>
                  <w:noWrap w:val="0"/>
                  <w:vAlign w:val="center"/>
                </w:tcPr>
                <w:p w14:paraId="25B7CDB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p>
              </w:tc>
              <w:tc>
                <w:tcPr>
                  <w:tcW w:w="947" w:type="pct"/>
                  <w:tcBorders>
                    <w:tl2br w:val="nil"/>
                    <w:tr2bl w:val="nil"/>
                  </w:tcBorders>
                  <w:noWrap w:val="0"/>
                  <w:vAlign w:val="center"/>
                </w:tcPr>
                <w:p w14:paraId="1DB48AD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子路老年之家</w:t>
                  </w:r>
                </w:p>
              </w:tc>
              <w:tc>
                <w:tcPr>
                  <w:tcW w:w="947" w:type="pct"/>
                  <w:tcBorders>
                    <w:tl2br w:val="nil"/>
                    <w:tr2bl w:val="nil"/>
                  </w:tcBorders>
                  <w:noWrap w:val="0"/>
                  <w:vAlign w:val="center"/>
                </w:tcPr>
                <w:p w14:paraId="1F53470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东北侧</w:t>
                  </w:r>
                </w:p>
              </w:tc>
              <w:tc>
                <w:tcPr>
                  <w:tcW w:w="961" w:type="pct"/>
                  <w:tcBorders>
                    <w:tl2br w:val="nil"/>
                    <w:tr2bl w:val="nil"/>
                  </w:tcBorders>
                  <w:noWrap w:val="0"/>
                  <w:vAlign w:val="center"/>
                </w:tcPr>
                <w:p w14:paraId="122702E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70m</w:t>
                  </w:r>
                </w:p>
              </w:tc>
              <w:tc>
                <w:tcPr>
                  <w:tcW w:w="1200" w:type="pct"/>
                  <w:vMerge w:val="continue"/>
                  <w:tcBorders>
                    <w:tl2br w:val="nil"/>
                    <w:tr2bl w:val="nil"/>
                  </w:tcBorders>
                  <w:noWrap w:val="0"/>
                  <w:vAlign w:val="center"/>
                </w:tcPr>
                <w:p w14:paraId="627BDE9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r>
            <w:tr w14:paraId="393960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43" w:type="pct"/>
                  <w:tcBorders>
                    <w:tl2br w:val="nil"/>
                    <w:tr2bl w:val="nil"/>
                  </w:tcBorders>
                  <w:noWrap w:val="0"/>
                  <w:vAlign w:val="center"/>
                </w:tcPr>
                <w:p w14:paraId="5E3C50A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声环境</w:t>
                  </w:r>
                </w:p>
              </w:tc>
              <w:tc>
                <w:tcPr>
                  <w:tcW w:w="4056" w:type="pct"/>
                  <w:gridSpan w:val="4"/>
                  <w:tcBorders>
                    <w:tl2br w:val="nil"/>
                    <w:tr2bl w:val="nil"/>
                  </w:tcBorders>
                  <w:noWrap w:val="0"/>
                  <w:vAlign w:val="center"/>
                </w:tcPr>
                <w:p w14:paraId="7D63D2B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项目厂界</w:t>
                  </w:r>
                  <w:r>
                    <w:rPr>
                      <w:rFonts w:hint="eastAsia" w:cs="Times New Roman"/>
                      <w:color w:val="auto"/>
                      <w:kern w:val="0"/>
                      <w:sz w:val="21"/>
                      <w:szCs w:val="20"/>
                      <w:lang w:val="en-US" w:eastAsia="zh-CN" w:bidi="ar-SA"/>
                    </w:rPr>
                    <w:t>50m</w:t>
                  </w:r>
                  <w:r>
                    <w:rPr>
                      <w:rFonts w:hint="eastAsia" w:ascii="Times New Roman" w:hAnsi="Times New Roman" w:eastAsia="宋体" w:cs="Times New Roman"/>
                      <w:color w:val="auto"/>
                      <w:kern w:val="0"/>
                      <w:sz w:val="21"/>
                      <w:szCs w:val="20"/>
                      <w:lang w:val="en-US" w:eastAsia="zh-CN" w:bidi="ar-SA"/>
                    </w:rPr>
                    <w:t>范围内无声环境保护目标</w:t>
                  </w:r>
                </w:p>
              </w:tc>
            </w:tr>
            <w:tr w14:paraId="3D1267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43" w:type="pct"/>
                  <w:tcBorders>
                    <w:tl2br w:val="nil"/>
                    <w:tr2bl w:val="nil"/>
                  </w:tcBorders>
                  <w:noWrap w:val="0"/>
                  <w:vAlign w:val="center"/>
                </w:tcPr>
                <w:p w14:paraId="291A5C5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地下水</w:t>
                  </w:r>
                </w:p>
              </w:tc>
              <w:tc>
                <w:tcPr>
                  <w:tcW w:w="2855" w:type="pct"/>
                  <w:gridSpan w:val="3"/>
                  <w:tcBorders>
                    <w:tl2br w:val="nil"/>
                    <w:tr2bl w:val="nil"/>
                  </w:tcBorders>
                  <w:noWrap w:val="0"/>
                  <w:vAlign w:val="center"/>
                </w:tcPr>
                <w:p w14:paraId="7136E5B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500m范围内无地下水敏感目标</w:t>
                  </w:r>
                </w:p>
              </w:tc>
              <w:tc>
                <w:tcPr>
                  <w:tcW w:w="1200" w:type="pct"/>
                  <w:tcBorders>
                    <w:tl2br w:val="nil"/>
                    <w:tr2bl w:val="nil"/>
                  </w:tcBorders>
                  <w:noWrap w:val="0"/>
                  <w:vAlign w:val="center"/>
                </w:tcPr>
                <w:p w14:paraId="4C2599B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GB/T14848-2017Ⅲ类标准</w:t>
                  </w:r>
                </w:p>
              </w:tc>
            </w:tr>
          </w:tbl>
          <w:p w14:paraId="072B44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color w:val="auto"/>
                <w:sz w:val="24"/>
                <w:szCs w:val="24"/>
                <w:lang w:val="en-US" w:eastAsia="zh-CN"/>
              </w:rPr>
            </w:pPr>
            <w:bookmarkStart w:id="62" w:name="_Toc17972"/>
            <w:r>
              <w:rPr>
                <w:rFonts w:hint="eastAsia" w:ascii="Times New Roman" w:hAnsi="Times New Roman" w:eastAsia="宋体" w:cs="宋体"/>
                <w:color w:val="auto"/>
                <w:sz w:val="24"/>
                <w:szCs w:val="24"/>
                <w:lang w:val="en-US" w:eastAsia="zh-CN"/>
              </w:rPr>
              <w:t>创宇光电建设项目附近情况说明：</w:t>
            </w:r>
          </w:p>
          <w:p w14:paraId="121E05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color w:val="auto"/>
                <w:sz w:val="24"/>
                <w:szCs w:val="24"/>
                <w:lang w:val="en-US" w:eastAsia="zh-CN"/>
              </w:rPr>
            </w:pPr>
            <w:r>
              <w:rPr>
                <w:rFonts w:hint="eastAsia" w:ascii="Times New Roman" w:hAnsi="Times New Roman" w:eastAsia="宋体" w:cs="微软雅黑"/>
                <w:color w:val="auto"/>
                <w:sz w:val="24"/>
                <w:szCs w:val="24"/>
                <w:lang w:val="en-US" w:eastAsia="zh-CN"/>
              </w:rPr>
              <w:t>①</w:t>
            </w:r>
            <w:r>
              <w:rPr>
                <w:rFonts w:hint="eastAsia" w:ascii="Times New Roman" w:hAnsi="Times New Roman" w:eastAsia="宋体" w:cs="宋体"/>
                <w:color w:val="auto"/>
                <w:sz w:val="24"/>
                <w:szCs w:val="24"/>
                <w:lang w:val="en-US" w:eastAsia="zh-CN"/>
              </w:rPr>
              <w:t>项目</w:t>
            </w:r>
            <w:r>
              <w:rPr>
                <w:rFonts w:hint="eastAsia" w:ascii="Times New Roman" w:hAnsi="Times New Roman" w:eastAsia="宋体" w:cs="宋体"/>
                <w:color w:val="auto"/>
                <w:sz w:val="24"/>
                <w:szCs w:val="24"/>
              </w:rPr>
              <w:t>属性：光学元器件抛光、超声波清洗、镀膜</w:t>
            </w:r>
            <w:r>
              <w:rPr>
                <w:rFonts w:hint="eastAsia" w:ascii="Times New Roman" w:hAnsi="Times New Roman" w:eastAsia="宋体" w:cs="宋体"/>
                <w:color w:val="auto"/>
                <w:sz w:val="24"/>
                <w:szCs w:val="24"/>
                <w:lang w:val="en-US" w:eastAsia="zh-CN"/>
              </w:rPr>
              <w:t>等工序</w:t>
            </w:r>
            <w:r>
              <w:rPr>
                <w:rFonts w:hint="eastAsia" w:ascii="Times New Roman" w:hAnsi="Times New Roman" w:eastAsia="宋体" w:cs="宋体"/>
                <w:color w:val="auto"/>
                <w:sz w:val="24"/>
                <w:szCs w:val="24"/>
              </w:rPr>
              <w:t>，产污以风机/空压机噪声、有机废气（</w:t>
            </w:r>
            <w:r>
              <w:rPr>
                <w:rFonts w:hint="eastAsia" w:ascii="Times New Roman" w:hAnsi="Times New Roman" w:eastAsia="宋体" w:cs="宋体"/>
                <w:color w:val="auto"/>
                <w:sz w:val="24"/>
                <w:szCs w:val="24"/>
                <w:lang w:val="en-US" w:eastAsia="zh-CN"/>
              </w:rPr>
              <w:t>非甲烷总烃</w:t>
            </w:r>
            <w:r>
              <w:rPr>
                <w:rFonts w:hint="eastAsia" w:ascii="Times New Roman" w:hAnsi="Times New Roman" w:eastAsia="宋体" w:cs="宋体"/>
                <w:color w:val="auto"/>
                <w:sz w:val="24"/>
                <w:szCs w:val="24"/>
              </w:rPr>
              <w:t>）、无强恶臭、无酸洗强酸、无熔窑重污染，属于轻污染电子光学项目。</w:t>
            </w:r>
            <w:r>
              <w:rPr>
                <w:rFonts w:hint="eastAsia" w:ascii="Times New Roman" w:hAnsi="Times New Roman" w:eastAsia="宋体" w:cs="宋体"/>
                <w:color w:val="auto"/>
                <w:sz w:val="24"/>
                <w:szCs w:val="24"/>
                <w:lang w:val="en-US" w:eastAsia="zh-CN"/>
              </w:rPr>
              <w:t>且整体规模小，污染物产生量小；夜间不生产；</w:t>
            </w:r>
          </w:p>
          <w:p w14:paraId="6CAD69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color w:val="auto"/>
                <w:sz w:val="24"/>
                <w:szCs w:val="24"/>
                <w:lang w:eastAsia="zh-CN"/>
              </w:rPr>
            </w:pPr>
            <w:r>
              <w:rPr>
                <w:rFonts w:hint="default" w:ascii="Times New Roman" w:hAnsi="Times New Roman" w:eastAsia="宋体" w:cs="Calibri"/>
                <w:color w:val="auto"/>
                <w:sz w:val="24"/>
                <w:szCs w:val="24"/>
                <w:lang w:val="en-US" w:eastAsia="zh-CN"/>
              </w:rPr>
              <w:t>②</w:t>
            </w:r>
            <w:r>
              <w:rPr>
                <w:rFonts w:hint="eastAsia" w:ascii="Times New Roman" w:hAnsi="Times New Roman" w:eastAsia="宋体" w:cs="宋体"/>
                <w:color w:val="auto"/>
                <w:sz w:val="24"/>
                <w:szCs w:val="24"/>
                <w:lang w:val="en-US" w:eastAsia="zh-CN"/>
              </w:rPr>
              <w:t>采用措施：</w:t>
            </w:r>
            <w:r>
              <w:rPr>
                <w:rFonts w:ascii="Times New Roman" w:hAnsi="Times New Roman" w:eastAsia="宋体" w:cs="宋体"/>
                <w:color w:val="auto"/>
                <w:sz w:val="24"/>
                <w:szCs w:val="24"/>
              </w:rPr>
              <w:t>项目通过优化厂区平面布局，将高噪、产废气设施布置于远离养老院的厂区对角及常年下风向；配套减振消声、加高隔声屏障；有机废气全密闭负压收集+两级活性炭深度处理；厂区设置绿化隔离带。子路老年之家室外噪声、非甲烷总烃均可满足对应环境质量管控标准，无持续性噪声、异味扰民风险，项目建设对老年群体居住休息环境影响可接受</w:t>
            </w:r>
            <w:r>
              <w:rPr>
                <w:rFonts w:hint="eastAsia" w:ascii="Times New Roman" w:hAnsi="Times New Roman" w:eastAsia="宋体" w:cs="宋体"/>
                <w:color w:val="auto"/>
                <w:sz w:val="24"/>
                <w:szCs w:val="24"/>
                <w:lang w:eastAsia="zh-CN"/>
              </w:rPr>
              <w:t>；</w:t>
            </w:r>
          </w:p>
          <w:p w14:paraId="20F1B7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color w:val="auto"/>
                <w:kern w:val="2"/>
                <w:sz w:val="24"/>
                <w:szCs w:val="24"/>
                <w:lang w:val="en-US" w:eastAsia="zh-CN" w:bidi="ar-SA"/>
              </w:rPr>
            </w:pPr>
            <w:r>
              <w:rPr>
                <w:rFonts w:hint="default" w:ascii="Times New Roman" w:hAnsi="Times New Roman" w:eastAsia="宋体" w:cs="Calibri"/>
                <w:color w:val="auto"/>
                <w:sz w:val="24"/>
                <w:szCs w:val="24"/>
                <w:lang w:val="en-US" w:eastAsia="zh-CN"/>
              </w:rPr>
              <w:t>③</w:t>
            </w:r>
            <w:r>
              <w:rPr>
                <w:rFonts w:hint="eastAsia" w:ascii="Times New Roman" w:hAnsi="Times New Roman" w:eastAsia="宋体" w:cs="宋体"/>
                <w:color w:val="auto"/>
                <w:sz w:val="24"/>
                <w:szCs w:val="24"/>
                <w:lang w:val="en-US" w:eastAsia="zh-CN"/>
              </w:rPr>
              <w:t>目前已对颗粒物进行现状检测，</w:t>
            </w:r>
            <w:r>
              <w:rPr>
                <w:rFonts w:hint="default" w:ascii="Times New Roman" w:hAnsi="Times New Roman" w:eastAsia="宋体" w:cs="Times New Roman"/>
                <w:color w:val="auto"/>
                <w:sz w:val="24"/>
                <w:szCs w:val="24"/>
              </w:rPr>
              <w:t>项目所在区TS</w:t>
            </w:r>
            <w:r>
              <w:rPr>
                <w:rFonts w:hint="default" w:ascii="Times New Roman" w:hAnsi="Times New Roman" w:eastAsia="宋体" w:cs="Times New Roman"/>
                <w:color w:val="auto"/>
                <w:sz w:val="24"/>
                <w:szCs w:val="24"/>
                <w:highlight w:val="none"/>
              </w:rPr>
              <w:t>P的浓度值</w:t>
            </w:r>
            <w:r>
              <w:rPr>
                <w:rFonts w:hint="eastAsia" w:ascii="Times New Roman" w:hAnsi="Times New Roman" w:eastAsia="宋体" w:cs="Times New Roman"/>
                <w:color w:val="auto"/>
                <w:sz w:val="24"/>
                <w:szCs w:val="24"/>
                <w:highlight w:val="none"/>
                <w:lang w:val="en-US" w:eastAsia="zh-CN"/>
              </w:rPr>
              <w:t>均</w:t>
            </w:r>
            <w:r>
              <w:rPr>
                <w:rFonts w:hint="default" w:ascii="Times New Roman" w:hAnsi="Times New Roman" w:eastAsia="宋体" w:cs="Times New Roman"/>
                <w:color w:val="auto"/>
                <w:sz w:val="24"/>
                <w:szCs w:val="24"/>
                <w:highlight w:val="none"/>
              </w:rPr>
              <w:t>符合</w:t>
            </w:r>
            <w:r>
              <w:rPr>
                <w:rFonts w:hint="eastAsia" w:ascii="Times New Roman" w:hAnsi="Times New Roman" w:eastAsia="宋体" w:cs="Times New Roman"/>
                <w:color w:val="auto"/>
                <w:sz w:val="24"/>
                <w:szCs w:val="24"/>
              </w:rPr>
              <w:t>《环境空气质量标准》（GB 3095—2026）</w:t>
            </w:r>
            <w:r>
              <w:rPr>
                <w:rFonts w:hint="default" w:ascii="Times New Roman" w:hAnsi="Times New Roman" w:eastAsia="宋体" w:cs="Times New Roman"/>
                <w:color w:val="auto"/>
                <w:sz w:val="24"/>
                <w:szCs w:val="24"/>
              </w:rPr>
              <w:t>中的二级标准，即≤</w:t>
            </w:r>
            <w:r>
              <w:rPr>
                <w:rFonts w:hint="eastAsia" w:ascii="Times New Roman" w:hAnsi="Times New Roman" w:eastAsia="宋体" w:cs="Times New Roman"/>
                <w:color w:val="auto"/>
                <w:sz w:val="24"/>
                <w:szCs w:val="24"/>
                <w:lang w:val="en-US" w:eastAsia="zh-CN"/>
              </w:rPr>
              <w:t>0.30m</w:t>
            </w:r>
            <w:r>
              <w:rPr>
                <w:rFonts w:hint="default" w:ascii="Times New Roman" w:hAnsi="Times New Roman" w:eastAsia="宋体" w:cs="Times New Roman"/>
                <w:color w:val="auto"/>
                <w:sz w:val="24"/>
                <w:szCs w:val="24"/>
                <w:highlight w:val="none"/>
              </w:rPr>
              <w:t>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rPr>
              <w:t>，环境质量现状良好</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详见附件1</w:t>
            </w:r>
            <w:r>
              <w:rPr>
                <w:rFonts w:hint="eastAsia" w:ascii="Times New Roman" w:hAnsi="Times New Roman" w:eastAsia="宋体" w:cs="Times New Roman"/>
                <w:color w:val="auto"/>
                <w:sz w:val="24"/>
                <w:szCs w:val="24"/>
                <w:lang w:eastAsia="zh-CN"/>
              </w:rPr>
              <w:t>）；</w:t>
            </w:r>
            <w:r>
              <w:rPr>
                <w:rFonts w:ascii="Times New Roman" w:hAnsi="Times New Roman" w:eastAsia="宋体" w:cs="宋体"/>
                <w:color w:val="auto"/>
                <w:sz w:val="24"/>
                <w:szCs w:val="24"/>
              </w:rPr>
              <w:t>依据《建设项目环境影响报告表编制技术指南（污染影响类）（试行）》要求，仅厂界外50m范围内声环境保护目标需开展现场噪声现状监测。</w:t>
            </w:r>
            <w:r>
              <w:rPr>
                <w:rFonts w:hint="eastAsia" w:ascii="Times New Roman" w:hAnsi="Times New Roman" w:eastAsia="宋体" w:cs="Times New Roman"/>
                <w:color w:val="auto"/>
                <w:sz w:val="24"/>
                <w:szCs w:val="24"/>
                <w:lang w:val="en-US" w:eastAsia="zh-CN"/>
              </w:rPr>
              <w:t>由于相距70m＞50m，不涉及噪声现状监测；卫生防护距离为6.685m，实际卫生防护距离初值小于50m，参照《大气有毒有害物质无组织排放卫生防护距离推导技术导则》</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GB/T39499-2020</w:t>
            </w:r>
            <w:r>
              <w:rPr>
                <w:rFonts w:hint="eastAsia"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中的规定卫生防护距离初值小于50m时，级差为50m，如计算初值小于50m，卫生防护距离终值取50m，子路之家离项目距离为70m，</w:t>
            </w:r>
            <w:r>
              <w:rPr>
                <w:rFonts w:ascii="Times New Roman" w:hAnsi="Times New Roman" w:eastAsia="宋体" w:cs="宋体"/>
                <w:color w:val="auto"/>
                <w:sz w:val="24"/>
                <w:szCs w:val="24"/>
              </w:rPr>
              <w:t>本项目行业卫生防护距离核算值50m，子路老年之家距项目厂界70m，超出卫生防护距离范围，防护距离内无养老院、居民等敏感建筑，满足卫生防护距离管控要求</w:t>
            </w:r>
            <w:r>
              <w:rPr>
                <w:rFonts w:hint="eastAsia" w:ascii="Times New Roman" w:hAnsi="Times New Roman" w:eastAsia="宋体" w:cs="宋体"/>
                <w:color w:val="auto"/>
                <w:sz w:val="24"/>
                <w:szCs w:val="24"/>
                <w:lang w:eastAsia="zh-CN"/>
              </w:rPr>
              <w:t>，</w:t>
            </w:r>
            <w:r>
              <w:rPr>
                <w:rFonts w:hint="eastAsia" w:ascii="Times New Roman" w:hAnsi="Times New Roman" w:eastAsia="宋体" w:cs="Times New Roman"/>
                <w:color w:val="auto"/>
                <w:sz w:val="24"/>
                <w:szCs w:val="24"/>
                <w:lang w:val="en-US" w:eastAsia="zh-CN"/>
              </w:rPr>
              <w:t>故</w:t>
            </w:r>
            <w:r>
              <w:rPr>
                <w:rFonts w:hint="eastAsia" w:cs="Times New Roman"/>
                <w:color w:val="auto"/>
                <w:sz w:val="24"/>
                <w:szCs w:val="24"/>
                <w:lang w:val="en-US" w:eastAsia="zh-CN"/>
              </w:rPr>
              <w:t>无须设置</w:t>
            </w:r>
            <w:r>
              <w:rPr>
                <w:rFonts w:hint="eastAsia" w:ascii="Times New Roman" w:hAnsi="Times New Roman" w:eastAsia="宋体" w:cs="Times New Roman"/>
                <w:color w:val="auto"/>
                <w:sz w:val="24"/>
                <w:szCs w:val="24"/>
                <w:lang w:val="en-US" w:eastAsia="zh-CN"/>
              </w:rPr>
              <w:t>卫生防护距离</w:t>
            </w:r>
            <w:r>
              <w:rPr>
                <w:rFonts w:hint="eastAsia" w:cs="Times New Roman"/>
                <w:color w:val="auto"/>
                <w:sz w:val="24"/>
                <w:szCs w:val="24"/>
                <w:lang w:val="en-US" w:eastAsia="zh-CN"/>
              </w:rPr>
              <w:t>。</w:t>
            </w:r>
          </w:p>
          <w:p w14:paraId="18043145">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3.6.2生态环境保护目标</w:t>
            </w:r>
            <w:bookmarkEnd w:id="62"/>
          </w:p>
          <w:p w14:paraId="7F8FE47A">
            <w:pPr>
              <w:pStyle w:val="5"/>
              <w:bidi w:val="0"/>
              <w:rPr>
                <w:rFonts w:ascii="Times New Roman" w:hAnsi="Times New Roman"/>
                <w:color w:val="auto"/>
              </w:rPr>
            </w:pPr>
            <w:r>
              <w:rPr>
                <w:rFonts w:ascii="Times New Roman" w:hAnsi="Times New Roman"/>
                <w:color w:val="auto"/>
                <w:lang w:val="en-US" w:eastAsia="zh-CN"/>
              </w:rPr>
              <w:t>根据《建设项目环境影响报告表编制技术指南</w:t>
            </w:r>
            <w:r>
              <w:rPr>
                <w:rFonts w:hint="eastAsia" w:ascii="Times New Roman" w:hAnsi="Times New Roman"/>
                <w:color w:val="auto"/>
                <w:lang w:val="en-US" w:eastAsia="zh-CN"/>
              </w:rPr>
              <w:t>（</w:t>
            </w:r>
            <w:r>
              <w:rPr>
                <w:rFonts w:ascii="Times New Roman" w:hAnsi="Times New Roman"/>
                <w:color w:val="auto"/>
                <w:lang w:val="en-US" w:eastAsia="zh-CN"/>
              </w:rPr>
              <w:t>污染影响类</w:t>
            </w:r>
            <w:r>
              <w:rPr>
                <w:rFonts w:hint="eastAsia" w:ascii="Times New Roman" w:hAnsi="Times New Roman"/>
                <w:color w:val="auto"/>
                <w:lang w:val="en-US" w:eastAsia="zh-CN"/>
              </w:rPr>
              <w:t>）（</w:t>
            </w:r>
            <w:r>
              <w:rPr>
                <w:rFonts w:ascii="Times New Roman" w:hAnsi="Times New Roman"/>
                <w:color w:val="auto"/>
                <w:lang w:val="en-US" w:eastAsia="zh-CN"/>
              </w:rPr>
              <w:t>试行</w:t>
            </w:r>
            <w:r>
              <w:rPr>
                <w:rFonts w:hint="eastAsia" w:ascii="Times New Roman" w:hAnsi="Times New Roman"/>
                <w:color w:val="auto"/>
                <w:lang w:val="en-US" w:eastAsia="zh-CN"/>
              </w:rPr>
              <w:t>）</w:t>
            </w:r>
            <w:r>
              <w:rPr>
                <w:rFonts w:ascii="Times New Roman" w:hAnsi="Times New Roman"/>
                <w:color w:val="auto"/>
                <w:lang w:val="en-US" w:eastAsia="zh-CN"/>
              </w:rPr>
              <w:t>》</w:t>
            </w:r>
            <w:r>
              <w:rPr>
                <w:rFonts w:hint="eastAsia" w:ascii="Times New Roman" w:hAnsi="Times New Roman"/>
                <w:color w:val="auto"/>
                <w:lang w:val="en-US" w:eastAsia="zh-CN"/>
              </w:rPr>
              <w:t>（</w:t>
            </w:r>
            <w:r>
              <w:rPr>
                <w:rFonts w:ascii="Times New Roman" w:hAnsi="Times New Roman"/>
                <w:color w:val="auto"/>
                <w:lang w:val="en-US" w:eastAsia="zh-CN"/>
              </w:rPr>
              <w:t>环办环评〔2020〕33号</w:t>
            </w:r>
            <w:r>
              <w:rPr>
                <w:rFonts w:hint="eastAsia" w:ascii="Times New Roman" w:hAnsi="Times New Roman"/>
                <w:color w:val="auto"/>
                <w:lang w:val="en-US" w:eastAsia="zh-CN"/>
              </w:rPr>
              <w:t>）“</w:t>
            </w:r>
            <w:r>
              <w:rPr>
                <w:rFonts w:ascii="Times New Roman" w:hAnsi="Times New Roman"/>
                <w:color w:val="auto"/>
                <w:lang w:val="en-US" w:eastAsia="zh-CN"/>
              </w:rPr>
              <w:t>产业园区外建设项目新增用地的，应明确新增用地范围内生态环境保护目标</w:t>
            </w:r>
            <w:r>
              <w:rPr>
                <w:rFonts w:hint="eastAsia" w:ascii="Times New Roman" w:hAnsi="Times New Roman"/>
                <w:color w:val="auto"/>
                <w:lang w:val="en-US" w:eastAsia="zh-CN"/>
              </w:rPr>
              <w:t>”</w:t>
            </w:r>
            <w:r>
              <w:rPr>
                <w:rFonts w:ascii="Times New Roman" w:hAnsi="Times New Roman"/>
                <w:color w:val="auto"/>
                <w:lang w:val="en-US" w:eastAsia="zh-CN"/>
              </w:rPr>
              <w:t>。本项目</w:t>
            </w:r>
            <w:r>
              <w:rPr>
                <w:rFonts w:hint="eastAsia" w:ascii="Times New Roman" w:hAnsi="Times New Roman"/>
                <w:color w:val="auto"/>
                <w:lang w:val="en-US" w:eastAsia="zh-CN"/>
              </w:rPr>
              <w:t>所在区域不属于重点生态功能区，不涉及生态红线，不涉及饮用水源保护区、风景名胜区、重要湿地、生态公益林、重要自然与人文景观、文物古迹、基本农田及其他需要特别保护的生态环境保护目标。</w:t>
            </w:r>
          </w:p>
        </w:tc>
      </w:tr>
      <w:tr w14:paraId="3247D2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00" w:type="dxa"/>
            <w:noWrap w:val="0"/>
            <w:tcMar>
              <w:left w:w="28" w:type="dxa"/>
              <w:right w:w="28" w:type="dxa"/>
            </w:tcMar>
            <w:vAlign w:val="center"/>
          </w:tcPr>
          <w:p w14:paraId="1A4DA184">
            <w:pPr>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kern w:val="0"/>
                <w:szCs w:val="21"/>
              </w:rPr>
              <w:t>污染</w:t>
            </w:r>
          </w:p>
          <w:p w14:paraId="65056843">
            <w:pPr>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kern w:val="0"/>
                <w:szCs w:val="21"/>
              </w:rPr>
              <w:t>物排</w:t>
            </w:r>
          </w:p>
          <w:p w14:paraId="497D355E">
            <w:pPr>
              <w:adjustRightInd w:val="0"/>
              <w:snapToGrid w:val="0"/>
              <w:jc w:val="center"/>
              <w:rPr>
                <w:rFonts w:hint="eastAsia" w:ascii="Times New Roman" w:hAnsi="Times New Roman" w:cs="宋体"/>
                <w:color w:val="auto"/>
                <w:kern w:val="0"/>
                <w:szCs w:val="21"/>
              </w:rPr>
            </w:pPr>
            <w:r>
              <w:rPr>
                <w:rFonts w:hint="eastAsia" w:cs="宋体"/>
                <w:color w:val="auto"/>
                <w:kern w:val="0"/>
                <w:szCs w:val="21"/>
                <w:lang w:eastAsia="zh-CN"/>
              </w:rPr>
              <w:t>防控</w:t>
            </w:r>
          </w:p>
          <w:p w14:paraId="64332A8E">
            <w:pPr>
              <w:adjustRightInd w:val="0"/>
              <w:snapToGrid w:val="0"/>
              <w:jc w:val="center"/>
              <w:rPr>
                <w:rFonts w:hint="eastAsia" w:ascii="Times New Roman" w:hAnsi="Times New Roman" w:cs="宋体"/>
                <w:color w:val="auto"/>
                <w:kern w:val="0"/>
                <w:szCs w:val="21"/>
              </w:rPr>
            </w:pPr>
            <w:r>
              <w:rPr>
                <w:rFonts w:hint="eastAsia" w:cs="宋体"/>
                <w:color w:val="auto"/>
                <w:kern w:val="0"/>
                <w:szCs w:val="21"/>
                <w:lang w:eastAsia="zh-CN"/>
              </w:rPr>
              <w:t>指标</w:t>
            </w:r>
          </w:p>
          <w:p w14:paraId="74D363F3">
            <w:pPr>
              <w:adjustRightInd w:val="0"/>
              <w:snapToGrid w:val="0"/>
              <w:jc w:val="center"/>
              <w:rPr>
                <w:rFonts w:ascii="Times New Roman" w:hAnsi="Times New Roman" w:cs="宋体"/>
                <w:color w:val="auto"/>
                <w:kern w:val="0"/>
                <w:szCs w:val="21"/>
              </w:rPr>
            </w:pPr>
            <w:r>
              <w:rPr>
                <w:rFonts w:hint="eastAsia" w:ascii="Times New Roman" w:hAnsi="Times New Roman" w:cs="宋体"/>
                <w:color w:val="auto"/>
                <w:kern w:val="0"/>
                <w:szCs w:val="21"/>
              </w:rPr>
              <w:t>准</w:t>
            </w:r>
          </w:p>
        </w:tc>
        <w:tc>
          <w:tcPr>
            <w:tcW w:w="8190" w:type="dxa"/>
            <w:noWrap w:val="0"/>
            <w:vAlign w:val="center"/>
          </w:tcPr>
          <w:p w14:paraId="11514C27">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63" w:name="_Toc24335"/>
            <w:bookmarkStart w:id="64" w:name="_Toc18677"/>
            <w:r>
              <w:rPr>
                <w:rFonts w:hint="eastAsia" w:ascii="Times New Roman" w:hAnsi="Times New Roman" w:eastAsia="宋体" w:cs="Times New Roman"/>
                <w:b/>
                <w:color w:val="auto"/>
                <w:kern w:val="2"/>
                <w:sz w:val="28"/>
                <w:szCs w:val="24"/>
                <w:lang w:val="en-US" w:eastAsia="zh-CN" w:bidi="ar-SA"/>
              </w:rPr>
              <w:t>3.7污染物排放标准</w:t>
            </w:r>
            <w:bookmarkEnd w:id="63"/>
            <w:bookmarkEnd w:id="64"/>
          </w:p>
          <w:p w14:paraId="2920FB81">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65" w:name="_Toc3242"/>
            <w:r>
              <w:rPr>
                <w:rFonts w:hint="eastAsia" w:ascii="Times New Roman" w:hAnsi="Times New Roman" w:eastAsia="宋体" w:cs="Times New Roman"/>
                <w:b/>
                <w:color w:val="auto"/>
                <w:kern w:val="2"/>
                <w:sz w:val="24"/>
                <w:szCs w:val="24"/>
                <w:lang w:val="en-US" w:eastAsia="zh-CN" w:bidi="ar-SA"/>
              </w:rPr>
              <w:t>3.7.1</w:t>
            </w:r>
            <w:r>
              <w:rPr>
                <w:rFonts w:hint="eastAsia" w:cs="Times New Roman"/>
                <w:b/>
                <w:color w:val="auto"/>
                <w:kern w:val="2"/>
                <w:sz w:val="24"/>
                <w:szCs w:val="24"/>
                <w:lang w:val="en-US" w:eastAsia="zh-CN" w:bidi="ar-SA"/>
              </w:rPr>
              <w:t>水污染物排放</w:t>
            </w:r>
            <w:r>
              <w:rPr>
                <w:rFonts w:hint="eastAsia" w:ascii="Times New Roman" w:hAnsi="Times New Roman" w:eastAsia="宋体" w:cs="Times New Roman"/>
                <w:b/>
                <w:color w:val="auto"/>
                <w:kern w:val="2"/>
                <w:sz w:val="24"/>
                <w:szCs w:val="24"/>
                <w:lang w:val="en-US" w:eastAsia="zh-CN" w:bidi="ar-SA"/>
              </w:rPr>
              <w:t>标准</w:t>
            </w:r>
            <w:bookmarkEnd w:id="65"/>
          </w:p>
          <w:p w14:paraId="4C1E0F1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（1）项目废水污染物排放标准</w:t>
            </w:r>
          </w:p>
          <w:p w14:paraId="5D58C27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本项目外排废水包括生活污水和生产废水。生活污水和生产废水排放均执行《污水综合排放标准》（GB8978-1996）中表4三级标准，其中氨氮执行《污水排入城镇下水道水质标准》（GB/T 31962-2015）表1中B级标准。</w:t>
            </w:r>
          </w:p>
          <w:p w14:paraId="7446AD35">
            <w:pPr>
              <w:widowControl w:val="0"/>
              <w:bidi w:val="0"/>
              <w:adjustRightInd w:val="0"/>
              <w:snapToGrid w:val="0"/>
              <w:spacing w:before="10" w:beforeLines="10" w:after="10" w:afterLines="10"/>
              <w:jc w:val="center"/>
              <w:rPr>
                <w:rFonts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表3.7-1</w:t>
            </w:r>
            <w:r>
              <w:rPr>
                <w:rFonts w:hint="eastAsia" w:cs="Times New Roman"/>
                <w:b/>
                <w:color w:val="auto"/>
                <w:kern w:val="0"/>
                <w:sz w:val="24"/>
                <w:szCs w:val="20"/>
                <w:lang w:val="en-US" w:eastAsia="zh-CN" w:bidi="ar-SA"/>
              </w:rPr>
              <w:t xml:space="preserve">  </w:t>
            </w:r>
            <w:r>
              <w:rPr>
                <w:rFonts w:ascii="Times New Roman" w:hAnsi="Times New Roman" w:eastAsia="宋体" w:cs="Times New Roman"/>
                <w:b/>
                <w:color w:val="auto"/>
                <w:kern w:val="0"/>
                <w:sz w:val="24"/>
                <w:szCs w:val="20"/>
                <w:lang w:val="en-US" w:eastAsia="zh-CN" w:bidi="ar-SA"/>
              </w:rPr>
              <w:t>项目</w:t>
            </w:r>
            <w:r>
              <w:rPr>
                <w:rFonts w:hint="eastAsia" w:ascii="Times New Roman" w:hAnsi="Times New Roman" w:eastAsia="宋体" w:cs="Times New Roman"/>
                <w:b/>
                <w:color w:val="auto"/>
                <w:kern w:val="0"/>
                <w:sz w:val="24"/>
                <w:szCs w:val="20"/>
                <w:lang w:val="en-US" w:eastAsia="zh-CN" w:bidi="ar-SA"/>
              </w:rPr>
              <w:t>生活污水、生产废水</w:t>
            </w:r>
            <w:r>
              <w:rPr>
                <w:rFonts w:ascii="Times New Roman" w:hAnsi="Times New Roman" w:eastAsia="宋体" w:cs="Times New Roman"/>
                <w:b/>
                <w:color w:val="auto"/>
                <w:kern w:val="0"/>
                <w:sz w:val="24"/>
                <w:szCs w:val="20"/>
                <w:lang w:val="en-US" w:eastAsia="zh-CN" w:bidi="ar-SA"/>
              </w:rPr>
              <w:t>排放标准</w:t>
            </w:r>
          </w:p>
          <w:tbl>
            <w:tblPr>
              <w:tblStyle w:val="1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97"/>
              <w:gridCol w:w="2036"/>
              <w:gridCol w:w="4585"/>
            </w:tblGrid>
            <w:tr w14:paraId="0824EE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7" w:type="pct"/>
                  <w:tcBorders>
                    <w:tl2br w:val="nil"/>
                    <w:tr2bl w:val="nil"/>
                  </w:tcBorders>
                  <w:noWrap w:val="0"/>
                  <w:vAlign w:val="center"/>
                </w:tcPr>
                <w:p w14:paraId="51EA5A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污染物名称</w:t>
                  </w:r>
                </w:p>
              </w:tc>
              <w:tc>
                <w:tcPr>
                  <w:tcW w:w="1209" w:type="pct"/>
                  <w:tcBorders>
                    <w:tl2br w:val="nil"/>
                    <w:tr2bl w:val="nil"/>
                  </w:tcBorders>
                  <w:noWrap w:val="0"/>
                  <w:vAlign w:val="center"/>
                </w:tcPr>
                <w:p w14:paraId="327D04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标准值</w:t>
                  </w:r>
                </w:p>
              </w:tc>
              <w:tc>
                <w:tcPr>
                  <w:tcW w:w="2722" w:type="pct"/>
                  <w:tcBorders>
                    <w:tl2br w:val="nil"/>
                    <w:tr2bl w:val="nil"/>
                  </w:tcBorders>
                  <w:noWrap w:val="0"/>
                  <w:vAlign w:val="center"/>
                </w:tcPr>
                <w:p w14:paraId="216120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标准来源</w:t>
                  </w:r>
                </w:p>
              </w:tc>
            </w:tr>
            <w:tr w14:paraId="353ADD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7" w:type="pct"/>
                  <w:tcBorders>
                    <w:tl2br w:val="nil"/>
                    <w:tr2bl w:val="nil"/>
                  </w:tcBorders>
                  <w:noWrap w:val="0"/>
                  <w:vAlign w:val="center"/>
                </w:tcPr>
                <w:p w14:paraId="3B97FC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pH</w:t>
                  </w:r>
                </w:p>
              </w:tc>
              <w:tc>
                <w:tcPr>
                  <w:tcW w:w="1209" w:type="pct"/>
                  <w:tcBorders>
                    <w:tl2br w:val="nil"/>
                    <w:tr2bl w:val="nil"/>
                  </w:tcBorders>
                  <w:noWrap w:val="0"/>
                  <w:vAlign w:val="center"/>
                </w:tcPr>
                <w:p w14:paraId="5E11B2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6～9</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无量纲</w:t>
                  </w:r>
                  <w:r>
                    <w:rPr>
                      <w:rFonts w:hint="eastAsia" w:ascii="Times New Roman" w:hAnsi="Times New Roman" w:eastAsia="宋体" w:cs="Times New Roman"/>
                      <w:color w:val="auto"/>
                      <w:kern w:val="0"/>
                      <w:sz w:val="21"/>
                      <w:szCs w:val="20"/>
                      <w:lang w:val="en-US" w:eastAsia="zh-CN" w:bidi="ar-SA"/>
                    </w:rPr>
                    <w:t>）</w:t>
                  </w:r>
                </w:p>
              </w:tc>
              <w:tc>
                <w:tcPr>
                  <w:tcW w:w="2722" w:type="pct"/>
                  <w:vMerge w:val="restart"/>
                  <w:tcBorders>
                    <w:tl2br w:val="nil"/>
                    <w:tr2bl w:val="nil"/>
                  </w:tcBorders>
                  <w:noWrap w:val="0"/>
                  <w:vAlign w:val="center"/>
                </w:tcPr>
                <w:p w14:paraId="7062D9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《污水综合排放标准》</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GB8978-1996</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中表4三级标准</w:t>
                  </w:r>
                </w:p>
              </w:tc>
            </w:tr>
            <w:tr w14:paraId="371D41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7" w:type="pct"/>
                  <w:tcBorders>
                    <w:tl2br w:val="nil"/>
                    <w:tr2bl w:val="nil"/>
                  </w:tcBorders>
                  <w:noWrap w:val="0"/>
                  <w:vAlign w:val="center"/>
                </w:tcPr>
                <w:p w14:paraId="4F8EF6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COD</w:t>
                  </w:r>
                </w:p>
              </w:tc>
              <w:tc>
                <w:tcPr>
                  <w:tcW w:w="1209" w:type="pct"/>
                  <w:tcBorders>
                    <w:tl2br w:val="nil"/>
                    <w:tr2bl w:val="nil"/>
                  </w:tcBorders>
                  <w:noWrap w:val="0"/>
                  <w:vAlign w:val="center"/>
                </w:tcPr>
                <w:p w14:paraId="103A25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500mg/L</w:t>
                  </w:r>
                </w:p>
              </w:tc>
              <w:tc>
                <w:tcPr>
                  <w:tcW w:w="2722" w:type="pct"/>
                  <w:vMerge w:val="continue"/>
                  <w:tcBorders>
                    <w:tl2br w:val="nil"/>
                    <w:tr2bl w:val="nil"/>
                  </w:tcBorders>
                  <w:noWrap w:val="0"/>
                  <w:vAlign w:val="center"/>
                </w:tcPr>
                <w:p w14:paraId="218126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r>
            <w:tr w14:paraId="510BBC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7" w:type="pct"/>
                  <w:tcBorders>
                    <w:tl2br w:val="nil"/>
                    <w:tr2bl w:val="nil"/>
                  </w:tcBorders>
                  <w:noWrap w:val="0"/>
                  <w:vAlign w:val="center"/>
                </w:tcPr>
                <w:p w14:paraId="6F7498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BOD</w:t>
                  </w:r>
                  <w:r>
                    <w:rPr>
                      <w:rFonts w:ascii="Times New Roman" w:hAnsi="Times New Roman" w:eastAsia="宋体" w:cs="Times New Roman"/>
                      <w:color w:val="auto"/>
                      <w:kern w:val="0"/>
                      <w:sz w:val="21"/>
                      <w:szCs w:val="20"/>
                      <w:vertAlign w:val="subscript"/>
                      <w:lang w:val="en-US" w:eastAsia="zh-CN" w:bidi="ar-SA"/>
                    </w:rPr>
                    <w:t>5</w:t>
                  </w:r>
                </w:p>
              </w:tc>
              <w:tc>
                <w:tcPr>
                  <w:tcW w:w="1209" w:type="pct"/>
                  <w:tcBorders>
                    <w:tl2br w:val="nil"/>
                    <w:tr2bl w:val="nil"/>
                  </w:tcBorders>
                  <w:noWrap w:val="0"/>
                  <w:vAlign w:val="center"/>
                </w:tcPr>
                <w:p w14:paraId="485DD2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300mg/L</w:t>
                  </w:r>
                </w:p>
              </w:tc>
              <w:tc>
                <w:tcPr>
                  <w:tcW w:w="2722" w:type="pct"/>
                  <w:vMerge w:val="continue"/>
                  <w:tcBorders>
                    <w:tl2br w:val="nil"/>
                    <w:tr2bl w:val="nil"/>
                  </w:tcBorders>
                  <w:noWrap w:val="0"/>
                  <w:vAlign w:val="center"/>
                </w:tcPr>
                <w:p w14:paraId="6AD14A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r>
            <w:tr w14:paraId="05CDC3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7" w:type="pct"/>
                  <w:tcBorders>
                    <w:tl2br w:val="nil"/>
                    <w:tr2bl w:val="nil"/>
                  </w:tcBorders>
                  <w:noWrap w:val="0"/>
                  <w:vAlign w:val="center"/>
                </w:tcPr>
                <w:p w14:paraId="1DE14E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SS</w:t>
                  </w:r>
                </w:p>
              </w:tc>
              <w:tc>
                <w:tcPr>
                  <w:tcW w:w="1209" w:type="pct"/>
                  <w:tcBorders>
                    <w:tl2br w:val="nil"/>
                    <w:tr2bl w:val="nil"/>
                  </w:tcBorders>
                  <w:noWrap w:val="0"/>
                  <w:vAlign w:val="center"/>
                </w:tcPr>
                <w:p w14:paraId="7C8409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400mg/L</w:t>
                  </w:r>
                </w:p>
              </w:tc>
              <w:tc>
                <w:tcPr>
                  <w:tcW w:w="2722" w:type="pct"/>
                  <w:vMerge w:val="continue"/>
                  <w:tcBorders>
                    <w:tl2br w:val="nil"/>
                    <w:tr2bl w:val="nil"/>
                  </w:tcBorders>
                  <w:noWrap w:val="0"/>
                  <w:vAlign w:val="center"/>
                </w:tcPr>
                <w:p w14:paraId="4E87D2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r>
            <w:tr w14:paraId="086DDD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7" w:type="pct"/>
                  <w:tcBorders>
                    <w:tl2br w:val="nil"/>
                    <w:tr2bl w:val="nil"/>
                  </w:tcBorders>
                  <w:noWrap w:val="0"/>
                  <w:vAlign w:val="center"/>
                </w:tcPr>
                <w:p w14:paraId="2176B13D">
                  <w:pPr>
                    <w:adjustRightInd w:val="0"/>
                    <w:snapToGrid w:val="0"/>
                    <w:spacing w:before="24" w:beforeLines="10" w:after="24" w:afterLines="10"/>
                    <w:jc w:val="center"/>
                    <w:rPr>
                      <w:rFonts w:ascii="Times New Roman" w:hAnsi="Times New Roman" w:eastAsia="宋体" w:cs="Times New Roman"/>
                      <w:color w:val="auto"/>
                      <w:kern w:val="0"/>
                      <w:sz w:val="21"/>
                      <w:szCs w:val="20"/>
                      <w:lang w:val="en-US" w:eastAsia="zh-CN" w:bidi="ar-SA"/>
                    </w:rPr>
                  </w:pPr>
                  <w:r>
                    <w:rPr>
                      <w:rFonts w:hint="eastAsia"/>
                      <w:color w:val="auto"/>
                      <w:kern w:val="0"/>
                      <w:szCs w:val="20"/>
                    </w:rPr>
                    <w:t>阴离子表面活性剂</w:t>
                  </w:r>
                </w:p>
              </w:tc>
              <w:tc>
                <w:tcPr>
                  <w:tcW w:w="1209" w:type="pct"/>
                  <w:tcBorders>
                    <w:tl2br w:val="nil"/>
                    <w:tr2bl w:val="nil"/>
                  </w:tcBorders>
                  <w:noWrap w:val="0"/>
                  <w:vAlign w:val="center"/>
                </w:tcPr>
                <w:p w14:paraId="21674FAF">
                  <w:pPr>
                    <w:adjustRightInd w:val="0"/>
                    <w:snapToGrid w:val="0"/>
                    <w:spacing w:before="24" w:beforeLines="10" w:after="24" w:afterLines="10"/>
                    <w:jc w:val="center"/>
                    <w:rPr>
                      <w:rFonts w:ascii="Times New Roman" w:hAnsi="Times New Roman" w:eastAsia="宋体" w:cs="Times New Roman"/>
                      <w:color w:val="auto"/>
                      <w:kern w:val="0"/>
                      <w:sz w:val="21"/>
                      <w:szCs w:val="20"/>
                      <w:lang w:val="en-US" w:eastAsia="zh-CN" w:bidi="ar-SA"/>
                    </w:rPr>
                  </w:pPr>
                  <w:r>
                    <w:rPr>
                      <w:rFonts w:hint="eastAsia"/>
                      <w:color w:val="auto"/>
                      <w:kern w:val="0"/>
                      <w:szCs w:val="20"/>
                      <w:lang w:val="en-US" w:eastAsia="zh-CN"/>
                    </w:rPr>
                    <w:t>20</w:t>
                  </w:r>
                  <w:r>
                    <w:rPr>
                      <w:color w:val="auto"/>
                      <w:kern w:val="0"/>
                      <w:szCs w:val="20"/>
                    </w:rPr>
                    <w:t>mg/L</w:t>
                  </w:r>
                </w:p>
              </w:tc>
              <w:tc>
                <w:tcPr>
                  <w:tcW w:w="2722" w:type="pct"/>
                  <w:vMerge w:val="continue"/>
                  <w:tcBorders>
                    <w:tl2br w:val="nil"/>
                    <w:tr2bl w:val="nil"/>
                  </w:tcBorders>
                  <w:noWrap w:val="0"/>
                  <w:vAlign w:val="center"/>
                </w:tcPr>
                <w:p w14:paraId="3FBB9D2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r>
            <w:tr w14:paraId="352517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7" w:type="pct"/>
                  <w:tcBorders>
                    <w:tl2br w:val="nil"/>
                    <w:tr2bl w:val="nil"/>
                  </w:tcBorders>
                  <w:noWrap w:val="0"/>
                  <w:vAlign w:val="center"/>
                </w:tcPr>
                <w:p w14:paraId="0B0112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NH</w:t>
                  </w:r>
                  <w:r>
                    <w:rPr>
                      <w:rFonts w:ascii="Times New Roman" w:hAnsi="Times New Roman" w:eastAsia="宋体" w:cs="Times New Roman"/>
                      <w:color w:val="auto"/>
                      <w:kern w:val="0"/>
                      <w:sz w:val="21"/>
                      <w:szCs w:val="20"/>
                      <w:vertAlign w:val="subscript"/>
                      <w:lang w:val="en-US" w:eastAsia="zh-CN" w:bidi="ar-SA"/>
                    </w:rPr>
                    <w:t>3</w:t>
                  </w:r>
                  <w:r>
                    <w:rPr>
                      <w:rFonts w:ascii="Times New Roman" w:hAnsi="Times New Roman" w:eastAsia="宋体" w:cs="Times New Roman"/>
                      <w:color w:val="auto"/>
                      <w:kern w:val="0"/>
                      <w:sz w:val="21"/>
                      <w:szCs w:val="20"/>
                      <w:lang w:val="en-US" w:eastAsia="zh-CN" w:bidi="ar-SA"/>
                    </w:rPr>
                    <w:t>-N</w:t>
                  </w:r>
                </w:p>
              </w:tc>
              <w:tc>
                <w:tcPr>
                  <w:tcW w:w="1209" w:type="pct"/>
                  <w:tcBorders>
                    <w:tl2br w:val="nil"/>
                    <w:tr2bl w:val="nil"/>
                  </w:tcBorders>
                  <w:noWrap w:val="0"/>
                  <w:vAlign w:val="center"/>
                </w:tcPr>
                <w:p w14:paraId="4E337E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45mg/L</w:t>
                  </w:r>
                </w:p>
              </w:tc>
              <w:tc>
                <w:tcPr>
                  <w:tcW w:w="2722" w:type="pct"/>
                  <w:tcBorders>
                    <w:tl2br w:val="nil"/>
                    <w:tr2bl w:val="nil"/>
                  </w:tcBorders>
                  <w:noWrap w:val="0"/>
                  <w:vAlign w:val="center"/>
                </w:tcPr>
                <w:p w14:paraId="455FB3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参照执行《污水排入城镇下水道水质标准》</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GB/T 31962-2015</w:t>
                  </w:r>
                  <w:r>
                    <w:rPr>
                      <w:rFonts w:hint="eastAsia" w:ascii="Times New Roman" w:hAnsi="Times New Roman" w:eastAsia="宋体"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表1中B级标准</w:t>
                  </w:r>
                </w:p>
              </w:tc>
            </w:tr>
          </w:tbl>
          <w:p w14:paraId="0C2002B7">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w:t>
            </w:r>
            <w:r>
              <w:rPr>
                <w:rFonts w:hint="eastAsia" w:cs="宋体"/>
                <w:color w:val="auto"/>
                <w:kern w:val="2"/>
                <w:sz w:val="24"/>
                <w:szCs w:val="24"/>
                <w:lang w:val="en-US" w:eastAsia="zh-CN" w:bidi="ar-SA"/>
              </w:rPr>
              <w:t>污水处理厂</w:t>
            </w:r>
            <w:r>
              <w:rPr>
                <w:rFonts w:hint="eastAsia" w:ascii="Times New Roman" w:hAnsi="Times New Roman" w:eastAsia="宋体" w:cs="宋体"/>
                <w:color w:val="auto"/>
                <w:kern w:val="2"/>
                <w:sz w:val="24"/>
                <w:szCs w:val="24"/>
                <w:lang w:val="en-US" w:eastAsia="zh-CN" w:bidi="ar-SA"/>
              </w:rPr>
              <w:t>排放标准</w:t>
            </w:r>
          </w:p>
          <w:p w14:paraId="509E4F7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根据调查，大学城污水处理厂尾水排入溪源溪，尾水排放执行《城镇污水处理厂污染物排放标准》（GB18918-2002）及其修改单表1的一级A标准，具体详见表3.7-2。</w:t>
            </w:r>
          </w:p>
          <w:p w14:paraId="627D8F56">
            <w:pPr>
              <w:widowControl w:val="0"/>
              <w:bidi w:val="0"/>
              <w:adjustRightInd w:val="0"/>
              <w:snapToGrid w:val="0"/>
              <w:spacing w:before="10" w:beforeLines="10" w:after="10" w:afterLines="10"/>
              <w:jc w:val="center"/>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表3.7-2</w:t>
            </w:r>
            <w:r>
              <w:rPr>
                <w:rFonts w:hint="eastAsia" w:cs="Times New Roman"/>
                <w:b/>
                <w:color w:val="auto"/>
                <w:kern w:val="0"/>
                <w:sz w:val="24"/>
                <w:szCs w:val="20"/>
                <w:lang w:val="en-US" w:eastAsia="zh-CN" w:bidi="ar-SA"/>
              </w:rPr>
              <w:t xml:space="preserve">  </w:t>
            </w:r>
            <w:r>
              <w:rPr>
                <w:rFonts w:hint="eastAsia" w:ascii="Times New Roman" w:hAnsi="Times New Roman" w:eastAsia="宋体" w:cs="Times New Roman"/>
                <w:b/>
                <w:color w:val="auto"/>
                <w:kern w:val="0"/>
                <w:sz w:val="24"/>
                <w:szCs w:val="20"/>
                <w:lang w:val="en-US" w:eastAsia="zh-CN" w:bidi="ar-SA"/>
              </w:rPr>
              <w:t>污水处理厂尾水排放标准</w:t>
            </w:r>
          </w:p>
          <w:tbl>
            <w:tblPr>
              <w:tblStyle w:val="20"/>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9"/>
              <w:gridCol w:w="2949"/>
              <w:gridCol w:w="2105"/>
              <w:gridCol w:w="2105"/>
            </w:tblGrid>
            <w:tr w14:paraId="1BDDCB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8" w:type="pct"/>
                  <w:tcBorders>
                    <w:tl2br w:val="nil"/>
                    <w:tr2bl w:val="nil"/>
                  </w:tcBorders>
                  <w:noWrap w:val="0"/>
                  <w:vAlign w:val="center"/>
                </w:tcPr>
                <w:p w14:paraId="0F74EF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序号</w:t>
                  </w:r>
                </w:p>
              </w:tc>
              <w:tc>
                <w:tcPr>
                  <w:tcW w:w="1751" w:type="pct"/>
                  <w:tcBorders>
                    <w:tl2br w:val="nil"/>
                    <w:tr2bl w:val="nil"/>
                  </w:tcBorders>
                  <w:noWrap w:val="0"/>
                  <w:vAlign w:val="center"/>
                </w:tcPr>
                <w:p w14:paraId="32DDAD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污染物名称</w:t>
                  </w:r>
                </w:p>
              </w:tc>
              <w:tc>
                <w:tcPr>
                  <w:tcW w:w="1250" w:type="pct"/>
                  <w:tcBorders>
                    <w:tl2br w:val="nil"/>
                    <w:tr2bl w:val="nil"/>
                  </w:tcBorders>
                  <w:noWrap w:val="0"/>
                  <w:vAlign w:val="center"/>
                </w:tcPr>
                <w:p w14:paraId="601CE8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一级标准B标准</w:t>
                  </w:r>
                </w:p>
              </w:tc>
              <w:tc>
                <w:tcPr>
                  <w:tcW w:w="1250" w:type="pct"/>
                  <w:tcBorders>
                    <w:tl2br w:val="nil"/>
                    <w:tr2bl w:val="nil"/>
                  </w:tcBorders>
                  <w:noWrap w:val="0"/>
                  <w:vAlign w:val="center"/>
                </w:tcPr>
                <w:p w14:paraId="2EAACD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标准来源</w:t>
                  </w:r>
                </w:p>
              </w:tc>
            </w:tr>
            <w:tr w14:paraId="689BAC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8" w:type="pct"/>
                  <w:tcBorders>
                    <w:tl2br w:val="nil"/>
                    <w:tr2bl w:val="nil"/>
                  </w:tcBorders>
                  <w:noWrap w:val="0"/>
                  <w:vAlign w:val="center"/>
                </w:tcPr>
                <w:p w14:paraId="11D244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w:t>
                  </w:r>
                </w:p>
              </w:tc>
              <w:tc>
                <w:tcPr>
                  <w:tcW w:w="1751" w:type="pct"/>
                  <w:tcBorders>
                    <w:tl2br w:val="nil"/>
                    <w:tr2bl w:val="nil"/>
                  </w:tcBorders>
                  <w:noWrap w:val="0"/>
                  <w:vAlign w:val="center"/>
                </w:tcPr>
                <w:p w14:paraId="4F62F4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pH值</w:t>
                  </w:r>
                </w:p>
              </w:tc>
              <w:tc>
                <w:tcPr>
                  <w:tcW w:w="1250" w:type="pct"/>
                  <w:tcBorders>
                    <w:tl2br w:val="nil"/>
                    <w:tr2bl w:val="nil"/>
                  </w:tcBorders>
                  <w:noWrap w:val="0"/>
                  <w:vAlign w:val="center"/>
                </w:tcPr>
                <w:p w14:paraId="78D4F94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ascii="Times New Roman" w:hAnsi="Times New Roman" w:eastAsia="宋体" w:cs="Times New Roman"/>
                      <w:color w:val="auto"/>
                      <w:kern w:val="0"/>
                      <w:sz w:val="21"/>
                      <w:szCs w:val="21"/>
                      <w:lang w:val="en-US" w:eastAsia="zh-CN" w:bidi="ar-SA"/>
                    </w:rPr>
                    <w:t>6～9</w:t>
                  </w:r>
                  <w:r>
                    <w:rPr>
                      <w:rFonts w:hint="eastAsia" w:ascii="Times New Roman" w:hAnsi="Times New Roman" w:eastAsia="宋体" w:cs="Times New Roman"/>
                      <w:color w:val="auto"/>
                      <w:kern w:val="0"/>
                      <w:sz w:val="21"/>
                      <w:szCs w:val="21"/>
                      <w:lang w:val="en-US" w:eastAsia="zh-CN" w:bidi="ar-SA"/>
                    </w:rPr>
                    <w:t>（</w:t>
                  </w:r>
                  <w:r>
                    <w:rPr>
                      <w:rFonts w:ascii="Times New Roman" w:hAnsi="Times New Roman" w:eastAsia="宋体" w:cs="Times New Roman"/>
                      <w:color w:val="auto"/>
                      <w:kern w:val="0"/>
                      <w:sz w:val="21"/>
                      <w:szCs w:val="21"/>
                      <w:lang w:val="en-US" w:eastAsia="zh-CN" w:bidi="ar-SA"/>
                    </w:rPr>
                    <w:t>无量纲</w:t>
                  </w:r>
                  <w:r>
                    <w:rPr>
                      <w:rFonts w:hint="eastAsia" w:ascii="Times New Roman" w:hAnsi="Times New Roman" w:eastAsia="宋体" w:cs="Times New Roman"/>
                      <w:color w:val="auto"/>
                      <w:kern w:val="0"/>
                      <w:sz w:val="21"/>
                      <w:szCs w:val="21"/>
                      <w:lang w:val="en-US" w:eastAsia="zh-CN" w:bidi="ar-SA"/>
                    </w:rPr>
                    <w:t>）</w:t>
                  </w:r>
                </w:p>
              </w:tc>
              <w:tc>
                <w:tcPr>
                  <w:tcW w:w="1250" w:type="pct"/>
                  <w:vMerge w:val="restart"/>
                  <w:tcBorders>
                    <w:tl2br w:val="nil"/>
                    <w:tr2bl w:val="nil"/>
                  </w:tcBorders>
                  <w:noWrap w:val="0"/>
                  <w:vAlign w:val="center"/>
                </w:tcPr>
                <w:p w14:paraId="41B0FE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《城镇污水处理厂污染物排放标准》（GB18918-2002）及其修改单表1的一级标准</w:t>
                  </w:r>
                  <w:r>
                    <w:rPr>
                      <w:rFonts w:hint="eastAsia" w:ascii="Times New Roman" w:hAnsi="Times New Roman" w:eastAsia="宋体" w:cs="Times New Roman"/>
                      <w:color w:val="auto"/>
                      <w:kern w:val="0"/>
                      <w:sz w:val="21"/>
                      <w:szCs w:val="21"/>
                      <w:lang w:val="en-US" w:eastAsia="zh-CN" w:bidi="ar-SA"/>
                    </w:rPr>
                    <w:t>A</w:t>
                  </w:r>
                  <w:r>
                    <w:rPr>
                      <w:rFonts w:hint="default" w:ascii="Times New Roman" w:hAnsi="Times New Roman" w:eastAsia="宋体" w:cs="Times New Roman"/>
                      <w:color w:val="auto"/>
                      <w:kern w:val="0"/>
                      <w:sz w:val="21"/>
                      <w:szCs w:val="21"/>
                      <w:lang w:val="en-US" w:eastAsia="zh-CN" w:bidi="ar-SA"/>
                    </w:rPr>
                    <w:t>标准</w:t>
                  </w:r>
                </w:p>
              </w:tc>
            </w:tr>
            <w:tr w14:paraId="785A78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8" w:type="pct"/>
                  <w:tcBorders>
                    <w:tl2br w:val="nil"/>
                    <w:tr2bl w:val="nil"/>
                  </w:tcBorders>
                  <w:noWrap w:val="0"/>
                  <w:vAlign w:val="center"/>
                </w:tcPr>
                <w:p w14:paraId="3B6FC4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w:t>
                  </w:r>
                </w:p>
              </w:tc>
              <w:tc>
                <w:tcPr>
                  <w:tcW w:w="1751" w:type="pct"/>
                  <w:tcBorders>
                    <w:tl2br w:val="nil"/>
                    <w:tr2bl w:val="nil"/>
                  </w:tcBorders>
                  <w:noWrap w:val="0"/>
                  <w:vAlign w:val="center"/>
                </w:tcPr>
                <w:p w14:paraId="62F0DB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COD</w:t>
                  </w:r>
                </w:p>
              </w:tc>
              <w:tc>
                <w:tcPr>
                  <w:tcW w:w="1250" w:type="pct"/>
                  <w:tcBorders>
                    <w:tl2br w:val="nil"/>
                    <w:tr2bl w:val="nil"/>
                  </w:tcBorders>
                  <w:noWrap w:val="0"/>
                  <w:vAlign w:val="center"/>
                </w:tcPr>
                <w:p w14:paraId="47F124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25m</w:t>
                  </w:r>
                  <w:r>
                    <w:rPr>
                      <w:rFonts w:ascii="Times New Roman" w:hAnsi="Times New Roman" w:eastAsia="宋体" w:cs="Times New Roman"/>
                      <w:color w:val="auto"/>
                      <w:kern w:val="0"/>
                      <w:sz w:val="21"/>
                      <w:szCs w:val="21"/>
                      <w:lang w:val="en-US" w:eastAsia="zh-CN" w:bidi="ar-SA"/>
                    </w:rPr>
                    <w:t>g/L</w:t>
                  </w:r>
                </w:p>
              </w:tc>
              <w:tc>
                <w:tcPr>
                  <w:tcW w:w="1250" w:type="pct"/>
                  <w:vMerge w:val="continue"/>
                  <w:tcBorders>
                    <w:tl2br w:val="nil"/>
                    <w:tr2bl w:val="nil"/>
                  </w:tcBorders>
                  <w:noWrap w:val="0"/>
                  <w:vAlign w:val="center"/>
                </w:tcPr>
                <w:p w14:paraId="1256EE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p>
              </w:tc>
            </w:tr>
            <w:tr w14:paraId="76EC28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8" w:type="pct"/>
                  <w:tcBorders>
                    <w:tl2br w:val="nil"/>
                    <w:tr2bl w:val="nil"/>
                  </w:tcBorders>
                  <w:noWrap w:val="0"/>
                  <w:vAlign w:val="center"/>
                </w:tcPr>
                <w:p w14:paraId="61A590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3</w:t>
                  </w:r>
                </w:p>
              </w:tc>
              <w:tc>
                <w:tcPr>
                  <w:tcW w:w="1751" w:type="pct"/>
                  <w:tcBorders>
                    <w:tl2br w:val="nil"/>
                    <w:tr2bl w:val="nil"/>
                  </w:tcBorders>
                  <w:noWrap w:val="0"/>
                  <w:vAlign w:val="center"/>
                </w:tcPr>
                <w:p w14:paraId="793CF9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BOD</w:t>
                  </w:r>
                  <w:r>
                    <w:rPr>
                      <w:rFonts w:hint="eastAsia" w:ascii="Times New Roman" w:hAnsi="Times New Roman" w:eastAsia="宋体" w:cs="Times New Roman"/>
                      <w:color w:val="auto"/>
                      <w:kern w:val="0"/>
                      <w:sz w:val="21"/>
                      <w:szCs w:val="21"/>
                      <w:vertAlign w:val="subscript"/>
                      <w:lang w:val="en-US" w:eastAsia="zh-CN" w:bidi="ar-SA"/>
                    </w:rPr>
                    <w:t>5</w:t>
                  </w:r>
                </w:p>
              </w:tc>
              <w:tc>
                <w:tcPr>
                  <w:tcW w:w="1250" w:type="pct"/>
                  <w:tcBorders>
                    <w:tl2br w:val="nil"/>
                    <w:tr2bl w:val="nil"/>
                  </w:tcBorders>
                  <w:noWrap w:val="0"/>
                  <w:vAlign w:val="center"/>
                </w:tcPr>
                <w:p w14:paraId="666321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w:t>
                  </w:r>
                  <w:r>
                    <w:rPr>
                      <w:rFonts w:ascii="Times New Roman" w:hAnsi="Times New Roman" w:eastAsia="宋体" w:cs="Times New Roman"/>
                      <w:color w:val="auto"/>
                      <w:kern w:val="0"/>
                      <w:sz w:val="21"/>
                      <w:szCs w:val="21"/>
                      <w:lang w:val="en-US" w:eastAsia="zh-CN" w:bidi="ar-SA"/>
                    </w:rPr>
                    <w:t>0mg/L</w:t>
                  </w:r>
                </w:p>
              </w:tc>
              <w:tc>
                <w:tcPr>
                  <w:tcW w:w="1250" w:type="pct"/>
                  <w:vMerge w:val="continue"/>
                  <w:tcBorders>
                    <w:tl2br w:val="nil"/>
                    <w:tr2bl w:val="nil"/>
                  </w:tcBorders>
                  <w:noWrap w:val="0"/>
                  <w:vAlign w:val="center"/>
                </w:tcPr>
                <w:p w14:paraId="767810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p>
              </w:tc>
            </w:tr>
            <w:tr w14:paraId="022A5E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8" w:type="pct"/>
                  <w:tcBorders>
                    <w:tl2br w:val="nil"/>
                    <w:tr2bl w:val="nil"/>
                  </w:tcBorders>
                  <w:noWrap w:val="0"/>
                  <w:vAlign w:val="center"/>
                </w:tcPr>
                <w:p w14:paraId="5F6CCD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4</w:t>
                  </w:r>
                </w:p>
              </w:tc>
              <w:tc>
                <w:tcPr>
                  <w:tcW w:w="1751" w:type="pct"/>
                  <w:tcBorders>
                    <w:tl2br w:val="nil"/>
                    <w:tr2bl w:val="nil"/>
                  </w:tcBorders>
                  <w:noWrap w:val="0"/>
                  <w:vAlign w:val="center"/>
                </w:tcPr>
                <w:p w14:paraId="202AB7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SS</w:t>
                  </w:r>
                </w:p>
              </w:tc>
              <w:tc>
                <w:tcPr>
                  <w:tcW w:w="1250" w:type="pct"/>
                  <w:tcBorders>
                    <w:tl2br w:val="nil"/>
                    <w:tr2bl w:val="nil"/>
                  </w:tcBorders>
                  <w:noWrap w:val="0"/>
                  <w:vAlign w:val="center"/>
                </w:tcPr>
                <w:p w14:paraId="6825AE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w:t>
                  </w:r>
                  <w:r>
                    <w:rPr>
                      <w:rFonts w:ascii="Times New Roman" w:hAnsi="Times New Roman" w:eastAsia="宋体" w:cs="Times New Roman"/>
                      <w:color w:val="auto"/>
                      <w:kern w:val="0"/>
                      <w:sz w:val="21"/>
                      <w:szCs w:val="21"/>
                      <w:lang w:val="en-US" w:eastAsia="zh-CN" w:bidi="ar-SA"/>
                    </w:rPr>
                    <w:t>0mg/L</w:t>
                  </w:r>
                </w:p>
              </w:tc>
              <w:tc>
                <w:tcPr>
                  <w:tcW w:w="1250" w:type="pct"/>
                  <w:vMerge w:val="continue"/>
                  <w:tcBorders>
                    <w:tl2br w:val="nil"/>
                    <w:tr2bl w:val="nil"/>
                  </w:tcBorders>
                  <w:noWrap w:val="0"/>
                  <w:vAlign w:val="center"/>
                </w:tcPr>
                <w:p w14:paraId="2629CE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p>
              </w:tc>
            </w:tr>
            <w:tr w14:paraId="3250A2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8" w:type="pct"/>
                  <w:tcBorders>
                    <w:tl2br w:val="nil"/>
                    <w:tr2bl w:val="nil"/>
                  </w:tcBorders>
                  <w:noWrap w:val="0"/>
                  <w:vAlign w:val="center"/>
                </w:tcPr>
                <w:p w14:paraId="6B4745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5</w:t>
                  </w:r>
                </w:p>
              </w:tc>
              <w:tc>
                <w:tcPr>
                  <w:tcW w:w="1751" w:type="pct"/>
                  <w:tcBorders>
                    <w:tl2br w:val="nil"/>
                    <w:tr2bl w:val="nil"/>
                  </w:tcBorders>
                  <w:noWrap w:val="0"/>
                  <w:vAlign w:val="center"/>
                </w:tcPr>
                <w:p w14:paraId="289351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NH</w:t>
                  </w:r>
                  <w:r>
                    <w:rPr>
                      <w:rFonts w:hint="eastAsia" w:ascii="Times New Roman" w:hAnsi="Times New Roman" w:eastAsia="宋体" w:cs="Times New Roman"/>
                      <w:color w:val="auto"/>
                      <w:kern w:val="0"/>
                      <w:sz w:val="21"/>
                      <w:szCs w:val="21"/>
                      <w:vertAlign w:val="subscript"/>
                      <w:lang w:val="en-US" w:eastAsia="zh-CN" w:bidi="ar-SA"/>
                    </w:rPr>
                    <w:t>3</w:t>
                  </w:r>
                  <w:r>
                    <w:rPr>
                      <w:rFonts w:hint="eastAsia" w:ascii="Times New Roman" w:hAnsi="Times New Roman" w:eastAsia="宋体" w:cs="Times New Roman"/>
                      <w:color w:val="auto"/>
                      <w:kern w:val="0"/>
                      <w:sz w:val="21"/>
                      <w:szCs w:val="21"/>
                      <w:lang w:val="en-US" w:eastAsia="zh-CN" w:bidi="ar-SA"/>
                    </w:rPr>
                    <w:t>-N</w:t>
                  </w:r>
                </w:p>
              </w:tc>
              <w:tc>
                <w:tcPr>
                  <w:tcW w:w="1250" w:type="pct"/>
                  <w:tcBorders>
                    <w:tl2br w:val="nil"/>
                    <w:tr2bl w:val="nil"/>
                  </w:tcBorders>
                  <w:noWrap w:val="0"/>
                  <w:vAlign w:val="center"/>
                </w:tcPr>
                <w:p w14:paraId="131DDA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5</w:t>
                  </w:r>
                  <w:r>
                    <w:rPr>
                      <w:rFonts w:ascii="Times New Roman" w:hAnsi="Times New Roman" w:eastAsia="宋体" w:cs="Times New Roman"/>
                      <w:color w:val="auto"/>
                      <w:kern w:val="0"/>
                      <w:sz w:val="21"/>
                      <w:szCs w:val="21"/>
                      <w:lang w:val="en-US" w:eastAsia="zh-CN" w:bidi="ar-SA"/>
                    </w:rPr>
                    <w:t>mg/L</w:t>
                  </w:r>
                </w:p>
              </w:tc>
              <w:tc>
                <w:tcPr>
                  <w:tcW w:w="1250" w:type="pct"/>
                  <w:vMerge w:val="continue"/>
                  <w:tcBorders>
                    <w:tl2br w:val="nil"/>
                    <w:tr2bl w:val="nil"/>
                  </w:tcBorders>
                  <w:noWrap w:val="0"/>
                  <w:vAlign w:val="center"/>
                </w:tcPr>
                <w:p w14:paraId="3DF526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1"/>
                      <w:lang w:val="en-US" w:eastAsia="zh-CN" w:bidi="ar-SA"/>
                    </w:rPr>
                  </w:pPr>
                </w:p>
              </w:tc>
            </w:tr>
          </w:tbl>
          <w:p w14:paraId="0DDA872F">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66" w:name="_Toc17985"/>
            <w:r>
              <w:rPr>
                <w:rFonts w:hint="eastAsia" w:ascii="Times New Roman" w:hAnsi="Times New Roman" w:eastAsia="宋体" w:cs="Times New Roman"/>
                <w:b/>
                <w:color w:val="auto"/>
                <w:kern w:val="2"/>
                <w:sz w:val="24"/>
                <w:szCs w:val="24"/>
                <w:lang w:val="en-US" w:eastAsia="zh-CN" w:bidi="ar-SA"/>
              </w:rPr>
              <w:t>3.7.2大气污染物排放标准</w:t>
            </w:r>
            <w:bookmarkEnd w:id="66"/>
          </w:p>
          <w:p w14:paraId="1BB1D300">
            <w:pPr>
              <w:keepNext/>
              <w:keepLines/>
              <w:widowControl w:val="0"/>
              <w:bidi w:val="0"/>
              <w:spacing w:beforeLines="0" w:beforeAutospacing="0" w:afterLines="0" w:afterAutospacing="0" w:line="360" w:lineRule="auto"/>
              <w:jc w:val="left"/>
              <w:outlineLvl w:val="2"/>
              <w:rPr>
                <w:rFonts w:hint="eastAsia" w:cs="宋体"/>
                <w:color w:val="auto"/>
                <w:kern w:val="2"/>
                <w:sz w:val="24"/>
                <w:szCs w:val="24"/>
                <w:lang w:val="en-US" w:eastAsia="zh-CN" w:bidi="ar-SA"/>
              </w:rPr>
            </w:pPr>
            <w:bookmarkStart w:id="67" w:name="_Toc20863"/>
            <w:bookmarkStart w:id="68" w:name="_Toc4474"/>
            <w:r>
              <w:rPr>
                <w:rFonts w:hint="eastAsia" w:ascii="Times New Roman" w:hAnsi="Times New Roman" w:eastAsia="宋体" w:cs="宋体"/>
                <w:color w:val="auto"/>
                <w:kern w:val="2"/>
                <w:sz w:val="24"/>
                <w:szCs w:val="24"/>
                <w:lang w:val="en-US" w:eastAsia="zh-CN" w:bidi="ar-SA"/>
              </w:rPr>
              <w:t>项目产生的废气包括</w:t>
            </w:r>
            <w:r>
              <w:rPr>
                <w:rFonts w:hint="eastAsia" w:cs="宋体"/>
                <w:color w:val="auto"/>
                <w:kern w:val="2"/>
                <w:sz w:val="24"/>
                <w:szCs w:val="24"/>
                <w:lang w:val="en-US" w:eastAsia="zh-CN" w:bidi="ar-SA"/>
              </w:rPr>
              <w:t>铣磨废气、</w:t>
            </w:r>
            <w:r>
              <w:rPr>
                <w:rFonts w:hint="eastAsia" w:ascii="Times New Roman" w:hAnsi="Times New Roman" w:eastAsia="宋体" w:cs="宋体"/>
                <w:color w:val="auto"/>
                <w:kern w:val="2"/>
                <w:sz w:val="24"/>
                <w:szCs w:val="24"/>
                <w:lang w:val="en-US" w:eastAsia="zh-CN" w:bidi="ar-SA"/>
              </w:rPr>
              <w:t>磨边</w:t>
            </w:r>
            <w:r>
              <w:rPr>
                <w:rFonts w:hint="eastAsia" w:cs="宋体"/>
                <w:color w:val="auto"/>
                <w:kern w:val="2"/>
                <w:sz w:val="24"/>
                <w:szCs w:val="24"/>
                <w:lang w:val="en-US" w:eastAsia="zh-CN" w:bidi="ar-SA"/>
              </w:rPr>
              <w:t>废气</w:t>
            </w:r>
            <w:r>
              <w:rPr>
                <w:rFonts w:hint="eastAsia" w:ascii="Times New Roman" w:hAnsi="Times New Roman" w:eastAsia="宋体" w:cs="宋体"/>
                <w:color w:val="auto"/>
                <w:kern w:val="2"/>
                <w:sz w:val="24"/>
                <w:szCs w:val="24"/>
                <w:lang w:val="en-US" w:eastAsia="zh-CN" w:bidi="ar-SA"/>
              </w:rPr>
              <w:t>、擦拭检测</w:t>
            </w:r>
            <w:r>
              <w:rPr>
                <w:rFonts w:hint="eastAsia" w:cs="宋体"/>
                <w:color w:val="auto"/>
                <w:kern w:val="2"/>
                <w:sz w:val="24"/>
                <w:szCs w:val="24"/>
                <w:lang w:val="en-US" w:eastAsia="zh-CN" w:bidi="ar-SA"/>
              </w:rPr>
              <w:t>废气</w:t>
            </w:r>
            <w:r>
              <w:rPr>
                <w:rFonts w:hint="eastAsia" w:ascii="Times New Roman" w:hAnsi="Times New Roman" w:eastAsia="宋体" w:cs="宋体"/>
                <w:color w:val="auto"/>
                <w:kern w:val="2"/>
                <w:sz w:val="24"/>
                <w:szCs w:val="24"/>
                <w:lang w:val="en-US" w:eastAsia="zh-CN" w:bidi="ar-SA"/>
              </w:rPr>
              <w:t>、超声波清洗</w:t>
            </w:r>
            <w:r>
              <w:rPr>
                <w:rFonts w:hint="eastAsia" w:cs="宋体"/>
                <w:color w:val="auto"/>
                <w:kern w:val="2"/>
                <w:sz w:val="24"/>
                <w:szCs w:val="24"/>
                <w:lang w:val="en-US" w:eastAsia="zh-CN" w:bidi="ar-SA"/>
              </w:rPr>
              <w:t>废气、抛光磨边投料废气，</w:t>
            </w:r>
            <w:r>
              <w:rPr>
                <w:rFonts w:hint="eastAsia" w:ascii="Times New Roman" w:hAnsi="Times New Roman" w:eastAsia="宋体" w:cs="宋体"/>
                <w:color w:val="auto"/>
                <w:kern w:val="2"/>
                <w:sz w:val="24"/>
                <w:szCs w:val="24"/>
                <w:lang w:val="en-US" w:eastAsia="zh-CN" w:bidi="ar-SA"/>
              </w:rPr>
              <w:t>污染物因子</w:t>
            </w:r>
            <w:r>
              <w:rPr>
                <w:rFonts w:hint="eastAsia" w:cs="宋体"/>
                <w:color w:val="auto"/>
                <w:kern w:val="2"/>
                <w:sz w:val="24"/>
                <w:szCs w:val="24"/>
                <w:lang w:val="en-US" w:eastAsia="zh-CN" w:bidi="ar-SA"/>
              </w:rPr>
              <w:t>为VOCs、乙醇、乙醚、丙酮（以非甲烷总烃计），颗粒物。</w:t>
            </w:r>
            <w:bookmarkEnd w:id="67"/>
            <w:bookmarkEnd w:id="68"/>
          </w:p>
          <w:p w14:paraId="2D87E267">
            <w:pPr>
              <w:pStyle w:val="48"/>
              <w:ind w:firstLine="480"/>
              <w:rPr>
                <w:rFonts w:hint="eastAsia" w:ascii="Times New Roman" w:hAnsi="Times New Roman" w:eastAsia="宋体" w:cs="Times New Roman"/>
                <w:b w:val="0"/>
                <w:bCs/>
                <w:color w:val="auto"/>
                <w:szCs w:val="24"/>
                <w:highlight w:val="none"/>
                <w:lang w:val="en-US" w:eastAsia="zh-CN"/>
              </w:rPr>
            </w:pPr>
            <w:r>
              <w:rPr>
                <w:rFonts w:hint="eastAsia" w:ascii="Times New Roman" w:hAnsi="Times New Roman" w:eastAsia="宋体" w:cs="Times New Roman"/>
                <w:b w:val="0"/>
                <w:bCs/>
                <w:color w:val="auto"/>
                <w:szCs w:val="24"/>
                <w:highlight w:val="none"/>
                <w:lang w:val="en-US" w:eastAsia="zh-CN"/>
              </w:rPr>
              <w:t>（1）有组织废气</w:t>
            </w:r>
          </w:p>
          <w:p w14:paraId="0A0A529C">
            <w:pPr>
              <w:pStyle w:val="48"/>
              <w:ind w:firstLine="480"/>
              <w:rPr>
                <w:rFonts w:hint="default"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本项目</w:t>
            </w:r>
            <w:r>
              <w:rPr>
                <w:rFonts w:hint="eastAsia" w:cs="宋体"/>
                <w:color w:val="auto"/>
                <w:kern w:val="2"/>
                <w:sz w:val="24"/>
                <w:szCs w:val="24"/>
                <w:highlight w:val="none"/>
                <w:lang w:val="en-US" w:eastAsia="zh-CN" w:bidi="ar-SA"/>
              </w:rPr>
              <w:t>VOCs、乙醇、乙醚、丙酮（以非甲烷总烃计）</w:t>
            </w:r>
            <w:r>
              <w:rPr>
                <w:rFonts w:hint="eastAsia" w:ascii="Times New Roman" w:hAnsi="Times New Roman" w:eastAsia="宋体" w:cs="宋体"/>
                <w:color w:val="auto"/>
                <w:kern w:val="2"/>
                <w:sz w:val="24"/>
                <w:szCs w:val="24"/>
                <w:highlight w:val="none"/>
                <w:lang w:val="en-US" w:eastAsia="zh-CN" w:bidi="ar-SA"/>
              </w:rPr>
              <w:t>有组织排放执行《工业企业挥发性有机物排放标准》（DB35/1782-2018）表1中其他行业标准。</w:t>
            </w:r>
          </w:p>
          <w:p w14:paraId="6E99263D">
            <w:pPr>
              <w:pStyle w:val="48"/>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val="0"/>
                <w:color w:val="auto"/>
                <w:szCs w:val="24"/>
                <w:highlight w:val="none"/>
                <w:lang w:eastAsia="zh-CN"/>
              </w:rPr>
            </w:pPr>
            <w:r>
              <w:rPr>
                <w:rFonts w:hint="eastAsia" w:ascii="Times New Roman" w:hAnsi="Times New Roman" w:eastAsia="宋体" w:cs="Times New Roman"/>
                <w:b/>
                <w:bCs w:val="0"/>
                <w:color w:val="auto"/>
                <w:szCs w:val="24"/>
                <w:highlight w:val="none"/>
                <w:lang w:val="en-US" w:eastAsia="zh-CN"/>
              </w:rPr>
              <w:t>表3</w:t>
            </w:r>
            <w:r>
              <w:rPr>
                <w:rFonts w:hint="eastAsia" w:cs="Times New Roman"/>
                <w:b/>
                <w:bCs w:val="0"/>
                <w:color w:val="auto"/>
                <w:szCs w:val="24"/>
                <w:highlight w:val="none"/>
                <w:lang w:val="en-US" w:eastAsia="zh-CN"/>
              </w:rPr>
              <w:t>.7</w:t>
            </w:r>
            <w:r>
              <w:rPr>
                <w:rFonts w:hint="eastAsia" w:ascii="Times New Roman" w:hAnsi="Times New Roman" w:eastAsia="宋体" w:cs="Times New Roman"/>
                <w:b/>
                <w:bCs w:val="0"/>
                <w:color w:val="auto"/>
                <w:szCs w:val="24"/>
                <w:highlight w:val="none"/>
                <w:lang w:val="en-US" w:eastAsia="zh-CN"/>
              </w:rPr>
              <w:t>-</w:t>
            </w:r>
            <w:r>
              <w:rPr>
                <w:rFonts w:hint="eastAsia" w:cs="Times New Roman"/>
                <w:b/>
                <w:bCs w:val="0"/>
                <w:color w:val="auto"/>
                <w:szCs w:val="24"/>
                <w:highlight w:val="none"/>
                <w:lang w:val="en-US" w:eastAsia="zh-CN"/>
              </w:rPr>
              <w:t xml:space="preserve">3  </w:t>
            </w:r>
            <w:r>
              <w:rPr>
                <w:rFonts w:hint="eastAsia" w:ascii="Times New Roman" w:hAnsi="Times New Roman" w:eastAsia="宋体" w:cs="Times New Roman"/>
                <w:b/>
                <w:bCs w:val="0"/>
                <w:color w:val="auto"/>
                <w:szCs w:val="24"/>
                <w:highlight w:val="none"/>
                <w:lang w:val="en-US" w:eastAsia="zh-CN"/>
              </w:rPr>
              <w:t>有组织废气污染物排放标准</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1221"/>
              <w:gridCol w:w="1326"/>
              <w:gridCol w:w="2123"/>
              <w:gridCol w:w="784"/>
              <w:gridCol w:w="785"/>
              <w:gridCol w:w="785"/>
            </w:tblGrid>
            <w:tr w14:paraId="56C3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 w:type="dxa"/>
                  <w:tcBorders>
                    <w:top w:val="single" w:color="auto" w:sz="12" w:space="0"/>
                    <w:left w:val="nil"/>
                  </w:tcBorders>
                  <w:noWrap w:val="0"/>
                  <w:vAlign w:val="center"/>
                </w:tcPr>
                <w:p w14:paraId="30860DC5">
                  <w:pPr>
                    <w:pStyle w:val="30"/>
                    <w:bidi w:val="0"/>
                    <w:rPr>
                      <w:rFonts w:hint="eastAsia" w:ascii="Times New Roman" w:hAnsi="Times New Roman" w:eastAsia="宋体" w:cs="Times New Roman"/>
                      <w:b/>
                      <w:bCs/>
                      <w:color w:val="auto"/>
                      <w:kern w:val="0"/>
                      <w:sz w:val="21"/>
                      <w:szCs w:val="21"/>
                      <w:highlight w:val="none"/>
                      <w:lang w:val="en-US" w:eastAsia="zh-CN" w:bidi="ar-SA"/>
                    </w:rPr>
                  </w:pPr>
                  <w:r>
                    <w:rPr>
                      <w:rFonts w:hint="eastAsia"/>
                      <w:b/>
                      <w:bCs/>
                      <w:color w:val="auto"/>
                      <w:sz w:val="21"/>
                      <w:szCs w:val="21"/>
                      <w:highlight w:val="none"/>
                      <w:lang w:val="en-US" w:eastAsia="zh-CN"/>
                    </w:rPr>
                    <w:t>行业名称</w:t>
                  </w:r>
                </w:p>
              </w:tc>
              <w:tc>
                <w:tcPr>
                  <w:tcW w:w="1221" w:type="dxa"/>
                  <w:tcBorders>
                    <w:top w:val="single" w:color="auto" w:sz="12" w:space="0"/>
                  </w:tcBorders>
                  <w:noWrap w:val="0"/>
                  <w:vAlign w:val="center"/>
                </w:tcPr>
                <w:p w14:paraId="79B3B2DC">
                  <w:pPr>
                    <w:pStyle w:val="30"/>
                    <w:bidi w:val="0"/>
                    <w:rPr>
                      <w:rFonts w:hint="eastAsia" w:ascii="Times New Roman" w:hAnsi="Times New Roman" w:eastAsia="宋体" w:cs="Times New Roman"/>
                      <w:b/>
                      <w:bCs/>
                      <w:color w:val="auto"/>
                      <w:kern w:val="0"/>
                      <w:sz w:val="21"/>
                      <w:szCs w:val="21"/>
                      <w:highlight w:val="none"/>
                      <w:lang w:val="en-US" w:eastAsia="zh-CN" w:bidi="ar-SA"/>
                    </w:rPr>
                  </w:pPr>
                  <w:r>
                    <w:rPr>
                      <w:rFonts w:hint="eastAsia"/>
                      <w:b/>
                      <w:bCs/>
                      <w:color w:val="auto"/>
                      <w:sz w:val="21"/>
                      <w:szCs w:val="21"/>
                      <w:highlight w:val="none"/>
                      <w:lang w:val="en-US" w:eastAsia="zh-CN"/>
                    </w:rPr>
                    <w:t>工艺设施</w:t>
                  </w:r>
                </w:p>
              </w:tc>
              <w:tc>
                <w:tcPr>
                  <w:tcW w:w="1326" w:type="dxa"/>
                  <w:tcBorders>
                    <w:top w:val="single" w:color="auto" w:sz="12" w:space="0"/>
                  </w:tcBorders>
                  <w:noWrap w:val="0"/>
                  <w:vAlign w:val="center"/>
                </w:tcPr>
                <w:p w14:paraId="458CBD18">
                  <w:pPr>
                    <w:pStyle w:val="30"/>
                    <w:bidi w:val="0"/>
                    <w:rPr>
                      <w:rFonts w:hint="eastAsia" w:ascii="Times New Roman" w:hAnsi="Times New Roman" w:eastAsia="宋体" w:cs="Times New Roman"/>
                      <w:b/>
                      <w:bCs/>
                      <w:color w:val="auto"/>
                      <w:kern w:val="0"/>
                      <w:sz w:val="21"/>
                      <w:szCs w:val="21"/>
                      <w:highlight w:val="none"/>
                      <w:lang w:val="en-US" w:eastAsia="zh-CN" w:bidi="ar-SA"/>
                    </w:rPr>
                  </w:pPr>
                  <w:r>
                    <w:rPr>
                      <w:rFonts w:hint="eastAsia"/>
                      <w:b/>
                      <w:bCs/>
                      <w:color w:val="auto"/>
                      <w:sz w:val="21"/>
                      <w:szCs w:val="21"/>
                      <w:highlight w:val="none"/>
                      <w:lang w:val="en-US" w:eastAsia="zh-CN"/>
                    </w:rPr>
                    <w:t>污染物项目</w:t>
                  </w:r>
                </w:p>
              </w:tc>
              <w:tc>
                <w:tcPr>
                  <w:tcW w:w="2123" w:type="dxa"/>
                  <w:tcBorders>
                    <w:top w:val="single" w:color="auto" w:sz="12" w:space="0"/>
                  </w:tcBorders>
                  <w:noWrap w:val="0"/>
                  <w:vAlign w:val="center"/>
                </w:tcPr>
                <w:p w14:paraId="235F5A5B">
                  <w:pPr>
                    <w:pStyle w:val="30"/>
                    <w:bidi w:val="0"/>
                    <w:rPr>
                      <w:rFonts w:hint="eastAsia" w:ascii="Times New Roman" w:hAnsi="Times New Roman" w:eastAsia="宋体" w:cs="Times New Roman"/>
                      <w:b/>
                      <w:bCs/>
                      <w:color w:val="auto"/>
                      <w:kern w:val="0"/>
                      <w:sz w:val="21"/>
                      <w:szCs w:val="21"/>
                      <w:highlight w:val="none"/>
                      <w:lang w:val="en-US" w:eastAsia="zh-CN" w:bidi="ar-SA"/>
                    </w:rPr>
                  </w:pPr>
                  <w:r>
                    <w:rPr>
                      <w:rFonts w:hint="eastAsia"/>
                      <w:b/>
                      <w:bCs/>
                      <w:color w:val="auto"/>
                      <w:sz w:val="21"/>
                      <w:szCs w:val="21"/>
                      <w:highlight w:val="none"/>
                      <w:lang w:val="en-US" w:eastAsia="zh-CN"/>
                    </w:rPr>
                    <w:t>最高允许排放浓度mg/m</w:t>
                  </w:r>
                  <w:r>
                    <w:rPr>
                      <w:rFonts w:hint="eastAsia"/>
                      <w:b/>
                      <w:bCs/>
                      <w:color w:val="auto"/>
                      <w:sz w:val="21"/>
                      <w:szCs w:val="21"/>
                      <w:highlight w:val="none"/>
                      <w:vertAlign w:val="superscript"/>
                      <w:lang w:val="en-US" w:eastAsia="zh-CN"/>
                    </w:rPr>
                    <w:t>3</w:t>
                  </w:r>
                </w:p>
              </w:tc>
              <w:tc>
                <w:tcPr>
                  <w:tcW w:w="2354" w:type="dxa"/>
                  <w:gridSpan w:val="3"/>
                  <w:tcBorders>
                    <w:top w:val="single" w:color="auto" w:sz="12" w:space="0"/>
                    <w:right w:val="nil"/>
                  </w:tcBorders>
                  <w:noWrap w:val="0"/>
                  <w:vAlign w:val="center"/>
                </w:tcPr>
                <w:p w14:paraId="11A84F0E">
                  <w:pPr>
                    <w:pStyle w:val="30"/>
                    <w:bidi w:val="0"/>
                    <w:rPr>
                      <w:rFonts w:hint="eastAsia"/>
                      <w:b/>
                      <w:bCs/>
                      <w:color w:val="auto"/>
                      <w:sz w:val="21"/>
                      <w:szCs w:val="21"/>
                      <w:highlight w:val="none"/>
                      <w:lang w:val="en-US" w:eastAsia="zh-CN"/>
                    </w:rPr>
                  </w:pPr>
                  <w:r>
                    <w:rPr>
                      <w:rFonts w:hint="eastAsia"/>
                      <w:b/>
                      <w:bCs/>
                      <w:color w:val="auto"/>
                      <w:sz w:val="21"/>
                      <w:szCs w:val="21"/>
                      <w:highlight w:val="none"/>
                      <w:lang w:val="en-US" w:eastAsia="zh-CN"/>
                    </w:rPr>
                    <w:t>最高允许排放速率</w:t>
                  </w:r>
                  <w:r>
                    <w:rPr>
                      <w:rFonts w:hint="eastAsia"/>
                      <w:b/>
                      <w:bCs/>
                      <w:color w:val="auto"/>
                      <w:sz w:val="21"/>
                      <w:szCs w:val="21"/>
                      <w:highlight w:val="none"/>
                      <w:vertAlign w:val="superscript"/>
                      <w:lang w:val="en-US" w:eastAsia="zh-CN"/>
                    </w:rPr>
                    <w:t>a</w:t>
                  </w:r>
                  <w:r>
                    <w:rPr>
                      <w:rFonts w:hint="eastAsia"/>
                      <w:b/>
                      <w:bCs/>
                      <w:color w:val="auto"/>
                      <w:sz w:val="21"/>
                      <w:szCs w:val="21"/>
                      <w:highlight w:val="none"/>
                      <w:lang w:val="en-US" w:eastAsia="zh-CN"/>
                    </w:rPr>
                    <w:t>kg/h</w:t>
                  </w:r>
                </w:p>
              </w:tc>
            </w:tr>
            <w:tr w14:paraId="5B90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 w:type="dxa"/>
                  <w:vMerge w:val="restart"/>
                  <w:tcBorders>
                    <w:left w:val="nil"/>
                  </w:tcBorders>
                  <w:noWrap w:val="0"/>
                  <w:vAlign w:val="center"/>
                </w:tcPr>
                <w:p w14:paraId="16539C6E">
                  <w:pPr>
                    <w:pStyle w:val="30"/>
                    <w:bidi w:val="0"/>
                    <w:rPr>
                      <w:rFonts w:hint="default"/>
                      <w:color w:val="auto"/>
                      <w:sz w:val="21"/>
                      <w:szCs w:val="21"/>
                      <w:highlight w:val="none"/>
                      <w:lang w:val="en-US" w:eastAsia="zh-CN"/>
                    </w:rPr>
                  </w:pPr>
                  <w:r>
                    <w:rPr>
                      <w:rFonts w:hint="eastAsia"/>
                      <w:color w:val="auto"/>
                      <w:sz w:val="21"/>
                      <w:szCs w:val="21"/>
                      <w:highlight w:val="none"/>
                      <w:lang w:val="en-US" w:eastAsia="zh-CN"/>
                    </w:rPr>
                    <w:t>其他行业</w:t>
                  </w:r>
                </w:p>
              </w:tc>
              <w:tc>
                <w:tcPr>
                  <w:tcW w:w="1221" w:type="dxa"/>
                  <w:vMerge w:val="restart"/>
                  <w:noWrap w:val="0"/>
                  <w:vAlign w:val="center"/>
                </w:tcPr>
                <w:p w14:paraId="74D3C14D">
                  <w:pPr>
                    <w:pStyle w:val="30"/>
                    <w:bidi w:val="0"/>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1326" w:type="dxa"/>
                  <w:vMerge w:val="restart"/>
                  <w:noWrap w:val="0"/>
                  <w:vAlign w:val="center"/>
                </w:tcPr>
                <w:p w14:paraId="57A8F9D1">
                  <w:pPr>
                    <w:pStyle w:val="59"/>
                    <w:spacing w:line="246" w:lineRule="exact"/>
                    <w:ind w:left="111"/>
                    <w:jc w:val="center"/>
                    <w:rPr>
                      <w:rFonts w:hint="default"/>
                      <w:color w:val="auto"/>
                      <w:sz w:val="21"/>
                      <w:szCs w:val="21"/>
                      <w:highlight w:val="none"/>
                      <w:lang w:val="en-US" w:eastAsia="zh-CN"/>
                    </w:rPr>
                  </w:pPr>
                  <w:r>
                    <w:rPr>
                      <w:rFonts w:hint="eastAsia" w:ascii="Times New Roman" w:hAnsi="Times New Roman" w:cs="Times New Roman"/>
                      <w:color w:val="auto"/>
                      <w:kern w:val="0"/>
                      <w:sz w:val="21"/>
                      <w:szCs w:val="21"/>
                      <w:highlight w:val="none"/>
                      <w:lang w:val="en-US" w:eastAsia="zh-CN" w:bidi="ar-SA"/>
                    </w:rPr>
                    <w:t>VOCs、乙醇、乙醚、丙酮（以非甲烷总烃计）</w:t>
                  </w:r>
                </w:p>
              </w:tc>
              <w:tc>
                <w:tcPr>
                  <w:tcW w:w="2123" w:type="dxa"/>
                  <w:vMerge w:val="restart"/>
                  <w:noWrap w:val="0"/>
                  <w:vAlign w:val="center"/>
                </w:tcPr>
                <w:p w14:paraId="281DC937">
                  <w:pPr>
                    <w:pStyle w:val="30"/>
                    <w:bidi w:val="0"/>
                    <w:rPr>
                      <w:rFonts w:hint="default"/>
                      <w:color w:val="auto"/>
                      <w:sz w:val="21"/>
                      <w:szCs w:val="21"/>
                      <w:highlight w:val="none"/>
                      <w:lang w:val="en-US" w:eastAsia="zh-CN"/>
                    </w:rPr>
                  </w:pPr>
                  <w:r>
                    <w:rPr>
                      <w:rFonts w:hint="eastAsia"/>
                      <w:color w:val="auto"/>
                      <w:sz w:val="21"/>
                      <w:szCs w:val="21"/>
                      <w:highlight w:val="none"/>
                      <w:lang w:val="en-US" w:eastAsia="zh-CN"/>
                    </w:rPr>
                    <w:t>100</w:t>
                  </w:r>
                </w:p>
              </w:tc>
              <w:tc>
                <w:tcPr>
                  <w:tcW w:w="784" w:type="dxa"/>
                  <w:noWrap w:val="0"/>
                  <w:vAlign w:val="center"/>
                </w:tcPr>
                <w:p w14:paraId="30FF6771">
                  <w:pPr>
                    <w:pStyle w:val="30"/>
                    <w:bidi w:val="0"/>
                    <w:rPr>
                      <w:rFonts w:hint="default"/>
                      <w:color w:val="auto"/>
                      <w:sz w:val="21"/>
                      <w:szCs w:val="21"/>
                      <w:highlight w:val="none"/>
                      <w:lang w:val="en-US" w:eastAsia="zh-CN"/>
                    </w:rPr>
                  </w:pPr>
                  <w:r>
                    <w:rPr>
                      <w:rFonts w:hint="eastAsia"/>
                      <w:color w:val="auto"/>
                      <w:sz w:val="21"/>
                      <w:szCs w:val="21"/>
                      <w:highlight w:val="none"/>
                      <w:lang w:val="en-US" w:eastAsia="zh-CN"/>
                    </w:rPr>
                    <w:t>20m</w:t>
                  </w:r>
                </w:p>
              </w:tc>
              <w:tc>
                <w:tcPr>
                  <w:tcW w:w="785" w:type="dxa"/>
                  <w:tcBorders>
                    <w:right w:val="nil"/>
                  </w:tcBorders>
                  <w:shd w:val="clear" w:color="auto" w:fill="7E7E7E" w:themeFill="background1" w:themeFillShade="7F"/>
                  <w:noWrap w:val="0"/>
                  <w:vAlign w:val="center"/>
                </w:tcPr>
                <w:p w14:paraId="28401A59">
                  <w:pPr>
                    <w:pStyle w:val="30"/>
                    <w:bidi w:val="0"/>
                    <w:rPr>
                      <w:rFonts w:hint="default"/>
                      <w:color w:val="auto"/>
                      <w:sz w:val="21"/>
                      <w:szCs w:val="21"/>
                      <w:highlight w:val="none"/>
                      <w:lang w:val="en-US" w:eastAsia="zh-CN"/>
                    </w:rPr>
                  </w:pPr>
                  <w:r>
                    <w:rPr>
                      <w:rFonts w:hint="eastAsia"/>
                      <w:color w:val="auto"/>
                      <w:sz w:val="21"/>
                      <w:szCs w:val="21"/>
                      <w:highlight w:val="none"/>
                      <w:lang w:val="en-US" w:eastAsia="zh-CN"/>
                    </w:rPr>
                    <w:t>25m</w:t>
                  </w:r>
                </w:p>
              </w:tc>
              <w:tc>
                <w:tcPr>
                  <w:tcW w:w="785" w:type="dxa"/>
                  <w:tcBorders>
                    <w:right w:val="nil"/>
                  </w:tcBorders>
                  <w:noWrap w:val="0"/>
                  <w:vAlign w:val="center"/>
                </w:tcPr>
                <w:p w14:paraId="5A8A815B">
                  <w:pPr>
                    <w:pStyle w:val="30"/>
                    <w:bidi w:val="0"/>
                    <w:rPr>
                      <w:rFonts w:hint="default"/>
                      <w:color w:val="auto"/>
                      <w:sz w:val="21"/>
                      <w:szCs w:val="21"/>
                      <w:highlight w:val="none"/>
                      <w:lang w:val="en-US" w:eastAsia="zh-CN"/>
                    </w:rPr>
                  </w:pPr>
                  <w:r>
                    <w:rPr>
                      <w:rFonts w:hint="eastAsia"/>
                      <w:color w:val="auto"/>
                      <w:sz w:val="21"/>
                      <w:szCs w:val="21"/>
                      <w:highlight w:val="none"/>
                      <w:lang w:val="en-US" w:eastAsia="zh-CN"/>
                    </w:rPr>
                    <w:t>30m</w:t>
                  </w:r>
                </w:p>
              </w:tc>
            </w:tr>
            <w:tr w14:paraId="37F1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4" w:type="dxa"/>
                  <w:vMerge w:val="continue"/>
                  <w:tcBorders>
                    <w:left w:val="nil"/>
                  </w:tcBorders>
                  <w:noWrap w:val="0"/>
                  <w:vAlign w:val="center"/>
                </w:tcPr>
                <w:p w14:paraId="02F24867">
                  <w:pPr>
                    <w:pStyle w:val="30"/>
                    <w:bidi w:val="0"/>
                    <w:rPr>
                      <w:rFonts w:hint="eastAsia"/>
                      <w:color w:val="auto"/>
                      <w:sz w:val="21"/>
                      <w:szCs w:val="21"/>
                      <w:highlight w:val="none"/>
                      <w:lang w:val="en-US" w:eastAsia="zh-CN"/>
                    </w:rPr>
                  </w:pPr>
                </w:p>
              </w:tc>
              <w:tc>
                <w:tcPr>
                  <w:tcW w:w="1221" w:type="dxa"/>
                  <w:vMerge w:val="continue"/>
                  <w:noWrap w:val="0"/>
                  <w:vAlign w:val="center"/>
                </w:tcPr>
                <w:p w14:paraId="149626BB">
                  <w:pPr>
                    <w:pStyle w:val="30"/>
                    <w:bidi w:val="0"/>
                    <w:rPr>
                      <w:rFonts w:hint="eastAsia"/>
                      <w:color w:val="auto"/>
                      <w:sz w:val="21"/>
                      <w:szCs w:val="21"/>
                      <w:highlight w:val="none"/>
                      <w:lang w:val="en-US" w:eastAsia="zh-CN"/>
                    </w:rPr>
                  </w:pPr>
                </w:p>
              </w:tc>
              <w:tc>
                <w:tcPr>
                  <w:tcW w:w="1326" w:type="dxa"/>
                  <w:vMerge w:val="continue"/>
                  <w:noWrap w:val="0"/>
                  <w:vAlign w:val="center"/>
                </w:tcPr>
                <w:p w14:paraId="0C037441">
                  <w:pPr>
                    <w:pStyle w:val="30"/>
                    <w:bidi w:val="0"/>
                    <w:rPr>
                      <w:rFonts w:hint="eastAsia"/>
                      <w:color w:val="auto"/>
                      <w:sz w:val="21"/>
                      <w:szCs w:val="21"/>
                      <w:highlight w:val="none"/>
                      <w:lang w:val="en-US" w:eastAsia="zh-CN"/>
                    </w:rPr>
                  </w:pPr>
                </w:p>
              </w:tc>
              <w:tc>
                <w:tcPr>
                  <w:tcW w:w="2123" w:type="dxa"/>
                  <w:vMerge w:val="continue"/>
                  <w:noWrap w:val="0"/>
                  <w:vAlign w:val="center"/>
                </w:tcPr>
                <w:p w14:paraId="482E1F4C">
                  <w:pPr>
                    <w:pStyle w:val="30"/>
                    <w:bidi w:val="0"/>
                    <w:rPr>
                      <w:rFonts w:hint="eastAsia"/>
                      <w:color w:val="auto"/>
                      <w:sz w:val="21"/>
                      <w:szCs w:val="21"/>
                      <w:highlight w:val="none"/>
                      <w:lang w:val="en-US" w:eastAsia="zh-CN"/>
                    </w:rPr>
                  </w:pPr>
                </w:p>
              </w:tc>
              <w:tc>
                <w:tcPr>
                  <w:tcW w:w="784" w:type="dxa"/>
                  <w:noWrap w:val="0"/>
                  <w:vAlign w:val="center"/>
                </w:tcPr>
                <w:p w14:paraId="05038B2B">
                  <w:pPr>
                    <w:pStyle w:val="30"/>
                    <w:bidi w:val="0"/>
                    <w:rPr>
                      <w:rFonts w:hint="default"/>
                      <w:color w:val="auto"/>
                      <w:sz w:val="21"/>
                      <w:szCs w:val="21"/>
                      <w:highlight w:val="none"/>
                      <w:lang w:val="en-US" w:eastAsia="zh-CN"/>
                    </w:rPr>
                  </w:pPr>
                  <w:r>
                    <w:rPr>
                      <w:rFonts w:hint="eastAsia"/>
                      <w:color w:val="auto"/>
                      <w:sz w:val="21"/>
                      <w:szCs w:val="21"/>
                      <w:highlight w:val="none"/>
                      <w:lang w:val="en-US" w:eastAsia="zh-CN"/>
                    </w:rPr>
                    <w:t>3.6</w:t>
                  </w:r>
                </w:p>
              </w:tc>
              <w:tc>
                <w:tcPr>
                  <w:tcW w:w="785" w:type="dxa"/>
                  <w:tcBorders>
                    <w:right w:val="nil"/>
                  </w:tcBorders>
                  <w:shd w:val="clear" w:color="auto" w:fill="7E7E7E" w:themeFill="background1" w:themeFillShade="7F"/>
                  <w:noWrap w:val="0"/>
                  <w:vAlign w:val="center"/>
                </w:tcPr>
                <w:p w14:paraId="63B0003B">
                  <w:pPr>
                    <w:pStyle w:val="30"/>
                    <w:bidi w:val="0"/>
                    <w:rPr>
                      <w:rFonts w:hint="default"/>
                      <w:color w:val="auto"/>
                      <w:sz w:val="21"/>
                      <w:szCs w:val="21"/>
                      <w:highlight w:val="none"/>
                      <w:lang w:val="en-US" w:eastAsia="zh-CN"/>
                    </w:rPr>
                  </w:pPr>
                  <w:r>
                    <w:rPr>
                      <w:rFonts w:hint="eastAsia"/>
                      <w:color w:val="auto"/>
                      <w:sz w:val="21"/>
                      <w:szCs w:val="21"/>
                      <w:highlight w:val="none"/>
                      <w:lang w:val="en-US" w:eastAsia="zh-CN"/>
                    </w:rPr>
                    <w:t xml:space="preserve">5.63 </w:t>
                  </w:r>
                </w:p>
              </w:tc>
              <w:tc>
                <w:tcPr>
                  <w:tcW w:w="785" w:type="dxa"/>
                  <w:tcBorders>
                    <w:right w:val="nil"/>
                  </w:tcBorders>
                  <w:noWrap w:val="0"/>
                  <w:vAlign w:val="center"/>
                </w:tcPr>
                <w:p w14:paraId="1F78B1AC">
                  <w:pPr>
                    <w:pStyle w:val="30"/>
                    <w:bidi w:val="0"/>
                    <w:rPr>
                      <w:rFonts w:hint="default"/>
                      <w:color w:val="auto"/>
                      <w:sz w:val="21"/>
                      <w:szCs w:val="21"/>
                      <w:highlight w:val="none"/>
                      <w:lang w:val="en-US" w:eastAsia="zh-CN"/>
                    </w:rPr>
                  </w:pPr>
                  <w:r>
                    <w:rPr>
                      <w:rFonts w:hint="eastAsia"/>
                      <w:color w:val="auto"/>
                      <w:sz w:val="21"/>
                      <w:szCs w:val="21"/>
                      <w:highlight w:val="none"/>
                      <w:lang w:val="en-US" w:eastAsia="zh-CN"/>
                    </w:rPr>
                    <w:t>9.6</w:t>
                  </w:r>
                </w:p>
              </w:tc>
            </w:tr>
            <w:tr w14:paraId="6BBD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8" w:type="dxa"/>
                  <w:gridSpan w:val="7"/>
                  <w:tcBorders>
                    <w:left w:val="nil"/>
                    <w:bottom w:val="single" w:color="auto" w:sz="12" w:space="0"/>
                    <w:right w:val="nil"/>
                  </w:tcBorders>
                  <w:noWrap w:val="0"/>
                  <w:vAlign w:val="center"/>
                </w:tcPr>
                <w:p w14:paraId="781F3C43">
                  <w:pPr>
                    <w:pStyle w:val="30"/>
                    <w:bidi w:val="0"/>
                    <w:jc w:val="both"/>
                    <w:rPr>
                      <w:rFonts w:hint="eastAsia"/>
                      <w:color w:val="auto"/>
                      <w:sz w:val="18"/>
                      <w:szCs w:val="18"/>
                      <w:highlight w:val="none"/>
                      <w:lang w:val="en-US" w:eastAsia="zh-CN"/>
                    </w:rPr>
                  </w:pPr>
                  <w:r>
                    <w:rPr>
                      <w:rFonts w:hint="eastAsia"/>
                      <w:color w:val="auto"/>
                      <w:sz w:val="18"/>
                      <w:szCs w:val="18"/>
                      <w:highlight w:val="none"/>
                      <w:lang w:val="en-US" w:eastAsia="zh-CN"/>
                    </w:rPr>
                    <w:t>注：a当非甲烷总烃的去除率≥90%时，等同于满足最高允许排放速率限值要求；</w:t>
                  </w:r>
                </w:p>
                <w:p w14:paraId="44A39B5D">
                  <w:pPr>
                    <w:rPr>
                      <w:rFonts w:hint="default"/>
                      <w:color w:val="auto"/>
                      <w:lang w:val="en-US" w:eastAsia="zh-CN"/>
                    </w:rPr>
                  </w:pPr>
                  <w:r>
                    <w:rPr>
                      <w:rFonts w:ascii="宋体" w:hAnsi="宋体" w:eastAsia="宋体" w:cs="宋体"/>
                      <w:b w:val="0"/>
                      <w:bCs w:val="0"/>
                      <w:color w:val="auto"/>
                      <w:sz w:val="18"/>
                      <w:szCs w:val="18"/>
                    </w:rPr>
                    <w:t>本项目属于</w:t>
                  </w:r>
                  <w:r>
                    <w:rPr>
                      <w:rFonts w:hint="eastAsia" w:ascii="宋体" w:hAnsi="宋体" w:eastAsia="宋体" w:cs="宋体"/>
                      <w:b w:val="0"/>
                      <w:bCs w:val="0"/>
                      <w:color w:val="auto"/>
                      <w:sz w:val="18"/>
                      <w:szCs w:val="18"/>
                      <w:lang w:val="en-US" w:eastAsia="zh-CN"/>
                    </w:rPr>
                    <w:t>光学</w:t>
                  </w:r>
                  <w:r>
                    <w:rPr>
                      <w:rFonts w:ascii="宋体" w:hAnsi="宋体" w:eastAsia="宋体" w:cs="宋体"/>
                      <w:b w:val="0"/>
                      <w:bCs w:val="0"/>
                      <w:color w:val="auto"/>
                      <w:sz w:val="18"/>
                      <w:szCs w:val="18"/>
                    </w:rPr>
                    <w:t>玻璃制品制造工序，</w:t>
                  </w:r>
                  <w:r>
                    <w:rPr>
                      <w:rStyle w:val="22"/>
                      <w:rFonts w:ascii="宋体" w:hAnsi="宋体" w:eastAsia="宋体" w:cs="宋体"/>
                      <w:b w:val="0"/>
                      <w:bCs w:val="0"/>
                      <w:color w:val="auto"/>
                      <w:sz w:val="18"/>
                      <w:szCs w:val="18"/>
                    </w:rPr>
                    <w:t>生产过程不熔炼玻璃原料、无熔融玻璃液产生</w:t>
                  </w:r>
                  <w:r>
                    <w:rPr>
                      <w:rFonts w:ascii="宋体" w:hAnsi="宋体" w:eastAsia="宋体" w:cs="宋体"/>
                      <w:b w:val="0"/>
                      <w:bCs w:val="0"/>
                      <w:color w:val="auto"/>
                      <w:sz w:val="18"/>
                      <w:szCs w:val="18"/>
                    </w:rPr>
                    <w:t>，仅以外购成品玻璃原片/玻璃坯料进行深加工，不涉及熔窑熔融工段，</w:t>
                  </w:r>
                  <w:r>
                    <w:rPr>
                      <w:rStyle w:val="22"/>
                      <w:rFonts w:ascii="宋体" w:hAnsi="宋体" w:eastAsia="宋体" w:cs="宋体"/>
                      <w:b w:val="0"/>
                      <w:bCs w:val="0"/>
                      <w:color w:val="auto"/>
                      <w:sz w:val="18"/>
                      <w:szCs w:val="18"/>
                    </w:rPr>
                    <w:t>不适用玻璃熔窑基准排气量核算要求，无需考核基准排气量指标</w:t>
                  </w:r>
                  <w:r>
                    <w:rPr>
                      <w:rFonts w:ascii="宋体" w:hAnsi="宋体" w:eastAsia="宋体" w:cs="宋体"/>
                      <w:b w:val="0"/>
                      <w:bCs w:val="0"/>
                      <w:color w:val="auto"/>
                      <w:sz w:val="18"/>
                      <w:szCs w:val="18"/>
                    </w:rPr>
                    <w:t>。</w:t>
                  </w:r>
                </w:p>
              </w:tc>
            </w:tr>
          </w:tbl>
          <w:p w14:paraId="3A7B7637">
            <w:pPr>
              <w:widowControl w:val="0"/>
              <w:bidi w:val="0"/>
              <w:spacing w:line="360" w:lineRule="auto"/>
              <w:ind w:firstLine="480" w:firstLineChars="200"/>
              <w:jc w:val="both"/>
              <w:rPr>
                <w:rFonts w:hint="default"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本项目拟建排气筒高度为</w:t>
            </w:r>
            <w:r>
              <w:rPr>
                <w:rFonts w:hint="eastAsia" w:cs="宋体"/>
                <w:color w:val="auto"/>
                <w:kern w:val="2"/>
                <w:sz w:val="24"/>
                <w:szCs w:val="24"/>
                <w:highlight w:val="none"/>
                <w:lang w:val="en-US" w:eastAsia="zh-CN" w:bidi="ar-SA"/>
              </w:rPr>
              <w:t>25</w:t>
            </w:r>
            <w:r>
              <w:rPr>
                <w:rFonts w:hint="eastAsia" w:ascii="Times New Roman" w:hAnsi="Times New Roman" w:eastAsia="宋体" w:cs="宋体"/>
                <w:color w:val="auto"/>
                <w:kern w:val="2"/>
                <w:sz w:val="24"/>
                <w:szCs w:val="24"/>
                <w:highlight w:val="none"/>
                <w:lang w:val="en-US" w:eastAsia="zh-CN" w:bidi="ar-SA"/>
              </w:rPr>
              <w:t>m，根据《工业企业挥发性有机物排放标准》（DB35/1782-2018）附录A的</w:t>
            </w:r>
            <w:r>
              <w:rPr>
                <w:rFonts w:hint="eastAsia" w:cs="宋体"/>
                <w:color w:val="auto"/>
                <w:kern w:val="2"/>
                <w:sz w:val="24"/>
                <w:szCs w:val="24"/>
                <w:highlight w:val="none"/>
                <w:lang w:val="en-US" w:eastAsia="zh-CN" w:bidi="ar-SA"/>
              </w:rPr>
              <w:t>外推</w:t>
            </w:r>
            <w:r>
              <w:rPr>
                <w:rFonts w:hint="eastAsia" w:ascii="Times New Roman" w:hAnsi="Times New Roman" w:eastAsia="宋体" w:cs="宋体"/>
                <w:color w:val="auto"/>
                <w:kern w:val="2"/>
                <w:sz w:val="24"/>
                <w:szCs w:val="24"/>
                <w:highlight w:val="none"/>
                <w:lang w:val="en-US" w:eastAsia="zh-CN" w:bidi="ar-SA"/>
              </w:rPr>
              <w:t>计算</w:t>
            </w:r>
            <w:r>
              <w:rPr>
                <w:rFonts w:hint="eastAsia" w:cs="宋体"/>
                <w:color w:val="auto"/>
                <w:kern w:val="2"/>
                <w:sz w:val="24"/>
                <w:szCs w:val="24"/>
                <w:highlight w:val="none"/>
                <w:lang w:val="en-US" w:eastAsia="zh-CN" w:bidi="ar-SA"/>
              </w:rPr>
              <w:t>根据外推法公式Q=Q</w:t>
            </w:r>
            <w:r>
              <w:rPr>
                <w:rFonts w:hint="eastAsia" w:cs="宋体"/>
                <w:color w:val="auto"/>
                <w:kern w:val="2"/>
                <w:sz w:val="24"/>
                <w:szCs w:val="24"/>
                <w:highlight w:val="none"/>
                <w:vertAlign w:val="subscript"/>
                <w:lang w:val="en-US" w:eastAsia="zh-CN" w:bidi="ar-SA"/>
              </w:rPr>
              <w:t>0</w:t>
            </w:r>
            <w:r>
              <w:rPr>
                <w:rFonts w:hint="eastAsia" w:cs="宋体"/>
                <w:color w:val="auto"/>
                <w:kern w:val="2"/>
                <w:sz w:val="24"/>
                <w:szCs w:val="24"/>
                <w:highlight w:val="none"/>
                <w:lang w:val="en-US" w:eastAsia="zh-CN" w:bidi="ar-SA"/>
              </w:rPr>
              <w:t>(h/h</w:t>
            </w:r>
            <w:r>
              <w:rPr>
                <w:rFonts w:hint="eastAsia" w:cs="宋体"/>
                <w:color w:val="auto"/>
                <w:kern w:val="2"/>
                <w:sz w:val="24"/>
                <w:szCs w:val="24"/>
                <w:highlight w:val="none"/>
                <w:vertAlign w:val="subscript"/>
                <w:lang w:val="en-US" w:eastAsia="zh-CN" w:bidi="ar-SA"/>
              </w:rPr>
              <w:t>0</w:t>
            </w:r>
            <w:r>
              <w:rPr>
                <w:rFonts w:hint="eastAsia" w:cs="宋体"/>
                <w:color w:val="auto"/>
                <w:kern w:val="2"/>
                <w:sz w:val="24"/>
                <w:szCs w:val="24"/>
                <w:highlight w:val="none"/>
                <w:lang w:val="en-US" w:eastAsia="zh-CN" w:bidi="ar-SA"/>
              </w:rPr>
              <w:t>)</w:t>
            </w:r>
            <w:r>
              <w:rPr>
                <w:rFonts w:hint="eastAsia" w:cs="宋体"/>
                <w:color w:val="auto"/>
                <w:kern w:val="2"/>
                <w:sz w:val="24"/>
                <w:szCs w:val="24"/>
                <w:highlight w:val="none"/>
                <w:vertAlign w:val="superscript"/>
                <w:lang w:val="en-US" w:eastAsia="zh-CN" w:bidi="ar-SA"/>
              </w:rPr>
              <w:t>2</w:t>
            </w:r>
            <w:r>
              <w:rPr>
                <w:rFonts w:hint="eastAsia" w:cs="宋体"/>
                <w:color w:val="auto"/>
                <w:kern w:val="2"/>
                <w:sz w:val="24"/>
                <w:szCs w:val="24"/>
                <w:highlight w:val="none"/>
                <w:lang w:val="en-US" w:eastAsia="zh-CN" w:bidi="ar-SA"/>
              </w:rPr>
              <w:t>，代入数据计算，因此，本项目25m排气筒对应的非甲烷总烃最高允许排放速率为</w:t>
            </w:r>
            <w:r>
              <w:rPr>
                <w:rFonts w:hint="eastAsia" w:ascii="Times New Roman" w:hAnsi="Times New Roman" w:eastAsia="宋体" w:cs="宋体"/>
                <w:color w:val="auto"/>
                <w:kern w:val="2"/>
                <w:sz w:val="24"/>
                <w:szCs w:val="24"/>
                <w:highlight w:val="none"/>
                <w:lang w:val="en-US" w:eastAsia="zh-CN" w:bidi="ar-SA"/>
              </w:rPr>
              <w:t>5.63kg/h</w:t>
            </w:r>
            <w:r>
              <w:rPr>
                <w:rFonts w:hint="eastAsia" w:cs="宋体"/>
                <w:color w:val="auto"/>
                <w:kern w:val="2"/>
                <w:sz w:val="24"/>
                <w:szCs w:val="24"/>
                <w:highlight w:val="none"/>
                <w:lang w:val="en-US" w:eastAsia="zh-CN" w:bidi="ar-SA"/>
              </w:rPr>
              <w:t>（保留两位小数）</w:t>
            </w:r>
          </w:p>
          <w:p w14:paraId="6A2CA663">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（2）无组织废气</w:t>
            </w:r>
          </w:p>
          <w:p w14:paraId="53C39748">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eastAsia" w:cs="Times New Roman"/>
                <w:b w:val="0"/>
                <w:bCs w:val="0"/>
                <w:color w:val="auto"/>
                <w:kern w:val="0"/>
                <w:sz w:val="24"/>
                <w:szCs w:val="24"/>
                <w:highlight w:val="none"/>
                <w:lang w:val="en-US" w:eastAsia="zh-CN" w:bidi="ar-SA"/>
              </w:rPr>
              <w:t>本项目</w:t>
            </w:r>
            <w:r>
              <w:rPr>
                <w:rFonts w:hint="eastAsia" w:cs="宋体"/>
                <w:color w:val="auto"/>
                <w:kern w:val="2"/>
                <w:sz w:val="24"/>
                <w:szCs w:val="24"/>
                <w:highlight w:val="none"/>
                <w:lang w:val="en-US" w:eastAsia="zh-CN" w:bidi="ar-SA"/>
              </w:rPr>
              <w:t>VOCs、乙醇、乙醚、丙酮（以非甲烷总烃计）</w:t>
            </w:r>
            <w:r>
              <w:rPr>
                <w:rFonts w:hint="eastAsia" w:ascii="Times New Roman" w:hAnsi="Times New Roman" w:eastAsia="宋体" w:cs="宋体"/>
                <w:color w:val="auto"/>
                <w:kern w:val="2"/>
                <w:sz w:val="24"/>
                <w:szCs w:val="24"/>
                <w:highlight w:val="none"/>
                <w:lang w:val="en-US" w:eastAsia="zh-CN" w:bidi="ar-SA"/>
              </w:rPr>
              <w:t>厂界无组织排放执行《工业企业挥发性有机物排放标准》（DB35/1782-2018）表3中企业边界监控点浓度限值</w:t>
            </w:r>
            <w:r>
              <w:rPr>
                <w:rFonts w:hint="eastAsia" w:cs="宋体"/>
                <w:color w:val="auto"/>
                <w:kern w:val="2"/>
                <w:sz w:val="24"/>
                <w:szCs w:val="24"/>
                <w:highlight w:val="none"/>
                <w:lang w:val="en-US" w:eastAsia="zh-CN" w:bidi="ar-SA"/>
              </w:rPr>
              <w:t>；颗粒物厂界无组织排放执行</w:t>
            </w:r>
            <w:r>
              <w:rPr>
                <w:rFonts w:ascii="宋体" w:hAnsi="宋体" w:eastAsia="宋体" w:cs="宋体"/>
                <w:i w:val="0"/>
                <w:iCs w:val="0"/>
                <w:caps w:val="0"/>
                <w:color w:val="auto"/>
                <w:spacing w:val="0"/>
                <w:sz w:val="24"/>
                <w:szCs w:val="24"/>
                <w:shd w:val="clear" w:fill="FFFFFF"/>
              </w:rPr>
              <w:t>《大气污染物综合排放标准》（GB 16297-1996）表2中无组织排放监控浓度限值</w:t>
            </w:r>
            <w:r>
              <w:rPr>
                <w:rFonts w:hint="eastAsia" w:ascii="宋体" w:hAnsi="宋体" w:eastAsia="宋体" w:cs="宋体"/>
                <w:i w:val="0"/>
                <w:iCs w:val="0"/>
                <w:caps w:val="0"/>
                <w:color w:val="auto"/>
                <w:spacing w:val="0"/>
                <w:sz w:val="24"/>
                <w:szCs w:val="24"/>
                <w:shd w:val="clear" w:fill="FFFFFF"/>
                <w:lang w:eastAsia="zh-CN"/>
              </w:rPr>
              <w:t>。</w:t>
            </w:r>
          </w:p>
          <w:p w14:paraId="1438A085">
            <w:pPr>
              <w:pStyle w:val="52"/>
              <w:keepNext w:val="0"/>
              <w:keepLines w:val="0"/>
              <w:pageBreakBefore w:val="0"/>
              <w:widowControl w:val="0"/>
              <w:kinsoku/>
              <w:wordWrap/>
              <w:overflowPunct/>
              <w:topLinePunct w:val="0"/>
              <w:autoSpaceDE/>
              <w:autoSpaceDN/>
              <w:bidi w:val="0"/>
              <w:adjustRightInd/>
              <w:snapToGrid w:val="0"/>
              <w:spacing w:before="0" w:after="0"/>
              <w:textAlignment w:val="auto"/>
              <w:rPr>
                <w:rFonts w:hint="default"/>
                <w:color w:val="auto"/>
                <w:highlight w:val="none"/>
                <w:lang w:val="en-US" w:eastAsia="zh-CN"/>
              </w:rPr>
            </w:pPr>
            <w:r>
              <w:rPr>
                <w:rFonts w:hint="eastAsia"/>
                <w:color w:val="auto"/>
                <w:highlight w:val="none"/>
                <w:lang w:val="en-US" w:eastAsia="zh-CN"/>
              </w:rPr>
              <w:t>表3.7-4  厂界无组织废气排放标准</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3"/>
              <w:gridCol w:w="2804"/>
              <w:gridCol w:w="2804"/>
            </w:tblGrid>
            <w:tr w14:paraId="6A16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Borders>
                    <w:top w:val="single" w:color="auto" w:sz="12" w:space="0"/>
                    <w:left w:val="nil"/>
                  </w:tcBorders>
                  <w:shd w:val="clear" w:color="auto" w:fill="auto"/>
                  <w:noWrap w:val="0"/>
                  <w:vAlign w:val="center"/>
                </w:tcPr>
                <w:p w14:paraId="3A83C2F8">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b/>
                      <w:bCs/>
                      <w:color w:val="auto"/>
                      <w:kern w:val="0"/>
                      <w:sz w:val="21"/>
                      <w:szCs w:val="20"/>
                      <w:highlight w:val="none"/>
                      <w:lang w:val="en-US" w:eastAsia="zh-CN" w:bidi="ar-SA"/>
                    </w:rPr>
                  </w:pPr>
                  <w:r>
                    <w:rPr>
                      <w:rFonts w:hint="eastAsia" w:ascii="Times New Roman" w:hAnsi="Times New Roman" w:eastAsia="宋体" w:cs="Times New Roman"/>
                      <w:b/>
                      <w:bCs/>
                      <w:color w:val="auto"/>
                      <w:kern w:val="0"/>
                      <w:sz w:val="21"/>
                      <w:szCs w:val="20"/>
                      <w:highlight w:val="none"/>
                      <w:lang w:val="en-US" w:eastAsia="zh-CN" w:bidi="ar-SA"/>
                    </w:rPr>
                    <w:t>污染物项目</w:t>
                  </w:r>
                </w:p>
              </w:tc>
              <w:tc>
                <w:tcPr>
                  <w:tcW w:w="1666" w:type="pct"/>
                  <w:tcBorders>
                    <w:top w:val="single" w:color="auto" w:sz="12" w:space="0"/>
                  </w:tcBorders>
                  <w:shd w:val="clear" w:color="auto" w:fill="auto"/>
                  <w:noWrap w:val="0"/>
                  <w:vAlign w:val="center"/>
                </w:tcPr>
                <w:p w14:paraId="4E1256E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b/>
                      <w:bCs/>
                      <w:color w:val="auto"/>
                      <w:kern w:val="0"/>
                      <w:sz w:val="21"/>
                      <w:szCs w:val="20"/>
                      <w:highlight w:val="none"/>
                      <w:lang w:val="en-US" w:eastAsia="zh-CN" w:bidi="ar-SA"/>
                    </w:rPr>
                  </w:pPr>
                  <w:r>
                    <w:rPr>
                      <w:rFonts w:hint="eastAsia" w:ascii="Times New Roman" w:hAnsi="Times New Roman" w:eastAsia="宋体" w:cs="Times New Roman"/>
                      <w:b/>
                      <w:bCs/>
                      <w:color w:val="auto"/>
                      <w:kern w:val="0"/>
                      <w:sz w:val="21"/>
                      <w:szCs w:val="20"/>
                      <w:highlight w:val="none"/>
                      <w:lang w:val="en-US" w:eastAsia="zh-CN" w:bidi="ar-SA"/>
                    </w:rPr>
                    <w:t>排放浓度限值</w:t>
                  </w:r>
                </w:p>
              </w:tc>
              <w:tc>
                <w:tcPr>
                  <w:tcW w:w="1666" w:type="pct"/>
                  <w:tcBorders>
                    <w:top w:val="single" w:color="auto" w:sz="12" w:space="0"/>
                    <w:right w:val="nil"/>
                  </w:tcBorders>
                  <w:shd w:val="clear" w:color="auto" w:fill="auto"/>
                  <w:noWrap w:val="0"/>
                  <w:vAlign w:val="center"/>
                </w:tcPr>
                <w:p w14:paraId="1B9A60B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b/>
                      <w:bCs/>
                      <w:color w:val="auto"/>
                      <w:kern w:val="0"/>
                      <w:sz w:val="21"/>
                      <w:szCs w:val="20"/>
                      <w:highlight w:val="none"/>
                      <w:lang w:val="en-US" w:eastAsia="zh-CN" w:bidi="ar-SA"/>
                    </w:rPr>
                  </w:pPr>
                  <w:r>
                    <w:rPr>
                      <w:rFonts w:hint="eastAsia" w:ascii="Times New Roman" w:hAnsi="Times New Roman" w:eastAsia="宋体" w:cs="Times New Roman"/>
                      <w:b/>
                      <w:bCs/>
                      <w:color w:val="auto"/>
                      <w:kern w:val="0"/>
                      <w:sz w:val="21"/>
                      <w:szCs w:val="20"/>
                      <w:highlight w:val="none"/>
                      <w:lang w:val="en-US" w:eastAsia="zh-CN" w:bidi="ar-SA"/>
                    </w:rPr>
                    <w:t>适用范围</w:t>
                  </w:r>
                </w:p>
              </w:tc>
            </w:tr>
            <w:tr w14:paraId="7BED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Borders>
                    <w:left w:val="nil"/>
                  </w:tcBorders>
                  <w:noWrap w:val="0"/>
                  <w:vAlign w:val="center"/>
                </w:tcPr>
                <w:p w14:paraId="4C6CF08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非甲烷总烃</w:t>
                  </w:r>
                </w:p>
              </w:tc>
              <w:tc>
                <w:tcPr>
                  <w:tcW w:w="1666" w:type="pct"/>
                  <w:noWrap w:val="0"/>
                  <w:vAlign w:val="center"/>
                </w:tcPr>
                <w:p w14:paraId="34F3C7D5">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2.0mg/m</w:t>
                  </w:r>
                  <w:r>
                    <w:rPr>
                      <w:rFonts w:hint="eastAsia" w:ascii="Times New Roman" w:hAnsi="Times New Roman" w:eastAsia="宋体" w:cs="Times New Roman"/>
                      <w:color w:val="auto"/>
                      <w:kern w:val="0"/>
                      <w:sz w:val="21"/>
                      <w:szCs w:val="20"/>
                      <w:highlight w:val="none"/>
                      <w:vertAlign w:val="superscript"/>
                      <w:lang w:val="en-US" w:eastAsia="zh-CN" w:bidi="ar-SA"/>
                    </w:rPr>
                    <w:t>3</w:t>
                  </w:r>
                </w:p>
              </w:tc>
              <w:tc>
                <w:tcPr>
                  <w:tcW w:w="1666" w:type="pct"/>
                  <w:tcBorders>
                    <w:right w:val="nil"/>
                  </w:tcBorders>
                  <w:noWrap w:val="0"/>
                  <w:vAlign w:val="center"/>
                </w:tcPr>
                <w:p w14:paraId="382D3C7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所有行业</w:t>
                  </w:r>
                </w:p>
              </w:tc>
            </w:tr>
            <w:tr w14:paraId="5395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6" w:type="pct"/>
                  <w:tcBorders>
                    <w:left w:val="nil"/>
                    <w:bottom w:val="single" w:color="auto" w:sz="12" w:space="0"/>
                  </w:tcBorders>
                  <w:noWrap w:val="0"/>
                  <w:vAlign w:val="center"/>
                </w:tcPr>
                <w:p w14:paraId="233CA25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颗粒物</w:t>
                  </w:r>
                </w:p>
              </w:tc>
              <w:tc>
                <w:tcPr>
                  <w:tcW w:w="1666" w:type="pct"/>
                  <w:tcBorders>
                    <w:bottom w:val="single" w:color="auto" w:sz="12" w:space="0"/>
                  </w:tcBorders>
                  <w:noWrap w:val="0"/>
                  <w:vAlign w:val="center"/>
                </w:tcPr>
                <w:p w14:paraId="644F868F">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1</w:t>
                  </w:r>
                  <w:r>
                    <w:rPr>
                      <w:rFonts w:hint="eastAsia" w:ascii="Times New Roman" w:hAnsi="Times New Roman" w:eastAsia="宋体" w:cs="Times New Roman"/>
                      <w:color w:val="auto"/>
                      <w:kern w:val="0"/>
                      <w:sz w:val="21"/>
                      <w:szCs w:val="20"/>
                      <w:highlight w:val="none"/>
                      <w:lang w:val="en-US" w:eastAsia="zh-CN" w:bidi="ar-SA"/>
                    </w:rPr>
                    <w:t>.0mg/m</w:t>
                  </w:r>
                  <w:r>
                    <w:rPr>
                      <w:rFonts w:hint="eastAsia" w:ascii="Times New Roman" w:hAnsi="Times New Roman" w:eastAsia="宋体" w:cs="Times New Roman"/>
                      <w:color w:val="auto"/>
                      <w:kern w:val="0"/>
                      <w:sz w:val="21"/>
                      <w:szCs w:val="20"/>
                      <w:highlight w:val="none"/>
                      <w:vertAlign w:val="superscript"/>
                      <w:lang w:val="en-US" w:eastAsia="zh-CN" w:bidi="ar-SA"/>
                    </w:rPr>
                    <w:t>3</w:t>
                  </w:r>
                </w:p>
              </w:tc>
              <w:tc>
                <w:tcPr>
                  <w:tcW w:w="1666" w:type="pct"/>
                  <w:tcBorders>
                    <w:bottom w:val="single" w:color="auto" w:sz="12" w:space="0"/>
                    <w:right w:val="nil"/>
                  </w:tcBorders>
                  <w:noWrap w:val="0"/>
                  <w:vAlign w:val="center"/>
                </w:tcPr>
                <w:p w14:paraId="2CFDE04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其他</w:t>
                  </w:r>
                </w:p>
              </w:tc>
            </w:tr>
          </w:tbl>
          <w:p w14:paraId="3E03F201">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eastAsia" w:cs="Times New Roman"/>
                <w:b w:val="0"/>
                <w:bCs w:val="0"/>
                <w:color w:val="auto"/>
                <w:kern w:val="0"/>
                <w:sz w:val="24"/>
                <w:szCs w:val="24"/>
                <w:highlight w:val="none"/>
                <w:lang w:val="en-US" w:eastAsia="zh-CN" w:bidi="ar-SA"/>
              </w:rPr>
              <w:t>本项目</w:t>
            </w:r>
            <w:r>
              <w:rPr>
                <w:rFonts w:hint="eastAsia" w:cs="宋体"/>
                <w:color w:val="auto"/>
                <w:kern w:val="2"/>
                <w:sz w:val="24"/>
                <w:szCs w:val="24"/>
                <w:highlight w:val="none"/>
                <w:lang w:val="en-US" w:eastAsia="zh-CN" w:bidi="ar-SA"/>
              </w:rPr>
              <w:t>VOCs、乙醇、乙醚、丙酮（以非甲烷总烃计）</w:t>
            </w:r>
            <w:r>
              <w:rPr>
                <w:rFonts w:hint="eastAsia" w:ascii="Times New Roman" w:hAnsi="Times New Roman" w:eastAsia="宋体" w:cs="宋体"/>
                <w:color w:val="auto"/>
                <w:kern w:val="2"/>
                <w:sz w:val="24"/>
                <w:szCs w:val="24"/>
                <w:highlight w:val="none"/>
                <w:lang w:val="en-US" w:eastAsia="zh-CN" w:bidi="ar-SA"/>
              </w:rPr>
              <w:t>厂区内无组织排放执行《挥发性有机物无组织排放控制标准》（GB37822-2019）中附录A表A.1无组织排放限值以及《工业企业挥发性有机物排放标准》（DB35/1782-2018）表2中厂区内监控点浓度限值。</w:t>
            </w:r>
          </w:p>
          <w:p w14:paraId="2CEDE469">
            <w:pPr>
              <w:pStyle w:val="52"/>
              <w:keepNext w:val="0"/>
              <w:keepLines w:val="0"/>
              <w:pageBreakBefore w:val="0"/>
              <w:widowControl w:val="0"/>
              <w:kinsoku/>
              <w:wordWrap/>
              <w:overflowPunct/>
              <w:topLinePunct w:val="0"/>
              <w:autoSpaceDE/>
              <w:autoSpaceDN/>
              <w:bidi w:val="0"/>
              <w:adjustRightInd/>
              <w:snapToGrid w:val="0"/>
              <w:spacing w:before="0" w:after="0"/>
              <w:textAlignment w:val="auto"/>
              <w:rPr>
                <w:rFonts w:hint="default"/>
                <w:color w:val="auto"/>
                <w:highlight w:val="none"/>
                <w:lang w:val="en-US" w:eastAsia="zh-CN"/>
              </w:rPr>
            </w:pPr>
            <w:r>
              <w:rPr>
                <w:rFonts w:hint="eastAsia"/>
                <w:color w:val="auto"/>
                <w:highlight w:val="none"/>
                <w:lang w:val="en-US" w:eastAsia="zh-CN"/>
              </w:rPr>
              <w:t>表3.7-5  厂区内无组织废气排放标准（单位：mg/m</w:t>
            </w:r>
            <w:r>
              <w:rPr>
                <w:rFonts w:hint="eastAsia"/>
                <w:color w:val="auto"/>
                <w:highlight w:val="none"/>
                <w:vertAlign w:val="superscript"/>
                <w:lang w:val="en-US" w:eastAsia="zh-CN"/>
              </w:rPr>
              <w:t>3</w:t>
            </w:r>
            <w:r>
              <w:rPr>
                <w:rFonts w:hint="eastAsia"/>
                <w:color w:val="auto"/>
                <w:highlight w:val="none"/>
                <w:lang w:val="en-US" w:eastAsia="zh-CN"/>
              </w:rPr>
              <w:t>）</w:t>
            </w:r>
          </w:p>
          <w:tbl>
            <w:tblPr>
              <w:tblStyle w:val="20"/>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5"/>
              <w:gridCol w:w="1379"/>
              <w:gridCol w:w="2311"/>
              <w:gridCol w:w="3203"/>
            </w:tblGrid>
            <w:tr w14:paraId="026F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896" w:type="pct"/>
                  <w:tcBorders>
                    <w:top w:val="single" w:color="auto" w:sz="12" w:space="0"/>
                    <w:left w:val="nil"/>
                  </w:tcBorders>
                  <w:shd w:val="clear" w:color="auto" w:fill="auto"/>
                  <w:noWrap w:val="0"/>
                  <w:vAlign w:val="center"/>
                </w:tcPr>
                <w:p w14:paraId="4693A0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highlight w:val="none"/>
                      <w:lang w:val="en-US" w:eastAsia="zh-CN" w:bidi="ar-SA"/>
                    </w:rPr>
                  </w:pPr>
                  <w:r>
                    <w:rPr>
                      <w:rFonts w:hint="eastAsia" w:ascii="Times New Roman" w:hAnsi="Times New Roman" w:eastAsia="宋体" w:cs="Times New Roman"/>
                      <w:b/>
                      <w:bCs/>
                      <w:color w:val="auto"/>
                      <w:kern w:val="0"/>
                      <w:sz w:val="21"/>
                      <w:szCs w:val="20"/>
                      <w:highlight w:val="none"/>
                      <w:lang w:val="en-US" w:eastAsia="zh-CN" w:bidi="ar-SA"/>
                    </w:rPr>
                    <w:t>污染物项目</w:t>
                  </w:r>
                </w:p>
              </w:tc>
              <w:tc>
                <w:tcPr>
                  <w:tcW w:w="821" w:type="pct"/>
                  <w:tcBorders>
                    <w:top w:val="single" w:color="auto" w:sz="12" w:space="0"/>
                  </w:tcBorders>
                  <w:shd w:val="clear" w:color="auto" w:fill="auto"/>
                  <w:noWrap w:val="0"/>
                  <w:vAlign w:val="center"/>
                </w:tcPr>
                <w:p w14:paraId="6FC2DC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highlight w:val="none"/>
                      <w:lang w:val="en-US" w:eastAsia="zh-CN" w:bidi="ar-SA"/>
                    </w:rPr>
                  </w:pPr>
                  <w:r>
                    <w:rPr>
                      <w:rFonts w:hint="eastAsia" w:ascii="Times New Roman" w:hAnsi="Times New Roman" w:eastAsia="宋体" w:cs="Times New Roman"/>
                      <w:b/>
                      <w:bCs/>
                      <w:color w:val="auto"/>
                      <w:kern w:val="0"/>
                      <w:sz w:val="21"/>
                      <w:szCs w:val="20"/>
                      <w:highlight w:val="none"/>
                      <w:lang w:val="en-US" w:eastAsia="zh-CN" w:bidi="ar-SA"/>
                    </w:rPr>
                    <w:t>排放限值</w:t>
                  </w:r>
                </w:p>
              </w:tc>
              <w:tc>
                <w:tcPr>
                  <w:tcW w:w="1376" w:type="pct"/>
                  <w:tcBorders>
                    <w:top w:val="single" w:color="auto" w:sz="12" w:space="0"/>
                  </w:tcBorders>
                  <w:shd w:val="clear" w:color="auto" w:fill="auto"/>
                  <w:noWrap w:val="0"/>
                  <w:vAlign w:val="center"/>
                </w:tcPr>
                <w:p w14:paraId="3C1882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highlight w:val="none"/>
                      <w:lang w:val="en-US" w:eastAsia="zh-CN" w:bidi="ar-SA"/>
                    </w:rPr>
                  </w:pPr>
                  <w:r>
                    <w:rPr>
                      <w:rFonts w:hint="eastAsia" w:ascii="Times New Roman" w:hAnsi="Times New Roman" w:eastAsia="宋体" w:cs="Times New Roman"/>
                      <w:b/>
                      <w:bCs/>
                      <w:color w:val="auto"/>
                      <w:kern w:val="0"/>
                      <w:sz w:val="21"/>
                      <w:szCs w:val="20"/>
                      <w:highlight w:val="none"/>
                      <w:lang w:val="en-US" w:eastAsia="zh-CN" w:bidi="ar-SA"/>
                    </w:rPr>
                    <w:t>限值含义</w:t>
                  </w:r>
                </w:p>
              </w:tc>
              <w:tc>
                <w:tcPr>
                  <w:tcW w:w="1905" w:type="pct"/>
                  <w:tcBorders>
                    <w:top w:val="single" w:color="auto" w:sz="12" w:space="0"/>
                    <w:right w:val="nil"/>
                  </w:tcBorders>
                  <w:shd w:val="clear" w:color="auto" w:fill="auto"/>
                  <w:noWrap w:val="0"/>
                  <w:vAlign w:val="center"/>
                </w:tcPr>
                <w:p w14:paraId="55AFC6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highlight w:val="none"/>
                      <w:lang w:val="en-US" w:eastAsia="zh-CN" w:bidi="ar-SA"/>
                    </w:rPr>
                  </w:pPr>
                  <w:r>
                    <w:rPr>
                      <w:rFonts w:hint="eastAsia" w:ascii="Times New Roman" w:hAnsi="Times New Roman" w:eastAsia="宋体" w:cs="Times New Roman"/>
                      <w:b/>
                      <w:bCs/>
                      <w:color w:val="auto"/>
                      <w:kern w:val="0"/>
                      <w:sz w:val="21"/>
                      <w:szCs w:val="20"/>
                      <w:highlight w:val="none"/>
                      <w:lang w:val="en-US" w:eastAsia="zh-CN" w:bidi="ar-SA"/>
                    </w:rPr>
                    <w:t>无组织排放监控位置</w:t>
                  </w:r>
                </w:p>
              </w:tc>
            </w:tr>
            <w:tr w14:paraId="7679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96" w:type="pct"/>
                  <w:vMerge w:val="restart"/>
                  <w:tcBorders>
                    <w:left w:val="nil"/>
                  </w:tcBorders>
                  <w:noWrap w:val="0"/>
                  <w:vAlign w:val="center"/>
                </w:tcPr>
                <w:p w14:paraId="0235AB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NMHC</w:t>
                  </w:r>
                </w:p>
              </w:tc>
              <w:tc>
                <w:tcPr>
                  <w:tcW w:w="821" w:type="pct"/>
                  <w:noWrap w:val="0"/>
                  <w:vAlign w:val="center"/>
                </w:tcPr>
                <w:p w14:paraId="027C15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10</w:t>
                  </w:r>
                </w:p>
              </w:tc>
              <w:tc>
                <w:tcPr>
                  <w:tcW w:w="1376" w:type="pct"/>
                  <w:noWrap w:val="0"/>
                  <w:vAlign w:val="center"/>
                </w:tcPr>
                <w:p w14:paraId="030629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监控点处1h平均浓度值</w:t>
                  </w:r>
                </w:p>
              </w:tc>
              <w:tc>
                <w:tcPr>
                  <w:tcW w:w="1905" w:type="pct"/>
                  <w:vMerge w:val="restart"/>
                  <w:tcBorders>
                    <w:right w:val="nil"/>
                  </w:tcBorders>
                  <w:noWrap w:val="0"/>
                  <w:vAlign w:val="center"/>
                </w:tcPr>
                <w:p w14:paraId="09A2DA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在厂房外设置监控点</w:t>
                  </w:r>
                </w:p>
              </w:tc>
            </w:tr>
            <w:tr w14:paraId="1874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96" w:type="pct"/>
                  <w:vMerge w:val="continue"/>
                  <w:tcBorders>
                    <w:left w:val="nil"/>
                  </w:tcBorders>
                  <w:noWrap w:val="0"/>
                  <w:vAlign w:val="center"/>
                </w:tcPr>
                <w:p w14:paraId="4DFDBC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p>
              </w:tc>
              <w:tc>
                <w:tcPr>
                  <w:tcW w:w="821" w:type="pct"/>
                  <w:noWrap w:val="0"/>
                  <w:vAlign w:val="center"/>
                </w:tcPr>
                <w:p w14:paraId="2CE386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30</w:t>
                  </w:r>
                </w:p>
              </w:tc>
              <w:tc>
                <w:tcPr>
                  <w:tcW w:w="1376" w:type="pct"/>
                  <w:noWrap w:val="0"/>
                  <w:vAlign w:val="center"/>
                </w:tcPr>
                <w:p w14:paraId="220EE3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监控点处任意一次浓度值</w:t>
                  </w:r>
                </w:p>
              </w:tc>
              <w:tc>
                <w:tcPr>
                  <w:tcW w:w="1905" w:type="pct"/>
                  <w:vMerge w:val="continue"/>
                  <w:tcBorders>
                    <w:right w:val="nil"/>
                  </w:tcBorders>
                  <w:noWrap w:val="0"/>
                  <w:vAlign w:val="center"/>
                </w:tcPr>
                <w:p w14:paraId="5B6AEA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p>
              </w:tc>
            </w:tr>
            <w:tr w14:paraId="0746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96" w:type="pct"/>
                  <w:tcBorders>
                    <w:left w:val="nil"/>
                  </w:tcBorders>
                  <w:noWrap w:val="0"/>
                  <w:vAlign w:val="center"/>
                </w:tcPr>
                <w:p w14:paraId="104C7E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非甲烷总烃</w:t>
                  </w:r>
                </w:p>
              </w:tc>
              <w:tc>
                <w:tcPr>
                  <w:tcW w:w="821" w:type="pct"/>
                  <w:noWrap w:val="0"/>
                  <w:vAlign w:val="center"/>
                </w:tcPr>
                <w:p w14:paraId="5819B3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8.0</w:t>
                  </w:r>
                </w:p>
              </w:tc>
              <w:tc>
                <w:tcPr>
                  <w:tcW w:w="1376" w:type="pct"/>
                  <w:noWrap w:val="0"/>
                  <w:vAlign w:val="center"/>
                </w:tcPr>
                <w:p w14:paraId="3AAE4C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w:t>
                  </w:r>
                </w:p>
              </w:tc>
              <w:tc>
                <w:tcPr>
                  <w:tcW w:w="1905" w:type="pct"/>
                  <w:tcBorders>
                    <w:right w:val="nil"/>
                  </w:tcBorders>
                  <w:noWrap w:val="0"/>
                  <w:vAlign w:val="center"/>
                </w:tcPr>
                <w:p w14:paraId="321844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为判别厂界内车间或生产装置外、储罐区域外大气污染物是否超过标准而设立的监测点</w:t>
                  </w:r>
                </w:p>
              </w:tc>
            </w:tr>
            <w:tr w14:paraId="0D6A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000" w:type="pct"/>
                  <w:gridSpan w:val="4"/>
                  <w:tcBorders>
                    <w:left w:val="nil"/>
                    <w:bottom w:val="single" w:color="auto" w:sz="12" w:space="0"/>
                    <w:right w:val="nil"/>
                  </w:tcBorders>
                  <w:noWrap w:val="0"/>
                  <w:vAlign w:val="center"/>
                </w:tcPr>
                <w:p w14:paraId="04E6213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Times New Roman" w:hAnsi="Times New Roman" w:eastAsia="宋体" w:cs="Times New Roman"/>
                      <w:color w:val="auto"/>
                      <w:kern w:val="0"/>
                      <w:sz w:val="21"/>
                      <w:szCs w:val="20"/>
                      <w:highlight w:val="none"/>
                      <w:lang w:val="en-US" w:eastAsia="zh-CN" w:bidi="ar-SA"/>
                    </w:rPr>
                  </w:pPr>
                  <w:bookmarkStart w:id="69" w:name="_Toc19012"/>
                  <w:r>
                    <w:rPr>
                      <w:rFonts w:hint="eastAsia" w:ascii="Times New Roman" w:hAnsi="Times New Roman" w:eastAsia="宋体" w:cs="Times New Roman"/>
                      <w:color w:val="auto"/>
                      <w:kern w:val="0"/>
                      <w:sz w:val="18"/>
                      <w:szCs w:val="18"/>
                      <w:highlight w:val="none"/>
                      <w:lang w:val="en-US" w:eastAsia="zh-CN" w:bidi="ar-SA"/>
                    </w:rPr>
                    <w:t>注：</w:t>
                  </w:r>
                  <w:r>
                    <w:rPr>
                      <w:rFonts w:ascii="Times New Roman" w:hAnsi="Times New Roman" w:eastAsia="宋体" w:cs="Segoe UI Emoji"/>
                      <w:i w:val="0"/>
                      <w:iCs w:val="0"/>
                      <w:caps w:val="0"/>
                      <w:color w:val="auto"/>
                      <w:spacing w:val="0"/>
                      <w:sz w:val="18"/>
                      <w:szCs w:val="18"/>
                    </w:rPr>
                    <w:t>仅冷加工光学玻璃（无熔窑：切割、研磨、抛光、清洗，无玻璃熔炼工序，无玻璃熔制、仅机械加工，不属于</w:t>
                  </w:r>
                  <w:r>
                    <w:rPr>
                      <w:rFonts w:hint="eastAsia" w:ascii="Times New Roman" w:hAnsi="Times New Roman" w:eastAsia="宋体" w:cs="Segoe UI Emoji"/>
                      <w:i w:val="0"/>
                      <w:iCs w:val="0"/>
                      <w:caps w:val="0"/>
                      <w:color w:val="auto"/>
                      <w:spacing w:val="0"/>
                      <w:sz w:val="18"/>
                      <w:szCs w:val="18"/>
                      <w:lang w:eastAsia="zh-CN"/>
                    </w:rPr>
                    <w:t>（</w:t>
                  </w:r>
                  <w:r>
                    <w:rPr>
                      <w:rFonts w:ascii="Times New Roman" w:hAnsi="Times New Roman" w:eastAsia="宋体" w:cs="Segoe UI Emoji"/>
                      <w:i w:val="0"/>
                      <w:iCs w:val="0"/>
                      <w:caps w:val="0"/>
                      <w:color w:val="auto"/>
                      <w:spacing w:val="0"/>
                      <w:sz w:val="18"/>
                      <w:szCs w:val="18"/>
                    </w:rPr>
                    <w:t>GB</w:t>
                  </w:r>
                  <w:r>
                    <w:rPr>
                      <w:rFonts w:hint="eastAsia" w:ascii="Times New Roman" w:hAnsi="Times New Roman" w:eastAsia="宋体" w:cs="Segoe UI Emoji"/>
                      <w:i w:val="0"/>
                      <w:iCs w:val="0"/>
                      <w:caps w:val="0"/>
                      <w:color w:val="auto"/>
                      <w:spacing w:val="0"/>
                      <w:sz w:val="18"/>
                      <w:szCs w:val="18"/>
                      <w:lang w:val="en-US" w:eastAsia="zh-CN"/>
                    </w:rPr>
                    <w:t xml:space="preserve"> </w:t>
                  </w:r>
                  <w:r>
                    <w:rPr>
                      <w:rFonts w:ascii="Times New Roman" w:hAnsi="Times New Roman" w:eastAsia="宋体" w:cs="Segoe UI Emoji"/>
                      <w:i w:val="0"/>
                      <w:iCs w:val="0"/>
                      <w:caps w:val="0"/>
                      <w:color w:val="auto"/>
                      <w:spacing w:val="0"/>
                      <w:sz w:val="18"/>
                      <w:szCs w:val="18"/>
                    </w:rPr>
                    <w:t>26453</w:t>
                  </w:r>
                  <w:r>
                    <w:rPr>
                      <w:rFonts w:hint="eastAsia" w:ascii="Times New Roman" w:hAnsi="Times New Roman" w:eastAsia="宋体" w:cs="Segoe UI Emoji"/>
                      <w:i w:val="0"/>
                      <w:iCs w:val="0"/>
                      <w:caps w:val="0"/>
                      <w:color w:val="auto"/>
                      <w:spacing w:val="0"/>
                      <w:sz w:val="18"/>
                      <w:szCs w:val="18"/>
                      <w:lang w:val="en-US" w:eastAsia="zh-CN"/>
                    </w:rPr>
                    <w:t>-2022</w:t>
                  </w:r>
                  <w:r>
                    <w:rPr>
                      <w:rFonts w:hint="eastAsia" w:ascii="Times New Roman" w:hAnsi="Times New Roman" w:eastAsia="宋体" w:cs="Segoe UI Emoji"/>
                      <w:i w:val="0"/>
                      <w:iCs w:val="0"/>
                      <w:caps w:val="0"/>
                      <w:color w:val="auto"/>
                      <w:spacing w:val="0"/>
                      <w:sz w:val="18"/>
                      <w:szCs w:val="18"/>
                      <w:lang w:eastAsia="zh-CN"/>
                    </w:rPr>
                    <w:t>）</w:t>
                  </w:r>
                  <w:r>
                    <w:rPr>
                      <w:rFonts w:ascii="Times New Roman" w:hAnsi="Times New Roman" w:eastAsia="宋体" w:cs="Segoe UI Emoji"/>
                      <w:i w:val="0"/>
                      <w:iCs w:val="0"/>
                      <w:caps w:val="0"/>
                      <w:color w:val="auto"/>
                      <w:spacing w:val="0"/>
                      <w:sz w:val="18"/>
                      <w:szCs w:val="18"/>
                    </w:rPr>
                    <w:t>管控范畴，暂无国标专项厂区内颗粒物限值，环评/验收参照管控：车间岗位颗粒物参考（GB 16297-1996）管理，无强制数值，以密闭收集为主</w:t>
                  </w:r>
                  <w:r>
                    <w:rPr>
                      <w:rFonts w:hint="eastAsia" w:ascii="Times New Roman" w:hAnsi="Times New Roman" w:eastAsia="宋体" w:cs="Segoe UI Emoji"/>
                      <w:i w:val="0"/>
                      <w:iCs w:val="0"/>
                      <w:caps w:val="0"/>
                      <w:color w:val="auto"/>
                      <w:spacing w:val="0"/>
                      <w:sz w:val="18"/>
                      <w:szCs w:val="18"/>
                      <w:lang w:eastAsia="zh-CN"/>
                    </w:rPr>
                    <w:t>。</w:t>
                  </w:r>
                </w:p>
              </w:tc>
            </w:tr>
          </w:tbl>
          <w:p w14:paraId="617416E9">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3.7.3噪声排放标准</w:t>
            </w:r>
            <w:bookmarkEnd w:id="69"/>
          </w:p>
          <w:p w14:paraId="177FFB59">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项目运营期厂界噪声执行《工业企业厂界环境噪声排放标准》</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GB12348-2008</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中</w:t>
            </w:r>
            <w:r>
              <w:rPr>
                <w:rFonts w:hint="eastAsia" w:ascii="Times New Roman" w:hAnsi="Times New Roman" w:eastAsia="宋体" w:cs="宋体"/>
                <w:color w:val="auto"/>
                <w:kern w:val="2"/>
                <w:sz w:val="24"/>
                <w:szCs w:val="24"/>
                <w:lang w:val="en-US" w:eastAsia="zh-CN" w:bidi="ar-SA"/>
              </w:rPr>
              <w:t>3</w:t>
            </w:r>
            <w:r>
              <w:rPr>
                <w:rFonts w:ascii="Times New Roman" w:hAnsi="Times New Roman" w:eastAsia="宋体" w:cs="宋体"/>
                <w:color w:val="auto"/>
                <w:kern w:val="2"/>
                <w:sz w:val="24"/>
                <w:szCs w:val="24"/>
                <w:lang w:val="en-US" w:eastAsia="zh-CN" w:bidi="ar-SA"/>
              </w:rPr>
              <w:t>类标准</w:t>
            </w:r>
            <w:r>
              <w:rPr>
                <w:rFonts w:hint="eastAsia" w:ascii="Times New Roman" w:hAnsi="Times New Roman" w:eastAsia="宋体" w:cs="Times New Roman"/>
                <w:color w:val="auto"/>
                <w:sz w:val="24"/>
                <w:highlight w:val="none"/>
                <w:lang w:val="en-US" w:eastAsia="zh-CN"/>
              </w:rPr>
              <w:t>，</w:t>
            </w:r>
            <w:r>
              <w:rPr>
                <w:rFonts w:ascii="Times New Roman" w:hAnsi="Times New Roman" w:eastAsia="宋体" w:cs="宋体"/>
                <w:color w:val="auto"/>
                <w:kern w:val="2"/>
                <w:sz w:val="24"/>
                <w:szCs w:val="24"/>
                <w:lang w:val="en-US" w:eastAsia="zh-CN" w:bidi="ar-SA"/>
              </w:rPr>
              <w:t>具体详见表3.7-</w:t>
            </w:r>
            <w:r>
              <w:rPr>
                <w:rFonts w:hint="eastAsia" w:ascii="Times New Roman" w:hAnsi="Times New Roman" w:eastAsia="宋体" w:cs="宋体"/>
                <w:color w:val="auto"/>
                <w:kern w:val="2"/>
                <w:sz w:val="24"/>
                <w:szCs w:val="24"/>
                <w:lang w:val="en-US" w:eastAsia="zh-CN" w:bidi="ar-SA"/>
              </w:rPr>
              <w:t>6</w:t>
            </w:r>
            <w:r>
              <w:rPr>
                <w:rFonts w:ascii="Times New Roman" w:hAnsi="Times New Roman" w:eastAsia="宋体" w:cs="宋体"/>
                <w:color w:val="auto"/>
                <w:kern w:val="2"/>
                <w:sz w:val="24"/>
                <w:szCs w:val="24"/>
                <w:lang w:val="en-US" w:eastAsia="zh-CN" w:bidi="ar-SA"/>
              </w:rPr>
              <w:t>。</w:t>
            </w:r>
          </w:p>
          <w:p w14:paraId="27F87CC7">
            <w:pPr>
              <w:widowControl w:val="0"/>
              <w:bidi w:val="0"/>
              <w:adjustRightInd w:val="0"/>
              <w:snapToGrid w:val="0"/>
              <w:spacing w:before="10" w:beforeLines="10" w:after="10" w:afterLines="10"/>
              <w:jc w:val="center"/>
              <w:rPr>
                <w:rFonts w:hint="eastAsia" w:ascii="Times New Roman" w:hAnsi="Times New Roman" w:eastAsia="宋体" w:cs="Times New Roman"/>
                <w:b/>
                <w:color w:val="auto"/>
                <w:kern w:val="0"/>
                <w:sz w:val="24"/>
                <w:szCs w:val="20"/>
                <w:lang w:val="en-US" w:eastAsia="zh-CN" w:bidi="ar-SA"/>
              </w:rPr>
            </w:pPr>
            <w:r>
              <w:rPr>
                <w:rFonts w:ascii="Times New Roman" w:hAnsi="Times New Roman" w:eastAsia="宋体" w:cs="Times New Roman"/>
                <w:b/>
                <w:color w:val="auto"/>
                <w:kern w:val="0"/>
                <w:sz w:val="24"/>
                <w:szCs w:val="20"/>
                <w:lang w:val="en-US" w:eastAsia="zh-CN" w:bidi="ar-SA"/>
              </w:rPr>
              <w:t>表3.7-</w:t>
            </w:r>
            <w:r>
              <w:rPr>
                <w:rFonts w:hint="eastAsia" w:ascii="Times New Roman" w:hAnsi="Times New Roman" w:eastAsia="宋体" w:cs="Times New Roman"/>
                <w:b/>
                <w:color w:val="auto"/>
                <w:kern w:val="0"/>
                <w:sz w:val="24"/>
                <w:szCs w:val="20"/>
                <w:lang w:val="en-US" w:eastAsia="zh-CN" w:bidi="ar-SA"/>
              </w:rPr>
              <w:t>6</w:t>
            </w:r>
            <w:r>
              <w:rPr>
                <w:rFonts w:ascii="Times New Roman" w:hAnsi="Times New Roman" w:eastAsia="宋体" w:cs="Times New Roman"/>
                <w:b/>
                <w:color w:val="auto"/>
                <w:kern w:val="0"/>
                <w:sz w:val="24"/>
                <w:szCs w:val="20"/>
                <w:lang w:val="en-US" w:eastAsia="zh-CN" w:bidi="ar-SA"/>
              </w:rPr>
              <w:t xml:space="preserve"> </w:t>
            </w:r>
            <w:r>
              <w:rPr>
                <w:rFonts w:hint="eastAsia" w:cs="Times New Roman"/>
                <w:b/>
                <w:color w:val="auto"/>
                <w:kern w:val="0"/>
                <w:sz w:val="24"/>
                <w:szCs w:val="20"/>
                <w:lang w:val="en-US" w:eastAsia="zh-CN" w:bidi="ar-SA"/>
              </w:rPr>
              <w:t xml:space="preserve"> </w:t>
            </w:r>
            <w:r>
              <w:rPr>
                <w:rFonts w:ascii="Times New Roman" w:hAnsi="Times New Roman" w:eastAsia="宋体" w:cs="Times New Roman"/>
                <w:b/>
                <w:color w:val="auto"/>
                <w:kern w:val="0"/>
                <w:sz w:val="24"/>
                <w:szCs w:val="20"/>
                <w:lang w:val="en-US" w:eastAsia="zh-CN" w:bidi="ar-SA"/>
              </w:rPr>
              <w:t>《工业企业厂界环境噪声排放标准》</w:t>
            </w:r>
            <w:r>
              <w:rPr>
                <w:rFonts w:hint="eastAsia" w:ascii="Times New Roman" w:hAnsi="Times New Roman" w:eastAsia="宋体" w:cs="Times New Roman"/>
                <w:b/>
                <w:color w:val="auto"/>
                <w:kern w:val="0"/>
                <w:sz w:val="24"/>
                <w:szCs w:val="20"/>
                <w:lang w:val="en-US" w:eastAsia="zh-CN" w:bidi="ar-SA"/>
              </w:rPr>
              <w:t>（</w:t>
            </w:r>
            <w:r>
              <w:rPr>
                <w:rFonts w:ascii="Times New Roman" w:hAnsi="Times New Roman" w:eastAsia="宋体" w:cs="Times New Roman"/>
                <w:b/>
                <w:color w:val="auto"/>
                <w:kern w:val="0"/>
                <w:sz w:val="24"/>
                <w:szCs w:val="20"/>
                <w:lang w:val="en-US" w:eastAsia="zh-CN" w:bidi="ar-SA"/>
              </w:rPr>
              <w:t>GB12348-2008</w:t>
            </w:r>
            <w:r>
              <w:rPr>
                <w:rFonts w:hint="eastAsia" w:ascii="Times New Roman" w:hAnsi="Times New Roman" w:eastAsia="宋体" w:cs="Times New Roman"/>
                <w:b/>
                <w:color w:val="auto"/>
                <w:kern w:val="0"/>
                <w:sz w:val="24"/>
                <w:szCs w:val="20"/>
                <w:lang w:val="en-US" w:eastAsia="zh-CN" w:bidi="ar-SA"/>
              </w:rPr>
              <w:t>）</w:t>
            </w:r>
            <w:r>
              <w:rPr>
                <w:rFonts w:ascii="Times New Roman" w:hAnsi="Times New Roman" w:eastAsia="宋体" w:cs="Times New Roman"/>
                <w:b/>
                <w:color w:val="auto"/>
                <w:kern w:val="0"/>
                <w:sz w:val="24"/>
                <w:szCs w:val="20"/>
                <w:lang w:val="en-US" w:eastAsia="zh-CN" w:bidi="ar-SA"/>
              </w:rPr>
              <w:t>表1</w:t>
            </w:r>
            <w:r>
              <w:rPr>
                <w:rFonts w:hint="eastAsia" w:ascii="Times New Roman" w:hAnsi="Times New Roman" w:eastAsia="宋体" w:cs="Times New Roman"/>
                <w:b/>
                <w:color w:val="auto"/>
                <w:kern w:val="0"/>
                <w:sz w:val="24"/>
                <w:szCs w:val="20"/>
                <w:lang w:val="en-US" w:eastAsia="zh-CN" w:bidi="ar-SA"/>
              </w:rPr>
              <w:t>（</w:t>
            </w:r>
            <w:r>
              <w:rPr>
                <w:rFonts w:ascii="Times New Roman" w:hAnsi="Times New Roman" w:eastAsia="宋体" w:cs="Times New Roman"/>
                <w:b/>
                <w:color w:val="auto"/>
                <w:kern w:val="0"/>
                <w:sz w:val="24"/>
                <w:szCs w:val="20"/>
                <w:lang w:val="en-US" w:eastAsia="zh-CN" w:bidi="ar-SA"/>
              </w:rPr>
              <w:t>摘录</w:t>
            </w:r>
            <w:r>
              <w:rPr>
                <w:rFonts w:hint="eastAsia" w:ascii="Times New Roman" w:hAnsi="Times New Roman" w:eastAsia="宋体" w:cs="Times New Roman"/>
                <w:b/>
                <w:color w:val="auto"/>
                <w:kern w:val="0"/>
                <w:sz w:val="24"/>
                <w:szCs w:val="20"/>
                <w:lang w:val="en-US" w:eastAsia="zh-CN" w:bidi="ar-SA"/>
              </w:rPr>
              <w:t>）</w:t>
            </w:r>
          </w:p>
          <w:tbl>
            <w:tblPr>
              <w:tblStyle w:val="19"/>
              <w:tblW w:w="80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954"/>
              <w:gridCol w:w="1480"/>
              <w:gridCol w:w="1303"/>
              <w:gridCol w:w="1301"/>
            </w:tblGrid>
            <w:tr w14:paraId="698B85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54" w:type="dxa"/>
                  <w:tcBorders>
                    <w:tl2br w:val="nil"/>
                    <w:tr2bl w:val="nil"/>
                  </w:tcBorders>
                  <w:noWrap w:val="0"/>
                  <w:vAlign w:val="center"/>
                </w:tcPr>
                <w:p w14:paraId="57D115BF">
                  <w:pPr>
                    <w:widowControl w:val="0"/>
                    <w:bidi w:val="0"/>
                    <w:adjustRightInd w:val="0"/>
                    <w:snapToGrid w:val="0"/>
                    <w:spacing w:before="10" w:beforeLines="10" w:after="10" w:afterLines="10" w:line="240" w:lineRule="auto"/>
                    <w:jc w:val="right"/>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 xml:space="preserve">          </w:t>
                  </w:r>
                  <w:r>
                    <w:rPr>
                      <w:rFonts w:hint="eastAsia" w:ascii="Times New Roman" w:hAnsi="Times New Roman" w:eastAsia="宋体" w:cs="Times New Roman"/>
                      <w:b/>
                      <w:bCs/>
                      <w:color w:val="auto"/>
                      <w:kern w:val="0"/>
                      <w:sz w:val="21"/>
                      <w:szCs w:val="20"/>
                      <w:lang w:val="en-US" w:eastAsia="zh-CN" w:bidi="ar-SA"/>
                    </w:rPr>
                    <w:t xml:space="preserve">    </w:t>
                  </w:r>
                  <w:r>
                    <w:rPr>
                      <w:rFonts w:ascii="Times New Roman" w:hAnsi="Times New Roman" w:eastAsia="宋体" w:cs="Times New Roman"/>
                      <w:b/>
                      <w:bCs/>
                      <w:color w:val="auto"/>
                      <w:kern w:val="0"/>
                      <w:sz w:val="21"/>
                      <w:szCs w:val="20"/>
                      <w:lang w:val="en-US" w:eastAsia="zh-CN" w:bidi="ar-SA"/>
                    </w:rPr>
                    <w:t>时段</w:t>
                  </w:r>
                </w:p>
                <w:p w14:paraId="5C5D504A">
                  <w:pPr>
                    <w:widowControl w:val="0"/>
                    <w:bidi w:val="0"/>
                    <w:adjustRightInd w:val="0"/>
                    <w:snapToGrid w:val="0"/>
                    <w:spacing w:before="10" w:beforeLines="10" w:after="10" w:afterLines="10" w:line="240" w:lineRule="auto"/>
                    <w:jc w:val="left"/>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厂界外声环境功能区类别</w:t>
                  </w:r>
                </w:p>
              </w:tc>
              <w:tc>
                <w:tcPr>
                  <w:tcW w:w="1480" w:type="dxa"/>
                  <w:tcBorders>
                    <w:tl2br w:val="nil"/>
                    <w:tr2bl w:val="nil"/>
                  </w:tcBorders>
                  <w:noWrap w:val="0"/>
                  <w:vAlign w:val="center"/>
                </w:tcPr>
                <w:p w14:paraId="2BA15AE6">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昼 间</w:t>
                  </w:r>
                </w:p>
              </w:tc>
              <w:tc>
                <w:tcPr>
                  <w:tcW w:w="1303" w:type="dxa"/>
                  <w:tcBorders>
                    <w:tl2br w:val="nil"/>
                    <w:tr2bl w:val="nil"/>
                  </w:tcBorders>
                  <w:noWrap w:val="0"/>
                  <w:vAlign w:val="center"/>
                </w:tcPr>
                <w:p w14:paraId="58E52B3A">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夜 间</w:t>
                  </w:r>
                </w:p>
              </w:tc>
              <w:tc>
                <w:tcPr>
                  <w:tcW w:w="1301" w:type="dxa"/>
                  <w:tcBorders>
                    <w:tl2br w:val="nil"/>
                    <w:tr2bl w:val="nil"/>
                  </w:tcBorders>
                  <w:noWrap w:val="0"/>
                  <w:vAlign w:val="center"/>
                </w:tcPr>
                <w:p w14:paraId="2BC0D87E">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单 位</w:t>
                  </w:r>
                </w:p>
              </w:tc>
            </w:tr>
            <w:tr w14:paraId="1CD252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3954" w:type="dxa"/>
                  <w:tcBorders>
                    <w:tl2br w:val="nil"/>
                    <w:tr2bl w:val="nil"/>
                  </w:tcBorders>
                  <w:noWrap w:val="0"/>
                  <w:vAlign w:val="center"/>
                </w:tcPr>
                <w:p w14:paraId="0027A486">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3</w:t>
                  </w:r>
                  <w:r>
                    <w:rPr>
                      <w:rFonts w:ascii="Times New Roman" w:hAnsi="Times New Roman" w:eastAsia="宋体" w:cs="Times New Roman"/>
                      <w:color w:val="auto"/>
                      <w:kern w:val="0"/>
                      <w:sz w:val="21"/>
                      <w:szCs w:val="20"/>
                      <w:lang w:val="en-US" w:eastAsia="zh-CN" w:bidi="ar-SA"/>
                    </w:rPr>
                    <w:t>类</w:t>
                  </w:r>
                </w:p>
              </w:tc>
              <w:tc>
                <w:tcPr>
                  <w:tcW w:w="1480" w:type="dxa"/>
                  <w:tcBorders>
                    <w:tl2br w:val="nil"/>
                    <w:tr2bl w:val="nil"/>
                  </w:tcBorders>
                  <w:noWrap w:val="0"/>
                  <w:vAlign w:val="center"/>
                </w:tcPr>
                <w:p w14:paraId="415E484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≤6</w:t>
                  </w:r>
                  <w:r>
                    <w:rPr>
                      <w:rFonts w:hint="eastAsia" w:ascii="Times New Roman" w:hAnsi="Times New Roman" w:eastAsia="宋体" w:cs="Times New Roman"/>
                      <w:color w:val="auto"/>
                      <w:kern w:val="0"/>
                      <w:sz w:val="21"/>
                      <w:szCs w:val="20"/>
                      <w:lang w:val="en-US" w:eastAsia="zh-CN" w:bidi="ar-SA"/>
                    </w:rPr>
                    <w:t>5</w:t>
                  </w:r>
                </w:p>
              </w:tc>
              <w:tc>
                <w:tcPr>
                  <w:tcW w:w="1303" w:type="dxa"/>
                  <w:tcBorders>
                    <w:tl2br w:val="nil"/>
                    <w:tr2bl w:val="nil"/>
                  </w:tcBorders>
                  <w:noWrap w:val="0"/>
                  <w:vAlign w:val="center"/>
                </w:tcPr>
                <w:p w14:paraId="77CE08E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≤5</w:t>
                  </w:r>
                  <w:r>
                    <w:rPr>
                      <w:rFonts w:hint="eastAsia" w:ascii="Times New Roman" w:hAnsi="Times New Roman" w:eastAsia="宋体" w:cs="Times New Roman"/>
                      <w:color w:val="auto"/>
                      <w:kern w:val="0"/>
                      <w:sz w:val="21"/>
                      <w:szCs w:val="20"/>
                      <w:lang w:val="en-US" w:eastAsia="zh-CN" w:bidi="ar-SA"/>
                    </w:rPr>
                    <w:t>5</w:t>
                  </w:r>
                </w:p>
              </w:tc>
              <w:tc>
                <w:tcPr>
                  <w:tcW w:w="1301" w:type="dxa"/>
                  <w:tcBorders>
                    <w:tl2br w:val="nil"/>
                    <w:tr2bl w:val="nil"/>
                  </w:tcBorders>
                  <w:noWrap w:val="0"/>
                  <w:vAlign w:val="center"/>
                </w:tcPr>
                <w:p w14:paraId="73D11A2B">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dB</w:t>
                  </w:r>
                  <w:r>
                    <w:rPr>
                      <w:rFonts w:hint="eastAsia" w:cs="Times New Roman"/>
                      <w:color w:val="auto"/>
                      <w:kern w:val="0"/>
                      <w:sz w:val="21"/>
                      <w:szCs w:val="20"/>
                      <w:lang w:val="en-US" w:eastAsia="zh-CN" w:bidi="ar-SA"/>
                    </w:rPr>
                    <w:t>(</w:t>
                  </w:r>
                  <w:r>
                    <w:rPr>
                      <w:rFonts w:ascii="Times New Roman" w:hAnsi="Times New Roman" w:eastAsia="宋体" w:cs="Times New Roman"/>
                      <w:color w:val="auto"/>
                      <w:kern w:val="0"/>
                      <w:sz w:val="21"/>
                      <w:szCs w:val="20"/>
                      <w:lang w:val="en-US" w:eastAsia="zh-CN" w:bidi="ar-SA"/>
                    </w:rPr>
                    <w:t>A</w:t>
                  </w:r>
                  <w:r>
                    <w:rPr>
                      <w:rFonts w:hint="eastAsia" w:cs="Times New Roman"/>
                      <w:color w:val="auto"/>
                      <w:kern w:val="0"/>
                      <w:sz w:val="21"/>
                      <w:szCs w:val="20"/>
                      <w:lang w:val="en-US" w:eastAsia="zh-CN" w:bidi="ar-SA"/>
                    </w:rPr>
                    <w:t>)</w:t>
                  </w:r>
                </w:p>
              </w:tc>
            </w:tr>
          </w:tbl>
          <w:p w14:paraId="558CA5F2">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70" w:name="_Toc2355"/>
            <w:r>
              <w:rPr>
                <w:rFonts w:hint="eastAsia" w:ascii="Times New Roman" w:hAnsi="Times New Roman" w:eastAsia="宋体" w:cs="Times New Roman"/>
                <w:b/>
                <w:color w:val="auto"/>
                <w:kern w:val="2"/>
                <w:sz w:val="24"/>
                <w:szCs w:val="24"/>
                <w:lang w:val="en-US" w:eastAsia="zh-CN" w:bidi="ar-SA"/>
              </w:rPr>
              <w:t>3.7.4固体废物</w:t>
            </w:r>
            <w:bookmarkEnd w:id="70"/>
          </w:p>
          <w:p w14:paraId="6BEC4CE3">
            <w:pPr>
              <w:pStyle w:val="5"/>
              <w:bidi w:val="0"/>
              <w:rPr>
                <w:rFonts w:ascii="Times New Roman" w:hAnsi="Times New Roman"/>
                <w:color w:val="auto"/>
              </w:rPr>
            </w:pPr>
            <w:r>
              <w:rPr>
                <w:rFonts w:ascii="Times New Roman" w:hAnsi="Times New Roman"/>
                <w:color w:val="auto"/>
                <w:lang w:val="en-US" w:eastAsia="zh-CN"/>
              </w:rPr>
              <w:t>运营期项目内产生的一般工业固废应按照《一般工业固体废物贮存和填埋污染控制标准》</w:t>
            </w:r>
            <w:r>
              <w:rPr>
                <w:rFonts w:hint="eastAsia" w:ascii="Times New Roman" w:hAnsi="Times New Roman"/>
                <w:color w:val="auto"/>
                <w:lang w:val="en-US" w:eastAsia="zh-CN"/>
              </w:rPr>
              <w:t>（</w:t>
            </w:r>
            <w:r>
              <w:rPr>
                <w:rFonts w:ascii="Times New Roman" w:hAnsi="Times New Roman"/>
                <w:color w:val="auto"/>
                <w:lang w:val="en-US" w:eastAsia="zh-CN"/>
              </w:rPr>
              <w:t>GB 18599-2020</w:t>
            </w:r>
            <w:r>
              <w:rPr>
                <w:rFonts w:hint="eastAsia" w:ascii="Times New Roman" w:hAnsi="Times New Roman"/>
                <w:color w:val="auto"/>
                <w:lang w:val="en-US" w:eastAsia="zh-CN"/>
              </w:rPr>
              <w:t>）</w:t>
            </w:r>
            <w:r>
              <w:rPr>
                <w:rFonts w:ascii="Times New Roman" w:hAnsi="Times New Roman"/>
                <w:color w:val="auto"/>
                <w:lang w:val="en-US" w:eastAsia="zh-CN"/>
              </w:rPr>
              <w:t>的要求进行</w:t>
            </w:r>
            <w:r>
              <w:rPr>
                <w:rFonts w:hint="eastAsia" w:ascii="Times New Roman" w:hAnsi="Times New Roman"/>
                <w:color w:val="auto"/>
                <w:lang w:val="en-US" w:eastAsia="zh-CN"/>
              </w:rPr>
              <w:t>暂存管理</w:t>
            </w:r>
            <w:r>
              <w:rPr>
                <w:rFonts w:ascii="Times New Roman" w:hAnsi="Times New Roman"/>
                <w:color w:val="auto"/>
                <w:lang w:val="en-US" w:eastAsia="zh-CN"/>
              </w:rPr>
              <w:t>。项目内产生的危险废物应按照</w:t>
            </w:r>
            <w:r>
              <w:rPr>
                <w:rFonts w:hint="eastAsia"/>
                <w:color w:val="auto"/>
                <w:lang w:val="en-US" w:eastAsia="zh-CN"/>
              </w:rPr>
              <w:t>《危险废物贮存污染控制标准》（GB18597-2023）</w:t>
            </w:r>
            <w:r>
              <w:rPr>
                <w:rFonts w:ascii="Times New Roman" w:hAnsi="Times New Roman"/>
                <w:color w:val="auto"/>
                <w:lang w:val="en-US" w:eastAsia="zh-CN"/>
              </w:rPr>
              <w:t>中的要求进行</w:t>
            </w:r>
            <w:r>
              <w:rPr>
                <w:rFonts w:hint="eastAsia" w:ascii="Times New Roman" w:hAnsi="Times New Roman"/>
                <w:color w:val="auto"/>
                <w:lang w:val="en-US" w:eastAsia="zh-CN"/>
              </w:rPr>
              <w:t>暂存管理</w:t>
            </w:r>
            <w:r>
              <w:rPr>
                <w:rFonts w:ascii="Times New Roman" w:hAnsi="Times New Roman"/>
                <w:color w:val="auto"/>
                <w:lang w:val="en-US" w:eastAsia="zh-CN"/>
              </w:rPr>
              <w:t>。</w:t>
            </w:r>
          </w:p>
        </w:tc>
      </w:tr>
      <w:tr w14:paraId="7ACBF4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00" w:type="dxa"/>
            <w:noWrap w:val="0"/>
            <w:vAlign w:val="center"/>
          </w:tcPr>
          <w:p w14:paraId="69271EF1">
            <w:pPr>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kern w:val="0"/>
                <w:szCs w:val="21"/>
              </w:rPr>
              <w:t>总量</w:t>
            </w:r>
          </w:p>
          <w:p w14:paraId="0BEBD274">
            <w:pPr>
              <w:adjustRightInd w:val="0"/>
              <w:snapToGrid w:val="0"/>
              <w:jc w:val="center"/>
              <w:rPr>
                <w:rFonts w:hint="eastAsia" w:ascii="Times New Roman" w:hAnsi="Times New Roman" w:cs="宋体"/>
                <w:color w:val="auto"/>
                <w:kern w:val="0"/>
                <w:szCs w:val="21"/>
              </w:rPr>
            </w:pPr>
            <w:r>
              <w:rPr>
                <w:rFonts w:hint="eastAsia" w:ascii="Times New Roman" w:hAnsi="Times New Roman" w:cs="宋体"/>
                <w:color w:val="auto"/>
                <w:kern w:val="0"/>
                <w:szCs w:val="21"/>
              </w:rPr>
              <w:t>控制</w:t>
            </w:r>
          </w:p>
          <w:p w14:paraId="79B4C620">
            <w:pPr>
              <w:adjustRightInd w:val="0"/>
              <w:snapToGrid w:val="0"/>
              <w:jc w:val="center"/>
              <w:rPr>
                <w:rFonts w:ascii="Times New Roman" w:hAnsi="Times New Roman" w:cs="宋体"/>
                <w:color w:val="auto"/>
                <w:kern w:val="0"/>
                <w:szCs w:val="21"/>
              </w:rPr>
            </w:pPr>
            <w:r>
              <w:rPr>
                <w:rFonts w:hint="eastAsia" w:ascii="Times New Roman" w:hAnsi="Times New Roman" w:cs="宋体"/>
                <w:color w:val="auto"/>
                <w:kern w:val="0"/>
                <w:szCs w:val="21"/>
              </w:rPr>
              <w:t>指标</w:t>
            </w:r>
          </w:p>
        </w:tc>
        <w:tc>
          <w:tcPr>
            <w:tcW w:w="8190" w:type="dxa"/>
            <w:noWrap w:val="0"/>
            <w:vAlign w:val="center"/>
          </w:tcPr>
          <w:p w14:paraId="2AE774DF">
            <w:pPr>
              <w:pStyle w:val="3"/>
              <w:keepNext/>
              <w:keepLines/>
              <w:pageBreakBefore w:val="0"/>
              <w:widowControl w:val="0"/>
              <w:kinsoku/>
              <w:wordWrap/>
              <w:overflowPunct w:val="0"/>
              <w:topLinePunct w:val="0"/>
              <w:autoSpaceDE/>
              <w:autoSpaceDN/>
              <w:bidi w:val="0"/>
              <w:adjustRightInd/>
              <w:snapToGrid w:val="0"/>
              <w:spacing w:before="0" w:after="0"/>
              <w:ind w:left="431" w:hanging="431"/>
              <w:textAlignment w:val="auto"/>
              <w:rPr>
                <w:rFonts w:hint="eastAsia" w:ascii="Times New Roman" w:hAnsi="Times New Roman"/>
                <w:b/>
                <w:bCs w:val="0"/>
                <w:color w:val="auto"/>
              </w:rPr>
            </w:pPr>
            <w:bookmarkStart w:id="71" w:name="_Toc9841"/>
            <w:bookmarkStart w:id="72" w:name="_Toc3373"/>
            <w:r>
              <w:rPr>
                <w:rFonts w:hint="eastAsia" w:ascii="Times New Roman" w:hAnsi="Times New Roman"/>
                <w:b/>
                <w:bCs w:val="0"/>
                <w:color w:val="auto"/>
              </w:rPr>
              <w:t>3.8总量控制</w:t>
            </w:r>
            <w:bookmarkEnd w:id="71"/>
            <w:bookmarkEnd w:id="72"/>
          </w:p>
          <w:p w14:paraId="613FBB01">
            <w:pPr>
              <w:pStyle w:val="5"/>
              <w:bidi w:val="0"/>
              <w:rPr>
                <w:rFonts w:hint="eastAsia" w:ascii="Times New Roman" w:hAnsi="Times New Roman" w:eastAsia="宋体" w:cs="宋体"/>
                <w:color w:val="auto"/>
                <w:lang w:val="en-US" w:eastAsia="zh-CN"/>
              </w:rPr>
            </w:pPr>
            <w:r>
              <w:rPr>
                <w:rFonts w:hint="eastAsia" w:ascii="Times New Roman" w:hAnsi="Times New Roman" w:eastAsia="宋体" w:cs="宋体"/>
                <w:color w:val="auto"/>
                <w:lang w:val="en-US" w:eastAsia="zh-CN"/>
              </w:rPr>
              <w:t>总量控制是我国环境保护管理工作的一项重要举措，而实行污染物排放总量是环境保护法律法规的要求，它不仅是促进经济结构战略性调整和经济增长方式根本性转变的有力措施，同时也是促进工业技术进步和管理水平的提高，做到环保与经济的相互促进。实施以环境容量为基础的排污总量控制制度是改善环境质量的根本手段。</w:t>
            </w:r>
          </w:p>
          <w:p w14:paraId="02C6C031">
            <w:pPr>
              <w:pStyle w:val="4"/>
              <w:bidi w:val="0"/>
              <w:rPr>
                <w:rFonts w:hint="eastAsia" w:ascii="Times New Roman" w:hAnsi="Times New Roman"/>
                <w:color w:val="auto"/>
              </w:rPr>
            </w:pPr>
            <w:bookmarkStart w:id="73" w:name="_Toc16073"/>
            <w:r>
              <w:rPr>
                <w:rFonts w:hint="eastAsia" w:ascii="Times New Roman" w:hAnsi="Times New Roman"/>
                <w:color w:val="auto"/>
              </w:rPr>
              <w:t>3.8.1废水总量</w:t>
            </w:r>
            <w:bookmarkEnd w:id="73"/>
          </w:p>
          <w:p w14:paraId="05E5CAD9">
            <w:pPr>
              <w:pStyle w:val="5"/>
              <w:bidi w:val="0"/>
              <w:rPr>
                <w:rFonts w:hint="eastAsia" w:ascii="Times New Roman" w:hAnsi="Times New Roman"/>
                <w:color w:val="auto"/>
              </w:rPr>
            </w:pPr>
            <w:r>
              <w:rPr>
                <w:rFonts w:hint="eastAsia" w:ascii="Times New Roman" w:hAnsi="Times New Roman"/>
                <w:color w:val="auto"/>
              </w:rPr>
              <w:t>（1）COD、NH</w:t>
            </w:r>
            <w:r>
              <w:rPr>
                <w:rFonts w:hint="eastAsia" w:ascii="Times New Roman" w:hAnsi="Times New Roman"/>
                <w:color w:val="auto"/>
                <w:vertAlign w:val="subscript"/>
              </w:rPr>
              <w:t>3</w:t>
            </w:r>
            <w:r>
              <w:rPr>
                <w:rFonts w:hint="eastAsia" w:ascii="Times New Roman" w:hAnsi="Times New Roman"/>
                <w:color w:val="auto"/>
              </w:rPr>
              <w:t>-N总量控制</w:t>
            </w:r>
          </w:p>
          <w:p w14:paraId="67A5B910">
            <w:pPr>
              <w:pStyle w:val="5"/>
              <w:bidi w:val="0"/>
              <w:rPr>
                <w:rFonts w:hint="eastAsia" w:ascii="Times New Roman" w:hAnsi="Times New Roman"/>
                <w:color w:val="auto"/>
              </w:rPr>
            </w:pPr>
            <w:r>
              <w:rPr>
                <w:rFonts w:hint="eastAsia" w:ascii="Times New Roman" w:hAnsi="Times New Roman"/>
                <w:color w:val="auto"/>
              </w:rPr>
              <w:t>根据国家制定的总量控制指标，结合本项目的特征污染物，确定本项目</w:t>
            </w:r>
            <w:r>
              <w:rPr>
                <w:rFonts w:hint="eastAsia" w:ascii="Times New Roman" w:hAnsi="Times New Roman"/>
                <w:color w:val="auto"/>
                <w:lang w:val="en-US" w:eastAsia="zh-CN"/>
              </w:rPr>
              <w:t>水</w:t>
            </w:r>
            <w:r>
              <w:rPr>
                <w:rFonts w:hint="eastAsia" w:ascii="Times New Roman" w:hAnsi="Times New Roman"/>
                <w:color w:val="auto"/>
              </w:rPr>
              <w:t>污染物中总量控制的项目有：COD、NH</w:t>
            </w:r>
            <w:r>
              <w:rPr>
                <w:rFonts w:hint="eastAsia" w:ascii="Times New Roman" w:hAnsi="Times New Roman"/>
                <w:color w:val="auto"/>
                <w:vertAlign w:val="subscript"/>
              </w:rPr>
              <w:t>3</w:t>
            </w:r>
            <w:r>
              <w:rPr>
                <w:rFonts w:hint="eastAsia" w:ascii="Times New Roman" w:hAnsi="Times New Roman"/>
                <w:color w:val="auto"/>
              </w:rPr>
              <w:t>-N。项目产生的生活污水依托厂区内已建化粪池处理</w:t>
            </w:r>
            <w:r>
              <w:rPr>
                <w:rFonts w:hint="eastAsia"/>
                <w:color w:val="auto"/>
                <w:lang w:eastAsia="zh-CN"/>
              </w:rPr>
              <w:t>达到</w:t>
            </w:r>
            <w:r>
              <w:rPr>
                <w:rFonts w:hint="eastAsia" w:ascii="Times New Roman" w:hAnsi="Times New Roman"/>
                <w:color w:val="auto"/>
              </w:rPr>
              <w:t>《污水综合排放标准》（GB8978-1996）表4中三级标准（其中，氨氮参照执行《污水排入城市下水道水质标准》（GB/T31962-2015）表1的B级标准）后接市政污水管网，纳入大学城污水处理厂进行进一步处理，对周边环境影响较小。</w:t>
            </w:r>
            <w:r>
              <w:rPr>
                <w:rFonts w:hint="eastAsia" w:ascii="Times New Roman" w:hAnsi="Times New Roman"/>
                <w:color w:val="auto"/>
                <w:lang w:val="en-US" w:eastAsia="zh-CN"/>
              </w:rPr>
              <w:t>本项目生活污水经化粪池处理达标后排入市政管网，纳入大学城污水处理厂</w:t>
            </w:r>
            <w:r>
              <w:rPr>
                <w:rFonts w:hint="eastAsia" w:ascii="Times New Roman" w:hAnsi="Times New Roman" w:eastAsia="宋体" w:cs="宋体"/>
                <w:color w:val="auto"/>
                <w:lang w:val="en-US" w:eastAsia="zh-CN"/>
              </w:rPr>
              <w:t>；</w:t>
            </w:r>
            <w:r>
              <w:rPr>
                <w:rFonts w:hint="eastAsia" w:cs="宋体"/>
                <w:color w:val="auto"/>
                <w:lang w:val="en-US" w:eastAsia="zh-CN"/>
              </w:rPr>
              <w:t>铣</w:t>
            </w:r>
            <w:r>
              <w:rPr>
                <w:rFonts w:hint="eastAsia" w:ascii="Times New Roman" w:hAnsi="Times New Roman" w:eastAsia="宋体" w:cs="宋体"/>
                <w:color w:val="auto"/>
                <w:lang w:val="en-US" w:eastAsia="zh-CN"/>
              </w:rPr>
              <w:t>磨抛光</w:t>
            </w:r>
            <w:r>
              <w:rPr>
                <w:rFonts w:hint="eastAsia" w:cs="宋体"/>
                <w:color w:val="auto"/>
                <w:lang w:val="en-US" w:eastAsia="zh-CN"/>
              </w:rPr>
              <w:t>磨边</w:t>
            </w:r>
            <w:r>
              <w:rPr>
                <w:rFonts w:hint="eastAsia" w:ascii="Times New Roman" w:hAnsi="Times New Roman" w:eastAsia="宋体" w:cs="宋体"/>
                <w:color w:val="auto"/>
                <w:lang w:val="en-US" w:eastAsia="zh-CN"/>
              </w:rPr>
              <w:t>废水、清洗废水经过沉淀池沉淀后排入市政管网，纳入大学城污</w:t>
            </w:r>
            <w:r>
              <w:rPr>
                <w:rFonts w:hint="eastAsia" w:ascii="Times New Roman" w:hAnsi="Times New Roman"/>
                <w:color w:val="auto"/>
                <w:lang w:val="en-US" w:eastAsia="zh-CN"/>
              </w:rPr>
              <w:t>水处理厂；</w:t>
            </w:r>
            <w:r>
              <w:rPr>
                <w:rFonts w:hint="eastAsia"/>
                <w:color w:val="auto"/>
                <w:lang w:val="en-US" w:eastAsia="zh-CN"/>
              </w:rPr>
              <w:t>废除油剂作为危险废物</w:t>
            </w:r>
            <w:r>
              <w:rPr>
                <w:rFonts w:hint="eastAsia" w:ascii="Times New Roman" w:hAnsi="Times New Roman"/>
                <w:color w:val="auto"/>
                <w:lang w:val="en-US" w:eastAsia="zh-CN"/>
              </w:rPr>
              <w:t>处理；纯水槽的纯水与非纯净废水直接排入市政管网，纳入大学城污水处理厂</w:t>
            </w:r>
            <w:r>
              <w:rPr>
                <w:rFonts w:hint="eastAsia" w:ascii="Times New Roman" w:hAnsi="Times New Roman"/>
                <w:color w:val="auto"/>
              </w:rPr>
              <w:t>。大学城污水处理厂出水排放执行《城镇污水处理厂污染物排放标准》（GB18918-2002）中一级A排放标准：COD为</w:t>
            </w:r>
            <w:r>
              <w:rPr>
                <w:rFonts w:hint="eastAsia"/>
                <w:color w:val="auto"/>
                <w:lang w:eastAsia="zh-CN"/>
              </w:rPr>
              <w:t>25m</w:t>
            </w:r>
            <w:r>
              <w:rPr>
                <w:rFonts w:hint="eastAsia" w:ascii="Times New Roman" w:hAnsi="Times New Roman"/>
                <w:color w:val="auto"/>
              </w:rPr>
              <w:t>g/L、氨氮为5mg/L，统一处理后项目污染物排放总量详见表3.</w:t>
            </w:r>
            <w:r>
              <w:rPr>
                <w:rFonts w:hint="eastAsia" w:ascii="Times New Roman" w:hAnsi="Times New Roman"/>
                <w:color w:val="auto"/>
                <w:lang w:val="en-US" w:eastAsia="zh-CN"/>
              </w:rPr>
              <w:t>8</w:t>
            </w:r>
            <w:r>
              <w:rPr>
                <w:rFonts w:hint="eastAsia" w:ascii="Times New Roman" w:hAnsi="Times New Roman"/>
                <w:color w:val="auto"/>
              </w:rPr>
              <w:t>-1。</w:t>
            </w:r>
          </w:p>
          <w:p w14:paraId="4DF40353">
            <w:pPr>
              <w:pStyle w:val="27"/>
              <w:bidi w:val="0"/>
              <w:rPr>
                <w:rFonts w:hint="eastAsia" w:ascii="Times New Roman" w:hAnsi="Times New Roman"/>
                <w:color w:val="auto"/>
              </w:rPr>
            </w:pPr>
            <w:r>
              <w:rPr>
                <w:rFonts w:hint="eastAsia" w:ascii="Times New Roman" w:hAnsi="Times New Roman"/>
                <w:color w:val="auto"/>
              </w:rPr>
              <w:t>表</w:t>
            </w:r>
            <w:r>
              <w:rPr>
                <w:rFonts w:hint="eastAsia" w:ascii="Times New Roman" w:hAnsi="Times New Roman"/>
                <w:color w:val="auto"/>
                <w:lang w:val="en-US" w:eastAsia="zh-CN"/>
              </w:rPr>
              <w:t>3.8-</w:t>
            </w:r>
            <w:r>
              <w:rPr>
                <w:rFonts w:hint="eastAsia" w:ascii="Times New Roman" w:hAnsi="Times New Roman"/>
                <w:color w:val="auto"/>
              </w:rPr>
              <w:t>1</w:t>
            </w:r>
            <w:r>
              <w:rPr>
                <w:rFonts w:hint="eastAsia"/>
                <w:color w:val="auto"/>
                <w:lang w:val="en-US" w:eastAsia="zh-CN"/>
              </w:rPr>
              <w:t xml:space="preserve">  </w:t>
            </w:r>
            <w:r>
              <w:rPr>
                <w:rFonts w:hint="eastAsia" w:ascii="Times New Roman" w:hAnsi="Times New Roman"/>
                <w:color w:val="auto"/>
                <w:lang w:val="en-US" w:eastAsia="zh-CN"/>
              </w:rPr>
              <w:t>本</w:t>
            </w:r>
            <w:r>
              <w:rPr>
                <w:rFonts w:hint="eastAsia" w:ascii="Times New Roman" w:hAnsi="Times New Roman"/>
                <w:color w:val="auto"/>
              </w:rPr>
              <w:t>项目</w:t>
            </w:r>
            <w:r>
              <w:rPr>
                <w:rFonts w:hint="eastAsia" w:ascii="Times New Roman" w:hAnsi="Times New Roman"/>
                <w:color w:val="auto"/>
                <w:lang w:eastAsia="zh-CN"/>
              </w:rPr>
              <w:t>水</w:t>
            </w:r>
            <w:r>
              <w:rPr>
                <w:rFonts w:hint="eastAsia" w:ascii="Times New Roman" w:hAnsi="Times New Roman"/>
                <w:color w:val="auto"/>
              </w:rPr>
              <w:t>污染物排放总量指标</w:t>
            </w:r>
            <w:r>
              <w:rPr>
                <w:rFonts w:hint="eastAsia"/>
                <w:color w:val="auto"/>
                <w:lang w:val="en-US" w:eastAsia="zh-CN"/>
              </w:rPr>
              <w:t xml:space="preserve">  </w:t>
            </w:r>
            <w:r>
              <w:rPr>
                <w:rFonts w:hint="default" w:ascii="Times New Roman" w:hAnsi="Times New Roman" w:eastAsia="宋体" w:cs="Times New Roman"/>
                <w:b/>
                <w:color w:val="auto"/>
                <w:sz w:val="24"/>
                <w:szCs w:val="24"/>
                <w:highlight w:val="none"/>
                <w:lang w:val="en-US" w:eastAsia="zh-CN"/>
              </w:rPr>
              <w:t>单位</w:t>
            </w:r>
            <w:r>
              <w:rPr>
                <w:rFonts w:hint="eastAsia" w:cs="Times New Roman"/>
                <w:b/>
                <w:color w:val="auto"/>
                <w:sz w:val="24"/>
                <w:szCs w:val="24"/>
                <w:highlight w:val="none"/>
                <w:lang w:val="en-US" w:eastAsia="zh-CN"/>
              </w:rPr>
              <w:t>：</w:t>
            </w:r>
            <w:r>
              <w:rPr>
                <w:rFonts w:hint="default" w:ascii="Times New Roman" w:hAnsi="Times New Roman" w:eastAsia="宋体" w:cs="Times New Roman"/>
                <w:b/>
                <w:color w:val="auto"/>
                <w:sz w:val="24"/>
                <w:szCs w:val="24"/>
                <w:highlight w:val="none"/>
                <w:lang w:val="en-US" w:eastAsia="zh-CN"/>
              </w:rPr>
              <w:t>t/a</w:t>
            </w:r>
          </w:p>
          <w:tbl>
            <w:tblPr>
              <w:tblStyle w:val="19"/>
              <w:tblW w:w="4998" w:type="pct"/>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10"/>
              <w:gridCol w:w="857"/>
              <w:gridCol w:w="963"/>
              <w:gridCol w:w="881"/>
              <w:gridCol w:w="1216"/>
              <w:gridCol w:w="1130"/>
              <w:gridCol w:w="1276"/>
              <w:gridCol w:w="1285"/>
            </w:tblGrid>
            <w:tr w14:paraId="68870C5D">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5" w:hRule="atLeast"/>
              </w:trPr>
              <w:tc>
                <w:tcPr>
                  <w:tcW w:w="481" w:type="pct"/>
                  <w:tcBorders>
                    <w:top w:val="single" w:color="000000" w:sz="12" w:space="0"/>
                    <w:left w:val="nil"/>
                    <w:tl2br w:val="nil"/>
                  </w:tcBorders>
                  <w:shd w:val="clear" w:color="auto" w:fill="auto"/>
                  <w:vAlign w:val="center"/>
                </w:tcPr>
                <w:p w14:paraId="2A29BB50">
                  <w:pPr>
                    <w:pStyle w:val="58"/>
                    <w:suppressLineNumbers w:val="0"/>
                    <w:bidi w:val="0"/>
                    <w:spacing w:before="0" w:beforeAutospacing="0" w:after="0" w:afterAutospacing="0"/>
                    <w:ind w:left="0" w:right="0"/>
                    <w:rPr>
                      <w:rFonts w:hint="eastAsia"/>
                      <w:b/>
                      <w:bCs/>
                      <w:color w:val="auto"/>
                    </w:rPr>
                  </w:pPr>
                  <w:r>
                    <w:rPr>
                      <w:rFonts w:hint="eastAsia"/>
                      <w:b/>
                      <w:bCs/>
                      <w:color w:val="auto"/>
                      <w:lang w:val="en-US" w:eastAsia="zh-CN"/>
                    </w:rPr>
                    <w:t>项目</w:t>
                  </w:r>
                </w:p>
              </w:tc>
              <w:tc>
                <w:tcPr>
                  <w:tcW w:w="2326" w:type="pct"/>
                  <w:gridSpan w:val="4"/>
                  <w:tcBorders>
                    <w:top w:val="single" w:color="000000" w:sz="12" w:space="0"/>
                  </w:tcBorders>
                  <w:shd w:val="clear" w:color="auto" w:fill="auto"/>
                  <w:vAlign w:val="center"/>
                </w:tcPr>
                <w:p w14:paraId="44382CC8">
                  <w:pPr>
                    <w:pStyle w:val="58"/>
                    <w:suppressLineNumbers w:val="0"/>
                    <w:bidi w:val="0"/>
                    <w:spacing w:before="0" w:beforeAutospacing="0" w:after="0" w:afterAutospacing="0"/>
                    <w:ind w:left="0" w:right="0"/>
                    <w:rPr>
                      <w:rFonts w:hint="eastAsia"/>
                      <w:b/>
                      <w:bCs/>
                      <w:color w:val="auto"/>
                    </w:rPr>
                  </w:pPr>
                  <w:r>
                    <w:rPr>
                      <w:rFonts w:hint="eastAsia"/>
                      <w:b/>
                      <w:bCs/>
                      <w:color w:val="auto"/>
                      <w:lang w:val="en-US" w:eastAsia="zh-CN"/>
                    </w:rPr>
                    <w:t>建议最终排入环境控制指标</w:t>
                  </w:r>
                </w:p>
              </w:tc>
              <w:tc>
                <w:tcPr>
                  <w:tcW w:w="2192" w:type="pct"/>
                  <w:gridSpan w:val="3"/>
                  <w:tcBorders>
                    <w:top w:val="single" w:color="000000" w:sz="12" w:space="0"/>
                    <w:right w:val="nil"/>
                  </w:tcBorders>
                  <w:shd w:val="clear" w:color="auto" w:fill="auto"/>
                  <w:vAlign w:val="center"/>
                </w:tcPr>
                <w:p w14:paraId="103BECC8">
                  <w:pPr>
                    <w:pStyle w:val="58"/>
                    <w:suppressLineNumbers w:val="0"/>
                    <w:bidi w:val="0"/>
                    <w:spacing w:before="0" w:beforeAutospacing="0" w:after="0" w:afterAutospacing="0"/>
                    <w:ind w:left="0" w:right="0"/>
                    <w:rPr>
                      <w:rFonts w:hint="eastAsia"/>
                      <w:b/>
                      <w:bCs/>
                      <w:color w:val="auto"/>
                    </w:rPr>
                  </w:pPr>
                  <w:r>
                    <w:rPr>
                      <w:rFonts w:hint="eastAsia"/>
                      <w:b/>
                      <w:bCs/>
                      <w:color w:val="auto"/>
                      <w:lang w:val="en-US" w:eastAsia="zh-CN"/>
                    </w:rPr>
                    <w:t>建议申报指标</w:t>
                  </w:r>
                </w:p>
              </w:tc>
            </w:tr>
            <w:tr w14:paraId="363869BF">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5" w:hRule="atLeast"/>
              </w:trPr>
              <w:tc>
                <w:tcPr>
                  <w:tcW w:w="481" w:type="pct"/>
                  <w:tcBorders>
                    <w:left w:val="nil"/>
                  </w:tcBorders>
                  <w:shd w:val="clear" w:color="auto" w:fill="auto"/>
                  <w:vAlign w:val="center"/>
                </w:tcPr>
                <w:p w14:paraId="4843D819">
                  <w:pPr>
                    <w:pStyle w:val="58"/>
                    <w:suppressLineNumbers w:val="0"/>
                    <w:bidi w:val="0"/>
                    <w:spacing w:before="0" w:beforeAutospacing="0" w:after="0" w:afterAutospacing="0"/>
                    <w:ind w:left="0" w:right="0"/>
                    <w:rPr>
                      <w:rFonts w:hint="eastAsia"/>
                      <w:b/>
                      <w:bCs/>
                      <w:color w:val="auto"/>
                    </w:rPr>
                  </w:pPr>
                  <w:r>
                    <w:rPr>
                      <w:rFonts w:hint="eastAsia"/>
                      <w:b/>
                      <w:bCs/>
                      <w:color w:val="auto"/>
                      <w:lang w:val="en-US" w:eastAsia="zh-CN"/>
                    </w:rPr>
                    <w:t>污染物名称</w:t>
                  </w:r>
                </w:p>
              </w:tc>
              <w:tc>
                <w:tcPr>
                  <w:tcW w:w="509" w:type="pct"/>
                  <w:shd w:val="clear" w:color="auto" w:fill="auto"/>
                  <w:vAlign w:val="center"/>
                </w:tcPr>
                <w:p w14:paraId="1C0EC004">
                  <w:pPr>
                    <w:pStyle w:val="58"/>
                    <w:suppressLineNumbers w:val="0"/>
                    <w:bidi w:val="0"/>
                    <w:spacing w:before="0" w:beforeAutospacing="0" w:after="0" w:afterAutospacing="0"/>
                    <w:ind w:left="0" w:right="0"/>
                    <w:rPr>
                      <w:rFonts w:hint="eastAsia"/>
                      <w:b/>
                      <w:bCs/>
                      <w:color w:val="auto"/>
                    </w:rPr>
                  </w:pPr>
                  <w:r>
                    <w:rPr>
                      <w:rFonts w:hint="eastAsia"/>
                      <w:b/>
                      <w:bCs/>
                      <w:color w:val="auto"/>
                      <w:lang w:val="en-US" w:eastAsia="zh-CN"/>
                    </w:rPr>
                    <w:t>排放浓度</w:t>
                  </w:r>
                  <w:r>
                    <w:rPr>
                      <w:rFonts w:hint="default"/>
                      <w:b/>
                      <w:bCs/>
                      <w:color w:val="auto"/>
                      <w:lang w:val="en-US" w:eastAsia="zh-CN"/>
                    </w:rPr>
                    <w:t>mg/L</w:t>
                  </w:r>
                </w:p>
              </w:tc>
              <w:tc>
                <w:tcPr>
                  <w:tcW w:w="572" w:type="pct"/>
                  <w:shd w:val="clear" w:color="auto" w:fill="auto"/>
                  <w:vAlign w:val="center"/>
                </w:tcPr>
                <w:p w14:paraId="02EE01EF">
                  <w:pPr>
                    <w:pStyle w:val="58"/>
                    <w:suppressLineNumbers w:val="0"/>
                    <w:bidi w:val="0"/>
                    <w:spacing w:before="0" w:beforeAutospacing="0" w:after="0" w:afterAutospacing="0"/>
                    <w:ind w:left="0" w:right="0"/>
                    <w:rPr>
                      <w:rFonts w:hint="eastAsia"/>
                      <w:b/>
                      <w:bCs/>
                      <w:color w:val="auto"/>
                    </w:rPr>
                  </w:pPr>
                  <w:r>
                    <w:rPr>
                      <w:rFonts w:hint="eastAsia"/>
                      <w:b/>
                      <w:bCs/>
                      <w:color w:val="auto"/>
                      <w:lang w:val="en-US" w:eastAsia="zh-CN"/>
                    </w:rPr>
                    <w:t>现有工程废水排放总量（t/a）</w:t>
                  </w:r>
                </w:p>
              </w:tc>
              <w:tc>
                <w:tcPr>
                  <w:tcW w:w="523" w:type="pct"/>
                  <w:shd w:val="clear" w:color="auto" w:fill="auto"/>
                  <w:vAlign w:val="center"/>
                </w:tcPr>
                <w:p w14:paraId="680724E6">
                  <w:pPr>
                    <w:pStyle w:val="58"/>
                    <w:suppressLineNumbers w:val="0"/>
                    <w:bidi w:val="0"/>
                    <w:spacing w:before="0" w:beforeAutospacing="0" w:after="0" w:afterAutospacing="0"/>
                    <w:ind w:left="0" w:right="0"/>
                    <w:rPr>
                      <w:rFonts w:hint="eastAsia"/>
                      <w:b/>
                      <w:bCs/>
                      <w:color w:val="auto"/>
                    </w:rPr>
                  </w:pPr>
                  <w:r>
                    <w:rPr>
                      <w:rFonts w:hint="eastAsia"/>
                      <w:b/>
                      <w:bCs/>
                      <w:color w:val="auto"/>
                      <w:lang w:val="en-US" w:eastAsia="zh-CN"/>
                    </w:rPr>
                    <w:t>“以新带老”削减量（t/a）</w:t>
                  </w:r>
                </w:p>
              </w:tc>
              <w:tc>
                <w:tcPr>
                  <w:tcW w:w="720" w:type="pct"/>
                  <w:shd w:val="clear" w:color="auto" w:fill="auto"/>
                  <w:vAlign w:val="center"/>
                </w:tcPr>
                <w:p w14:paraId="08EA9993">
                  <w:pPr>
                    <w:pStyle w:val="58"/>
                    <w:suppressLineNumbers w:val="0"/>
                    <w:bidi w:val="0"/>
                    <w:spacing w:before="0" w:beforeAutospacing="0" w:after="0" w:afterAutospacing="0"/>
                    <w:ind w:left="0" w:right="0"/>
                    <w:rPr>
                      <w:rFonts w:hint="eastAsia"/>
                      <w:b/>
                      <w:bCs/>
                      <w:color w:val="auto"/>
                    </w:rPr>
                  </w:pPr>
                  <w:r>
                    <w:rPr>
                      <w:rFonts w:hint="eastAsia"/>
                      <w:b/>
                      <w:bCs/>
                      <w:color w:val="auto"/>
                      <w:lang w:val="en-US" w:eastAsia="zh-CN"/>
                    </w:rPr>
                    <w:t>本项目废水排放量（t/a）</w:t>
                  </w:r>
                </w:p>
              </w:tc>
              <w:tc>
                <w:tcPr>
                  <w:tcW w:w="671" w:type="pct"/>
                  <w:shd w:val="clear" w:color="auto" w:fill="auto"/>
                  <w:vAlign w:val="center"/>
                </w:tcPr>
                <w:p w14:paraId="2386C232">
                  <w:pPr>
                    <w:pStyle w:val="58"/>
                    <w:suppressLineNumbers w:val="0"/>
                    <w:bidi w:val="0"/>
                    <w:spacing w:before="0" w:beforeAutospacing="0" w:after="0" w:afterAutospacing="0"/>
                    <w:ind w:left="0" w:right="0"/>
                    <w:rPr>
                      <w:rFonts w:hint="eastAsia"/>
                      <w:b/>
                      <w:bCs/>
                      <w:color w:val="auto"/>
                    </w:rPr>
                  </w:pPr>
                  <w:r>
                    <w:rPr>
                      <w:rFonts w:hint="eastAsia"/>
                      <w:b/>
                      <w:bCs/>
                      <w:color w:val="auto"/>
                      <w:lang w:val="en-US" w:eastAsia="zh-CN"/>
                    </w:rPr>
                    <w:t>已核定总量（t/a）</w:t>
                  </w:r>
                </w:p>
              </w:tc>
              <w:tc>
                <w:tcPr>
                  <w:tcW w:w="758" w:type="pct"/>
                  <w:shd w:val="clear" w:color="auto" w:fill="auto"/>
                  <w:vAlign w:val="center"/>
                </w:tcPr>
                <w:p w14:paraId="57664D85">
                  <w:pPr>
                    <w:pStyle w:val="58"/>
                    <w:suppressLineNumbers w:val="0"/>
                    <w:bidi w:val="0"/>
                    <w:spacing w:before="0" w:beforeAutospacing="0" w:after="0" w:afterAutospacing="0"/>
                    <w:ind w:left="0" w:right="0"/>
                    <w:rPr>
                      <w:rFonts w:hint="eastAsia"/>
                      <w:b/>
                      <w:bCs/>
                      <w:color w:val="auto"/>
                    </w:rPr>
                  </w:pPr>
                  <w:r>
                    <w:rPr>
                      <w:rFonts w:hint="eastAsia"/>
                      <w:b/>
                      <w:bCs/>
                      <w:color w:val="auto"/>
                      <w:lang w:val="en-US" w:eastAsia="zh-CN"/>
                    </w:rPr>
                    <w:t>由污水处理厂中调配（t/a）</w:t>
                  </w:r>
                </w:p>
              </w:tc>
              <w:tc>
                <w:tcPr>
                  <w:tcW w:w="762" w:type="pct"/>
                  <w:tcBorders>
                    <w:right w:val="nil"/>
                  </w:tcBorders>
                  <w:shd w:val="clear" w:color="auto" w:fill="auto"/>
                  <w:vAlign w:val="center"/>
                </w:tcPr>
                <w:p w14:paraId="08C2D414">
                  <w:pPr>
                    <w:pStyle w:val="58"/>
                    <w:suppressLineNumbers w:val="0"/>
                    <w:bidi w:val="0"/>
                    <w:spacing w:before="0" w:beforeAutospacing="0" w:after="0" w:afterAutospacing="0"/>
                    <w:ind w:left="0" w:right="0"/>
                    <w:rPr>
                      <w:rFonts w:hint="default"/>
                      <w:b/>
                      <w:bCs/>
                      <w:color w:val="auto"/>
                    </w:rPr>
                  </w:pPr>
                  <w:r>
                    <w:rPr>
                      <w:rFonts w:hint="eastAsia"/>
                      <w:b/>
                      <w:bCs/>
                      <w:color w:val="auto"/>
                      <w:lang w:val="en-US" w:eastAsia="zh-CN"/>
                    </w:rPr>
                    <w:t>通过排污权交易获得（污染物</w:t>
                  </w:r>
                  <w:r>
                    <w:rPr>
                      <w:rFonts w:hint="default"/>
                      <w:b/>
                      <w:bCs/>
                      <w:color w:val="auto"/>
                      <w:lang w:val="en-US" w:eastAsia="zh-CN"/>
                    </w:rPr>
                    <w:t>*1.2</w:t>
                  </w:r>
                  <w:r>
                    <w:rPr>
                      <w:rFonts w:hint="eastAsia"/>
                      <w:b/>
                      <w:bCs/>
                      <w:color w:val="auto"/>
                      <w:lang w:val="en-US" w:eastAsia="zh-CN"/>
                    </w:rPr>
                    <w:t>倍）（t/a）</w:t>
                  </w:r>
                </w:p>
              </w:tc>
            </w:tr>
            <w:tr w14:paraId="4FC4EDC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1" w:type="pct"/>
                  <w:tcBorders>
                    <w:left w:val="nil"/>
                  </w:tcBorders>
                  <w:shd w:val="clear" w:color="auto" w:fill="auto"/>
                  <w:vAlign w:val="center"/>
                </w:tcPr>
                <w:p w14:paraId="6BE8E383">
                  <w:pPr>
                    <w:pStyle w:val="58"/>
                    <w:suppressLineNumbers w:val="0"/>
                    <w:bidi w:val="0"/>
                    <w:spacing w:before="0" w:beforeAutospacing="0" w:after="0" w:afterAutospacing="0"/>
                    <w:ind w:left="0" w:right="0"/>
                    <w:rPr>
                      <w:rFonts w:hint="eastAsia"/>
                      <w:color w:val="auto"/>
                    </w:rPr>
                  </w:pPr>
                  <w:r>
                    <w:rPr>
                      <w:rFonts w:hint="eastAsia"/>
                      <w:color w:val="auto"/>
                      <w:lang w:val="en-US" w:eastAsia="zh-CN"/>
                    </w:rPr>
                    <w:t>生活污水</w:t>
                  </w:r>
                </w:p>
              </w:tc>
              <w:tc>
                <w:tcPr>
                  <w:tcW w:w="509" w:type="pct"/>
                  <w:shd w:val="clear" w:color="auto" w:fill="auto"/>
                  <w:vAlign w:val="center"/>
                </w:tcPr>
                <w:p w14:paraId="166ECC0F">
                  <w:pPr>
                    <w:pStyle w:val="58"/>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572" w:type="pct"/>
                  <w:shd w:val="clear" w:color="auto" w:fill="auto"/>
                  <w:vAlign w:val="center"/>
                </w:tcPr>
                <w:p w14:paraId="37AA2342">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w:t>
                  </w:r>
                </w:p>
              </w:tc>
              <w:tc>
                <w:tcPr>
                  <w:tcW w:w="523" w:type="pct"/>
                  <w:shd w:val="clear" w:color="auto" w:fill="auto"/>
                  <w:vAlign w:val="center"/>
                </w:tcPr>
                <w:p w14:paraId="0EFC5D1D">
                  <w:pPr>
                    <w:pStyle w:val="58"/>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720" w:type="pct"/>
                  <w:shd w:val="clear" w:color="auto" w:fill="auto"/>
                  <w:vAlign w:val="center"/>
                </w:tcPr>
                <w:p w14:paraId="048B17A1">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720</w:t>
                  </w:r>
                </w:p>
              </w:tc>
              <w:tc>
                <w:tcPr>
                  <w:tcW w:w="671" w:type="pct"/>
                  <w:shd w:val="clear" w:color="auto" w:fill="auto"/>
                  <w:vAlign w:val="center"/>
                </w:tcPr>
                <w:p w14:paraId="4A107B50">
                  <w:pPr>
                    <w:pStyle w:val="58"/>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758" w:type="pct"/>
                  <w:shd w:val="clear" w:color="auto" w:fill="auto"/>
                  <w:vAlign w:val="center"/>
                </w:tcPr>
                <w:p w14:paraId="4250E763">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720</w:t>
                  </w:r>
                </w:p>
              </w:tc>
              <w:tc>
                <w:tcPr>
                  <w:tcW w:w="762" w:type="pct"/>
                  <w:tcBorders>
                    <w:right w:val="nil"/>
                  </w:tcBorders>
                  <w:shd w:val="clear" w:color="auto" w:fill="auto"/>
                  <w:vAlign w:val="center"/>
                </w:tcPr>
                <w:p w14:paraId="5D1EA3CB">
                  <w:pPr>
                    <w:pStyle w:val="58"/>
                    <w:suppressLineNumbers w:val="0"/>
                    <w:bidi w:val="0"/>
                    <w:spacing w:before="0" w:beforeAutospacing="0" w:after="0" w:afterAutospacing="0"/>
                    <w:ind w:left="0" w:right="0"/>
                    <w:rPr>
                      <w:rFonts w:hint="default"/>
                      <w:color w:val="auto"/>
                    </w:rPr>
                  </w:pPr>
                  <w:r>
                    <w:rPr>
                      <w:rFonts w:hint="eastAsia"/>
                      <w:color w:val="auto"/>
                      <w:lang w:val="en-US" w:eastAsia="zh-CN"/>
                    </w:rPr>
                    <w:t>/</w:t>
                  </w:r>
                </w:p>
              </w:tc>
            </w:tr>
            <w:tr w14:paraId="776855C9">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481" w:type="pct"/>
                  <w:tcBorders>
                    <w:left w:val="nil"/>
                  </w:tcBorders>
                  <w:shd w:val="clear" w:color="auto" w:fill="auto"/>
                  <w:vAlign w:val="center"/>
                </w:tcPr>
                <w:p w14:paraId="40C1A6F3">
                  <w:pPr>
                    <w:pStyle w:val="58"/>
                    <w:suppressLineNumbers w:val="0"/>
                    <w:bidi w:val="0"/>
                    <w:spacing w:before="0" w:beforeAutospacing="0" w:after="0" w:afterAutospacing="0"/>
                    <w:ind w:left="0" w:right="0"/>
                    <w:rPr>
                      <w:rFonts w:hint="default"/>
                      <w:color w:val="auto"/>
                    </w:rPr>
                  </w:pPr>
                  <w:r>
                    <w:rPr>
                      <w:rFonts w:hint="default"/>
                      <w:color w:val="auto"/>
                      <w:lang w:val="en-US" w:eastAsia="zh-CN"/>
                    </w:rPr>
                    <w:t>COD</w:t>
                  </w:r>
                </w:p>
              </w:tc>
              <w:tc>
                <w:tcPr>
                  <w:tcW w:w="509" w:type="pct"/>
                  <w:shd w:val="clear" w:color="auto" w:fill="auto"/>
                  <w:vAlign w:val="center"/>
                </w:tcPr>
                <w:p w14:paraId="6EE0C216">
                  <w:pPr>
                    <w:pStyle w:val="58"/>
                    <w:suppressLineNumbers w:val="0"/>
                    <w:bidi w:val="0"/>
                    <w:spacing w:before="0" w:beforeAutospacing="0" w:after="0" w:afterAutospacing="0"/>
                    <w:ind w:left="0" w:right="0"/>
                    <w:rPr>
                      <w:rFonts w:hint="default"/>
                      <w:color w:val="auto"/>
                    </w:rPr>
                  </w:pPr>
                  <w:r>
                    <w:rPr>
                      <w:rFonts w:hint="default"/>
                      <w:color w:val="auto"/>
                      <w:lang w:val="en-US" w:eastAsia="zh-CN"/>
                    </w:rPr>
                    <w:t>50</w:t>
                  </w:r>
                </w:p>
              </w:tc>
              <w:tc>
                <w:tcPr>
                  <w:tcW w:w="572" w:type="pct"/>
                  <w:shd w:val="clear" w:color="auto" w:fill="auto"/>
                  <w:vAlign w:val="center"/>
                </w:tcPr>
                <w:p w14:paraId="6FC3C9AB">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w:t>
                  </w:r>
                </w:p>
              </w:tc>
              <w:tc>
                <w:tcPr>
                  <w:tcW w:w="523" w:type="pct"/>
                  <w:shd w:val="clear" w:color="auto" w:fill="auto"/>
                  <w:vAlign w:val="center"/>
                </w:tcPr>
                <w:p w14:paraId="320FACD9">
                  <w:pPr>
                    <w:pStyle w:val="58"/>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720" w:type="pct"/>
                  <w:shd w:val="clear" w:color="auto" w:fill="auto"/>
                  <w:vAlign w:val="center"/>
                </w:tcPr>
                <w:p w14:paraId="2A402E8D">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0.036</w:t>
                  </w:r>
                </w:p>
              </w:tc>
              <w:tc>
                <w:tcPr>
                  <w:tcW w:w="671" w:type="pct"/>
                  <w:shd w:val="clear" w:color="auto" w:fill="auto"/>
                  <w:vAlign w:val="center"/>
                </w:tcPr>
                <w:p w14:paraId="315D2C41">
                  <w:pPr>
                    <w:pStyle w:val="58"/>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758" w:type="pct"/>
                  <w:shd w:val="clear" w:color="auto" w:fill="auto"/>
                  <w:vAlign w:val="center"/>
                </w:tcPr>
                <w:p w14:paraId="5E6AAE50">
                  <w:pPr>
                    <w:pStyle w:val="58"/>
                    <w:suppressLineNumbers w:val="0"/>
                    <w:bidi w:val="0"/>
                    <w:spacing w:before="0" w:beforeAutospacing="0" w:after="0" w:afterAutospacing="0"/>
                    <w:ind w:left="0" w:leftChars="0" w:right="0" w:rightChars="0" w:firstLine="0" w:firstLineChars="0"/>
                    <w:rPr>
                      <w:rFonts w:hint="default" w:eastAsia="宋体"/>
                      <w:color w:val="auto"/>
                      <w:lang w:val="en-US" w:eastAsia="zh-CN"/>
                    </w:rPr>
                  </w:pPr>
                  <w:r>
                    <w:rPr>
                      <w:rFonts w:hint="eastAsia"/>
                      <w:color w:val="auto"/>
                      <w:lang w:val="en-US" w:eastAsia="zh-CN"/>
                    </w:rPr>
                    <w:t>0.036</w:t>
                  </w:r>
                </w:p>
              </w:tc>
              <w:tc>
                <w:tcPr>
                  <w:tcW w:w="762" w:type="pct"/>
                  <w:tcBorders>
                    <w:right w:val="nil"/>
                  </w:tcBorders>
                  <w:shd w:val="clear" w:color="auto" w:fill="auto"/>
                  <w:vAlign w:val="center"/>
                </w:tcPr>
                <w:p w14:paraId="791A718B">
                  <w:pPr>
                    <w:pStyle w:val="58"/>
                    <w:suppressLineNumbers w:val="0"/>
                    <w:bidi w:val="0"/>
                    <w:spacing w:before="0" w:beforeAutospacing="0" w:after="0" w:afterAutospacing="0"/>
                    <w:ind w:left="0" w:right="0"/>
                    <w:rPr>
                      <w:rFonts w:hint="default"/>
                      <w:color w:val="auto"/>
                    </w:rPr>
                  </w:pPr>
                  <w:r>
                    <w:rPr>
                      <w:rFonts w:hint="eastAsia"/>
                      <w:color w:val="auto"/>
                      <w:lang w:val="en-US" w:eastAsia="zh-CN"/>
                    </w:rPr>
                    <w:t>/</w:t>
                  </w:r>
                </w:p>
              </w:tc>
            </w:tr>
            <w:tr w14:paraId="2FEB2EB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81" w:type="pct"/>
                  <w:tcBorders>
                    <w:left w:val="nil"/>
                  </w:tcBorders>
                  <w:shd w:val="clear" w:color="auto" w:fill="auto"/>
                  <w:vAlign w:val="center"/>
                </w:tcPr>
                <w:p w14:paraId="63AF0B3B">
                  <w:pPr>
                    <w:pStyle w:val="58"/>
                    <w:suppressLineNumbers w:val="0"/>
                    <w:bidi w:val="0"/>
                    <w:spacing w:before="0" w:beforeAutospacing="0" w:after="0" w:afterAutospacing="0"/>
                    <w:ind w:left="0" w:right="0"/>
                    <w:rPr>
                      <w:rFonts w:hint="default"/>
                      <w:color w:val="auto"/>
                    </w:rPr>
                  </w:pPr>
                  <w:r>
                    <w:rPr>
                      <w:rFonts w:hint="default"/>
                      <w:color w:val="auto"/>
                      <w:lang w:val="en-US" w:eastAsia="zh-CN"/>
                    </w:rPr>
                    <w:t>NH</w:t>
                  </w:r>
                  <w:r>
                    <w:rPr>
                      <w:rFonts w:hint="default"/>
                      <w:color w:val="auto"/>
                      <w:vertAlign w:val="subscript"/>
                      <w:lang w:val="en-US" w:eastAsia="zh-CN"/>
                    </w:rPr>
                    <w:t>3</w:t>
                  </w:r>
                  <w:r>
                    <w:rPr>
                      <w:rFonts w:hint="default"/>
                      <w:color w:val="auto"/>
                      <w:lang w:val="en-US" w:eastAsia="zh-CN"/>
                    </w:rPr>
                    <w:t>-N</w:t>
                  </w:r>
                </w:p>
              </w:tc>
              <w:tc>
                <w:tcPr>
                  <w:tcW w:w="509" w:type="pct"/>
                  <w:shd w:val="clear" w:color="auto" w:fill="auto"/>
                  <w:vAlign w:val="center"/>
                </w:tcPr>
                <w:p w14:paraId="4487D71C">
                  <w:pPr>
                    <w:pStyle w:val="58"/>
                    <w:suppressLineNumbers w:val="0"/>
                    <w:bidi w:val="0"/>
                    <w:spacing w:before="0" w:beforeAutospacing="0" w:after="0" w:afterAutospacing="0"/>
                    <w:ind w:left="0" w:right="0"/>
                    <w:rPr>
                      <w:rFonts w:hint="default"/>
                      <w:color w:val="auto"/>
                    </w:rPr>
                  </w:pPr>
                  <w:r>
                    <w:rPr>
                      <w:rFonts w:hint="default"/>
                      <w:color w:val="auto"/>
                      <w:lang w:val="en-US" w:eastAsia="zh-CN"/>
                    </w:rPr>
                    <w:t>5</w:t>
                  </w:r>
                </w:p>
              </w:tc>
              <w:tc>
                <w:tcPr>
                  <w:tcW w:w="572" w:type="pct"/>
                  <w:shd w:val="clear" w:color="auto" w:fill="auto"/>
                  <w:vAlign w:val="center"/>
                </w:tcPr>
                <w:p w14:paraId="27C32831">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w:t>
                  </w:r>
                </w:p>
              </w:tc>
              <w:tc>
                <w:tcPr>
                  <w:tcW w:w="523" w:type="pct"/>
                  <w:shd w:val="clear" w:color="auto" w:fill="auto"/>
                  <w:vAlign w:val="center"/>
                </w:tcPr>
                <w:p w14:paraId="22FA473C">
                  <w:pPr>
                    <w:pStyle w:val="58"/>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720" w:type="pct"/>
                  <w:shd w:val="clear" w:color="auto" w:fill="auto"/>
                  <w:vAlign w:val="center"/>
                </w:tcPr>
                <w:p w14:paraId="325BD62A">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0.0036</w:t>
                  </w:r>
                </w:p>
              </w:tc>
              <w:tc>
                <w:tcPr>
                  <w:tcW w:w="671" w:type="pct"/>
                  <w:shd w:val="clear" w:color="auto" w:fill="auto"/>
                  <w:vAlign w:val="center"/>
                </w:tcPr>
                <w:p w14:paraId="48154062">
                  <w:pPr>
                    <w:pStyle w:val="58"/>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758" w:type="pct"/>
                  <w:shd w:val="clear" w:color="auto" w:fill="auto"/>
                  <w:vAlign w:val="center"/>
                </w:tcPr>
                <w:p w14:paraId="2D283375">
                  <w:pPr>
                    <w:pStyle w:val="58"/>
                    <w:suppressLineNumbers w:val="0"/>
                    <w:bidi w:val="0"/>
                    <w:spacing w:before="0" w:beforeAutospacing="0" w:after="0" w:afterAutospacing="0"/>
                    <w:ind w:left="0" w:leftChars="0" w:right="0" w:rightChars="0" w:firstLine="0" w:firstLineChars="0"/>
                    <w:rPr>
                      <w:rFonts w:hint="default" w:eastAsia="宋体"/>
                      <w:color w:val="auto"/>
                      <w:lang w:val="en-US" w:eastAsia="zh-CN"/>
                    </w:rPr>
                  </w:pPr>
                  <w:r>
                    <w:rPr>
                      <w:rFonts w:hint="eastAsia"/>
                      <w:color w:val="auto"/>
                      <w:lang w:val="en-US" w:eastAsia="zh-CN"/>
                    </w:rPr>
                    <w:t>0.0036</w:t>
                  </w:r>
                </w:p>
              </w:tc>
              <w:tc>
                <w:tcPr>
                  <w:tcW w:w="762" w:type="pct"/>
                  <w:tcBorders>
                    <w:right w:val="nil"/>
                  </w:tcBorders>
                  <w:shd w:val="clear" w:color="auto" w:fill="auto"/>
                  <w:vAlign w:val="center"/>
                </w:tcPr>
                <w:p w14:paraId="1263C90E">
                  <w:pPr>
                    <w:pStyle w:val="58"/>
                    <w:suppressLineNumbers w:val="0"/>
                    <w:bidi w:val="0"/>
                    <w:spacing w:before="0" w:beforeAutospacing="0" w:after="0" w:afterAutospacing="0"/>
                    <w:ind w:left="0" w:right="0"/>
                    <w:rPr>
                      <w:rFonts w:hint="default"/>
                      <w:color w:val="auto"/>
                    </w:rPr>
                  </w:pPr>
                  <w:r>
                    <w:rPr>
                      <w:rFonts w:hint="eastAsia"/>
                      <w:color w:val="auto"/>
                      <w:lang w:val="en-US" w:eastAsia="zh-CN"/>
                    </w:rPr>
                    <w:t>/</w:t>
                  </w:r>
                </w:p>
              </w:tc>
            </w:tr>
            <w:tr w14:paraId="07334B6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81" w:type="pct"/>
                  <w:tcBorders>
                    <w:left w:val="nil"/>
                  </w:tcBorders>
                  <w:shd w:val="clear" w:color="auto" w:fill="auto"/>
                  <w:vAlign w:val="center"/>
                </w:tcPr>
                <w:p w14:paraId="4C61C056">
                  <w:pPr>
                    <w:pStyle w:val="58"/>
                    <w:suppressLineNumbers w:val="0"/>
                    <w:bidi w:val="0"/>
                    <w:spacing w:before="0" w:beforeAutospacing="0" w:after="0" w:afterAutospacing="0"/>
                    <w:ind w:left="0" w:right="0"/>
                    <w:rPr>
                      <w:rFonts w:hint="eastAsia"/>
                      <w:color w:val="auto"/>
                    </w:rPr>
                  </w:pPr>
                  <w:r>
                    <w:rPr>
                      <w:rFonts w:hint="eastAsia"/>
                      <w:color w:val="auto"/>
                      <w:lang w:val="en-US" w:eastAsia="zh-CN"/>
                    </w:rPr>
                    <w:t>生产废水</w:t>
                  </w:r>
                </w:p>
              </w:tc>
              <w:tc>
                <w:tcPr>
                  <w:tcW w:w="509" w:type="pct"/>
                  <w:shd w:val="clear" w:color="auto" w:fill="auto"/>
                  <w:vAlign w:val="center"/>
                </w:tcPr>
                <w:p w14:paraId="613E23FA">
                  <w:pPr>
                    <w:pStyle w:val="58"/>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572" w:type="pct"/>
                  <w:shd w:val="clear" w:color="auto" w:fill="auto"/>
                  <w:vAlign w:val="center"/>
                </w:tcPr>
                <w:p w14:paraId="4FE9FD64">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w:t>
                  </w:r>
                </w:p>
              </w:tc>
              <w:tc>
                <w:tcPr>
                  <w:tcW w:w="523" w:type="pct"/>
                  <w:shd w:val="clear" w:color="auto" w:fill="auto"/>
                  <w:vAlign w:val="center"/>
                </w:tcPr>
                <w:p w14:paraId="1EFD76A5">
                  <w:pPr>
                    <w:pStyle w:val="58"/>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720" w:type="pct"/>
                  <w:shd w:val="clear" w:color="auto" w:fill="auto"/>
                  <w:vAlign w:val="center"/>
                </w:tcPr>
                <w:p w14:paraId="428358A3">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5058.16</w:t>
                  </w:r>
                </w:p>
              </w:tc>
              <w:tc>
                <w:tcPr>
                  <w:tcW w:w="671" w:type="pct"/>
                  <w:shd w:val="clear" w:color="auto" w:fill="auto"/>
                  <w:vAlign w:val="center"/>
                </w:tcPr>
                <w:p w14:paraId="5843BEF6">
                  <w:pPr>
                    <w:pStyle w:val="58"/>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758" w:type="pct"/>
                  <w:shd w:val="clear" w:color="auto" w:fill="auto"/>
                  <w:vAlign w:val="center"/>
                </w:tcPr>
                <w:p w14:paraId="060A1AB8">
                  <w:pPr>
                    <w:pStyle w:val="58"/>
                    <w:suppressLineNumbers w:val="0"/>
                    <w:bidi w:val="0"/>
                    <w:spacing w:before="0" w:beforeAutospacing="0" w:after="0" w:afterAutospacing="0"/>
                    <w:ind w:left="0" w:leftChars="0" w:right="0" w:rightChars="0" w:firstLine="0" w:firstLineChars="0"/>
                    <w:rPr>
                      <w:rFonts w:hint="default"/>
                      <w:color w:val="auto"/>
                      <w:lang w:val="en-US"/>
                    </w:rPr>
                  </w:pPr>
                  <w:r>
                    <w:rPr>
                      <w:rFonts w:hint="eastAsia"/>
                      <w:color w:val="auto"/>
                      <w:lang w:val="en-US" w:eastAsia="zh-CN"/>
                    </w:rPr>
                    <w:t>5058.16</w:t>
                  </w:r>
                </w:p>
              </w:tc>
              <w:tc>
                <w:tcPr>
                  <w:tcW w:w="762" w:type="pct"/>
                  <w:tcBorders>
                    <w:right w:val="nil"/>
                  </w:tcBorders>
                  <w:shd w:val="clear" w:color="auto" w:fill="auto"/>
                  <w:vAlign w:val="center"/>
                </w:tcPr>
                <w:p w14:paraId="25FD9EBC">
                  <w:pPr>
                    <w:pStyle w:val="58"/>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r>
            <w:tr w14:paraId="0EF84078">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0" w:hRule="atLeast"/>
              </w:trPr>
              <w:tc>
                <w:tcPr>
                  <w:tcW w:w="481" w:type="pct"/>
                  <w:tcBorders>
                    <w:left w:val="nil"/>
                  </w:tcBorders>
                  <w:shd w:val="clear" w:color="auto" w:fill="auto"/>
                  <w:vAlign w:val="center"/>
                </w:tcPr>
                <w:p w14:paraId="5F7AC177">
                  <w:pPr>
                    <w:pStyle w:val="58"/>
                    <w:suppressLineNumbers w:val="0"/>
                    <w:bidi w:val="0"/>
                    <w:spacing w:before="0" w:beforeAutospacing="0" w:after="0" w:afterAutospacing="0"/>
                    <w:ind w:left="0" w:right="0"/>
                    <w:rPr>
                      <w:rFonts w:hint="default"/>
                      <w:color w:val="auto"/>
                    </w:rPr>
                  </w:pPr>
                  <w:r>
                    <w:rPr>
                      <w:rFonts w:hint="default"/>
                      <w:color w:val="auto"/>
                      <w:lang w:val="en-US" w:eastAsia="zh-CN"/>
                    </w:rPr>
                    <w:t>COD</w:t>
                  </w:r>
                </w:p>
              </w:tc>
              <w:tc>
                <w:tcPr>
                  <w:tcW w:w="509" w:type="pct"/>
                  <w:shd w:val="clear" w:color="auto" w:fill="auto"/>
                  <w:vAlign w:val="center"/>
                </w:tcPr>
                <w:p w14:paraId="575512FF">
                  <w:pPr>
                    <w:pStyle w:val="58"/>
                    <w:suppressLineNumbers w:val="0"/>
                    <w:bidi w:val="0"/>
                    <w:spacing w:before="0" w:beforeAutospacing="0" w:after="0" w:afterAutospacing="0"/>
                    <w:ind w:left="0" w:right="0"/>
                    <w:rPr>
                      <w:rFonts w:hint="default"/>
                      <w:color w:val="auto"/>
                    </w:rPr>
                  </w:pPr>
                  <w:r>
                    <w:rPr>
                      <w:rFonts w:hint="default"/>
                      <w:color w:val="auto"/>
                      <w:lang w:val="en-US" w:eastAsia="zh-CN"/>
                    </w:rPr>
                    <w:t>50</w:t>
                  </w:r>
                </w:p>
              </w:tc>
              <w:tc>
                <w:tcPr>
                  <w:tcW w:w="572" w:type="pct"/>
                  <w:shd w:val="clear" w:color="auto" w:fill="auto"/>
                  <w:vAlign w:val="center"/>
                </w:tcPr>
                <w:p w14:paraId="57BB0010">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w:t>
                  </w:r>
                </w:p>
              </w:tc>
              <w:tc>
                <w:tcPr>
                  <w:tcW w:w="523" w:type="pct"/>
                  <w:shd w:val="clear" w:color="auto" w:fill="auto"/>
                  <w:vAlign w:val="center"/>
                </w:tcPr>
                <w:p w14:paraId="2C1CB3E0">
                  <w:pPr>
                    <w:pStyle w:val="58"/>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720" w:type="pct"/>
                  <w:shd w:val="clear" w:color="auto" w:fill="auto"/>
                  <w:vAlign w:val="center"/>
                </w:tcPr>
                <w:p w14:paraId="07849856">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0.2529</w:t>
                  </w:r>
                </w:p>
              </w:tc>
              <w:tc>
                <w:tcPr>
                  <w:tcW w:w="671" w:type="pct"/>
                  <w:shd w:val="clear" w:color="auto" w:fill="auto"/>
                  <w:vAlign w:val="center"/>
                </w:tcPr>
                <w:p w14:paraId="63DD972D">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w:t>
                  </w:r>
                </w:p>
              </w:tc>
              <w:tc>
                <w:tcPr>
                  <w:tcW w:w="758" w:type="pct"/>
                  <w:shd w:val="clear" w:color="auto" w:fill="auto"/>
                  <w:vAlign w:val="center"/>
                </w:tcPr>
                <w:p w14:paraId="6C7527E9">
                  <w:pPr>
                    <w:pStyle w:val="58"/>
                    <w:suppressLineNumbers w:val="0"/>
                    <w:bidi w:val="0"/>
                    <w:spacing w:before="0" w:beforeAutospacing="0" w:after="0" w:afterAutospacing="0"/>
                    <w:ind w:left="0" w:leftChars="0" w:right="0" w:rightChars="0" w:firstLine="0" w:firstLineChars="0"/>
                    <w:rPr>
                      <w:rFonts w:hint="default"/>
                      <w:color w:val="auto"/>
                      <w:lang w:val="en-US"/>
                    </w:rPr>
                  </w:pPr>
                  <w:r>
                    <w:rPr>
                      <w:rFonts w:hint="eastAsia"/>
                      <w:color w:val="auto"/>
                      <w:lang w:val="en-US" w:eastAsia="zh-CN"/>
                    </w:rPr>
                    <w:t>0.2529</w:t>
                  </w:r>
                </w:p>
              </w:tc>
              <w:tc>
                <w:tcPr>
                  <w:tcW w:w="762" w:type="pct"/>
                  <w:tcBorders>
                    <w:right w:val="nil"/>
                  </w:tcBorders>
                  <w:shd w:val="clear" w:color="auto" w:fill="auto"/>
                  <w:vAlign w:val="center"/>
                </w:tcPr>
                <w:p w14:paraId="2905358F">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0.3035</w:t>
                  </w:r>
                </w:p>
              </w:tc>
            </w:tr>
            <w:tr w14:paraId="3B88AD0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481" w:type="pct"/>
                  <w:tcBorders>
                    <w:left w:val="nil"/>
                    <w:bottom w:val="single" w:color="000000" w:sz="12" w:space="0"/>
                  </w:tcBorders>
                  <w:shd w:val="clear" w:color="auto" w:fill="auto"/>
                  <w:vAlign w:val="center"/>
                </w:tcPr>
                <w:p w14:paraId="08C91A55">
                  <w:pPr>
                    <w:pStyle w:val="58"/>
                    <w:suppressLineNumbers w:val="0"/>
                    <w:bidi w:val="0"/>
                    <w:spacing w:before="0" w:beforeAutospacing="0" w:after="0" w:afterAutospacing="0"/>
                    <w:ind w:left="0" w:right="0"/>
                    <w:rPr>
                      <w:rFonts w:hint="default"/>
                      <w:color w:val="auto"/>
                    </w:rPr>
                  </w:pPr>
                  <w:r>
                    <w:rPr>
                      <w:rFonts w:hint="default"/>
                      <w:color w:val="auto"/>
                      <w:lang w:val="en-US" w:eastAsia="zh-CN"/>
                    </w:rPr>
                    <w:t>NH</w:t>
                  </w:r>
                  <w:r>
                    <w:rPr>
                      <w:rFonts w:hint="default"/>
                      <w:color w:val="auto"/>
                      <w:vertAlign w:val="subscript"/>
                      <w:lang w:val="en-US" w:eastAsia="zh-CN"/>
                    </w:rPr>
                    <w:t>3</w:t>
                  </w:r>
                  <w:r>
                    <w:rPr>
                      <w:rFonts w:hint="default"/>
                      <w:color w:val="auto"/>
                      <w:lang w:val="en-US" w:eastAsia="zh-CN"/>
                    </w:rPr>
                    <w:t>-N</w:t>
                  </w:r>
                </w:p>
              </w:tc>
              <w:tc>
                <w:tcPr>
                  <w:tcW w:w="509" w:type="pct"/>
                  <w:tcBorders>
                    <w:bottom w:val="single" w:color="000000" w:sz="12" w:space="0"/>
                  </w:tcBorders>
                  <w:shd w:val="clear" w:color="auto" w:fill="auto"/>
                  <w:vAlign w:val="center"/>
                </w:tcPr>
                <w:p w14:paraId="17FC13D4">
                  <w:pPr>
                    <w:pStyle w:val="58"/>
                    <w:suppressLineNumbers w:val="0"/>
                    <w:bidi w:val="0"/>
                    <w:spacing w:before="0" w:beforeAutospacing="0" w:after="0" w:afterAutospacing="0"/>
                    <w:ind w:left="0" w:right="0"/>
                    <w:rPr>
                      <w:rFonts w:hint="default"/>
                      <w:color w:val="auto"/>
                    </w:rPr>
                  </w:pPr>
                  <w:r>
                    <w:rPr>
                      <w:rFonts w:hint="default"/>
                      <w:color w:val="auto"/>
                      <w:lang w:val="en-US" w:eastAsia="zh-CN"/>
                    </w:rPr>
                    <w:t>5</w:t>
                  </w:r>
                </w:p>
              </w:tc>
              <w:tc>
                <w:tcPr>
                  <w:tcW w:w="572" w:type="pct"/>
                  <w:tcBorders>
                    <w:bottom w:val="single" w:color="000000" w:sz="12" w:space="0"/>
                  </w:tcBorders>
                  <w:shd w:val="clear" w:color="auto" w:fill="auto"/>
                  <w:vAlign w:val="center"/>
                </w:tcPr>
                <w:p w14:paraId="5E7A7E94">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w:t>
                  </w:r>
                </w:p>
              </w:tc>
              <w:tc>
                <w:tcPr>
                  <w:tcW w:w="523" w:type="pct"/>
                  <w:tcBorders>
                    <w:bottom w:val="single" w:color="000000" w:sz="12" w:space="0"/>
                  </w:tcBorders>
                  <w:shd w:val="clear" w:color="auto" w:fill="auto"/>
                  <w:vAlign w:val="center"/>
                </w:tcPr>
                <w:p w14:paraId="1CB353E1">
                  <w:pPr>
                    <w:pStyle w:val="58"/>
                    <w:suppressLineNumbers w:val="0"/>
                    <w:bidi w:val="0"/>
                    <w:spacing w:before="0" w:beforeAutospacing="0" w:after="0" w:afterAutospacing="0"/>
                    <w:ind w:left="0" w:right="0"/>
                    <w:rPr>
                      <w:rFonts w:hint="default"/>
                      <w:color w:val="auto"/>
                    </w:rPr>
                  </w:pPr>
                  <w:r>
                    <w:rPr>
                      <w:rFonts w:hint="default"/>
                      <w:color w:val="auto"/>
                      <w:lang w:val="en-US" w:eastAsia="zh-CN"/>
                    </w:rPr>
                    <w:t>0</w:t>
                  </w:r>
                </w:p>
              </w:tc>
              <w:tc>
                <w:tcPr>
                  <w:tcW w:w="720" w:type="pct"/>
                  <w:tcBorders>
                    <w:bottom w:val="single" w:color="000000" w:sz="12" w:space="0"/>
                  </w:tcBorders>
                  <w:shd w:val="clear" w:color="auto" w:fill="auto"/>
                  <w:vAlign w:val="center"/>
                </w:tcPr>
                <w:p w14:paraId="4DAEDBB3">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0.0253</w:t>
                  </w:r>
                </w:p>
              </w:tc>
              <w:tc>
                <w:tcPr>
                  <w:tcW w:w="671" w:type="pct"/>
                  <w:tcBorders>
                    <w:bottom w:val="single" w:color="000000" w:sz="12" w:space="0"/>
                  </w:tcBorders>
                  <w:shd w:val="clear" w:color="auto" w:fill="auto"/>
                  <w:vAlign w:val="center"/>
                </w:tcPr>
                <w:p w14:paraId="4EF486FD">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w:t>
                  </w:r>
                </w:p>
              </w:tc>
              <w:tc>
                <w:tcPr>
                  <w:tcW w:w="758" w:type="pct"/>
                  <w:tcBorders>
                    <w:bottom w:val="single" w:color="000000" w:sz="12" w:space="0"/>
                  </w:tcBorders>
                  <w:shd w:val="clear" w:color="auto" w:fill="auto"/>
                  <w:vAlign w:val="center"/>
                </w:tcPr>
                <w:p w14:paraId="30CF887E">
                  <w:pPr>
                    <w:pStyle w:val="58"/>
                    <w:suppressLineNumbers w:val="0"/>
                    <w:bidi w:val="0"/>
                    <w:spacing w:before="0" w:beforeAutospacing="0" w:after="0" w:afterAutospacing="0"/>
                    <w:ind w:left="0" w:leftChars="0" w:right="0" w:rightChars="0" w:firstLine="0" w:firstLineChars="0"/>
                    <w:rPr>
                      <w:rFonts w:hint="default"/>
                      <w:color w:val="auto"/>
                    </w:rPr>
                  </w:pPr>
                  <w:r>
                    <w:rPr>
                      <w:rFonts w:hint="eastAsia"/>
                      <w:color w:val="auto"/>
                      <w:lang w:val="en-US" w:eastAsia="zh-CN"/>
                    </w:rPr>
                    <w:t>0.0253</w:t>
                  </w:r>
                </w:p>
              </w:tc>
              <w:tc>
                <w:tcPr>
                  <w:tcW w:w="762" w:type="pct"/>
                  <w:tcBorders>
                    <w:bottom w:val="single" w:color="000000" w:sz="12" w:space="0"/>
                    <w:right w:val="nil"/>
                  </w:tcBorders>
                  <w:shd w:val="clear" w:color="auto" w:fill="auto"/>
                  <w:vAlign w:val="center"/>
                </w:tcPr>
                <w:p w14:paraId="4335F72C">
                  <w:pPr>
                    <w:pStyle w:val="58"/>
                    <w:suppressLineNumbers w:val="0"/>
                    <w:bidi w:val="0"/>
                    <w:spacing w:before="0" w:beforeAutospacing="0" w:after="0" w:afterAutospacing="0"/>
                    <w:ind w:left="0" w:right="0"/>
                    <w:rPr>
                      <w:rFonts w:hint="default" w:eastAsia="宋体"/>
                      <w:color w:val="auto"/>
                      <w:lang w:val="en-US" w:eastAsia="zh-CN"/>
                    </w:rPr>
                  </w:pPr>
                  <w:r>
                    <w:rPr>
                      <w:rFonts w:hint="eastAsia"/>
                      <w:color w:val="auto"/>
                      <w:lang w:val="en-US" w:eastAsia="zh-CN"/>
                    </w:rPr>
                    <w:t>0.0304</w:t>
                  </w:r>
                </w:p>
              </w:tc>
            </w:tr>
          </w:tbl>
          <w:p w14:paraId="76D876A3">
            <w:pPr>
              <w:pStyle w:val="5"/>
              <w:bidi w:val="0"/>
              <w:rPr>
                <w:rFonts w:hint="eastAsia" w:eastAsia="宋体"/>
                <w:color w:val="auto"/>
                <w:highlight w:val="none"/>
                <w:lang w:val="en-US" w:eastAsia="zh-CN"/>
              </w:rPr>
            </w:pPr>
            <w:r>
              <w:rPr>
                <w:rFonts w:hint="eastAsia"/>
                <w:color w:val="auto"/>
                <w:highlight w:val="none"/>
              </w:rPr>
              <w:t>根据福建省环保厅关于印发《福建省主要污染物排污权指标核定管理办法（试行）》的通知（闽环发</w:t>
            </w:r>
            <w:r>
              <w:rPr>
                <w:rFonts w:hint="eastAsia"/>
                <w:color w:val="auto"/>
                <w:highlight w:val="none"/>
                <w:lang w:eastAsia="zh-CN"/>
              </w:rPr>
              <w:t>〔2014〕12号</w:t>
            </w:r>
            <w:r>
              <w:rPr>
                <w:rFonts w:hint="eastAsia"/>
                <w:color w:val="auto"/>
                <w:highlight w:val="none"/>
              </w:rPr>
              <w:t>），生活污水排放暂不需要购买相应的排污权指标，因此，</w:t>
            </w:r>
            <w:r>
              <w:rPr>
                <w:rFonts w:hint="eastAsia"/>
                <w:color w:val="auto"/>
                <w:highlight w:val="none"/>
                <w:lang w:val="en-US" w:eastAsia="zh-CN"/>
              </w:rPr>
              <w:t>生活污水</w:t>
            </w:r>
            <w:r>
              <w:rPr>
                <w:rFonts w:hint="eastAsia"/>
                <w:color w:val="auto"/>
                <w:highlight w:val="none"/>
              </w:rPr>
              <w:t>无需申请总量控制指标。</w:t>
            </w:r>
            <w:r>
              <w:rPr>
                <w:rFonts w:hint="eastAsia"/>
                <w:color w:val="auto"/>
                <w:highlight w:val="none"/>
                <w:lang w:val="en-US" w:eastAsia="zh-CN"/>
              </w:rPr>
              <w:t>本次项目需申请购买</w:t>
            </w:r>
            <w:r>
              <w:rPr>
                <w:rFonts w:hint="eastAsia"/>
                <w:color w:val="auto"/>
                <w:highlight w:val="none"/>
              </w:rPr>
              <w:t>COD、NH</w:t>
            </w:r>
            <w:r>
              <w:rPr>
                <w:rFonts w:hint="eastAsia"/>
                <w:color w:val="auto"/>
                <w:highlight w:val="none"/>
                <w:vertAlign w:val="subscript"/>
              </w:rPr>
              <w:t>3</w:t>
            </w:r>
            <w:r>
              <w:rPr>
                <w:rFonts w:hint="eastAsia"/>
                <w:color w:val="auto"/>
                <w:highlight w:val="none"/>
              </w:rPr>
              <w:t>-N总量</w:t>
            </w:r>
            <w:r>
              <w:rPr>
                <w:rFonts w:hint="eastAsia"/>
                <w:color w:val="auto"/>
                <w:highlight w:val="none"/>
                <w:lang w:val="en-US" w:eastAsia="zh-CN"/>
              </w:rPr>
              <w:t>0.3035t/a、0.0306/a。</w:t>
            </w:r>
          </w:p>
          <w:p w14:paraId="50EC7761">
            <w:pPr>
              <w:pStyle w:val="4"/>
              <w:bidi w:val="0"/>
              <w:rPr>
                <w:rFonts w:hint="eastAsia" w:ascii="Times New Roman" w:hAnsi="Times New Roman"/>
                <w:color w:val="auto"/>
              </w:rPr>
            </w:pPr>
            <w:bookmarkStart w:id="74" w:name="_Toc27386"/>
            <w:r>
              <w:rPr>
                <w:rFonts w:hint="eastAsia" w:ascii="Times New Roman" w:hAnsi="Times New Roman"/>
                <w:color w:val="auto"/>
              </w:rPr>
              <w:t>3.8.2废气总量</w:t>
            </w:r>
            <w:bookmarkEnd w:id="74"/>
          </w:p>
          <w:p w14:paraId="3A3BDC02">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eastAsia="宋体" w:cs="Times New Roman"/>
                <w:b/>
                <w:color w:val="auto"/>
                <w:sz w:val="24"/>
                <w:szCs w:val="24"/>
                <w:highlight w:val="none"/>
              </w:rPr>
            </w:pPr>
            <w:r>
              <w:rPr>
                <w:rFonts w:hint="eastAsia" w:ascii="Times New Roman" w:hAnsi="Times New Roman" w:eastAsia="宋体" w:cs="Times New Roman"/>
                <w:color w:val="auto"/>
                <w:sz w:val="24"/>
                <w:szCs w:val="24"/>
                <w:highlight w:val="none"/>
                <w:lang w:val="en-US" w:eastAsia="zh-CN"/>
              </w:rPr>
              <w:t>本项目</w:t>
            </w:r>
            <w:r>
              <w:rPr>
                <w:rFonts w:hint="default" w:ascii="Times New Roman" w:hAnsi="Times New Roman" w:eastAsia="宋体" w:cs="Times New Roman"/>
                <w:color w:val="auto"/>
                <w:sz w:val="24"/>
                <w:szCs w:val="24"/>
                <w:highlight w:val="none"/>
              </w:rPr>
              <w:t>废气污染物主要为非甲烷总烃，项目废气污染物排放总量指标详见表</w:t>
            </w:r>
            <w:r>
              <w:rPr>
                <w:rFonts w:hint="default" w:ascii="Times New Roman" w:hAnsi="Times New Roman" w:eastAsia="宋体" w:cs="Times New Roman"/>
                <w:color w:val="auto"/>
                <w:sz w:val="24"/>
                <w:szCs w:val="24"/>
                <w:highlight w:val="none"/>
                <w:lang w:val="en-US" w:eastAsia="zh-CN"/>
              </w:rPr>
              <w:t>3.</w:t>
            </w:r>
            <w:r>
              <w:rPr>
                <w:rFonts w:hint="eastAsia"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w:t>
            </w:r>
          </w:p>
          <w:p w14:paraId="7E5EB376">
            <w:pPr>
              <w:widowControl w:val="0"/>
              <w:spacing w:line="240" w:lineRule="auto"/>
              <w:ind w:firstLine="0" w:firstLineChars="0"/>
              <w:jc w:val="center"/>
              <w:rPr>
                <w:rFonts w:hint="default" w:ascii="Times New Roman" w:hAnsi="Times New Roman" w:eastAsia="宋体" w:cs="Times New Roman"/>
                <w:b/>
                <w:color w:val="auto"/>
                <w:sz w:val="24"/>
                <w:szCs w:val="24"/>
                <w:highlight w:val="none"/>
                <w:lang w:val="en-US" w:eastAsia="zh-CN"/>
              </w:rPr>
            </w:pPr>
            <w:r>
              <w:rPr>
                <w:rFonts w:hint="default" w:ascii="Times New Roman" w:hAnsi="Times New Roman" w:eastAsia="宋体" w:cs="Times New Roman"/>
                <w:b/>
                <w:color w:val="auto"/>
                <w:sz w:val="24"/>
                <w:szCs w:val="24"/>
                <w:highlight w:val="none"/>
              </w:rPr>
              <w:t>表</w:t>
            </w:r>
            <w:r>
              <w:rPr>
                <w:rFonts w:hint="default" w:ascii="Times New Roman" w:hAnsi="Times New Roman" w:eastAsia="宋体" w:cs="Times New Roman"/>
                <w:b/>
                <w:color w:val="auto"/>
                <w:sz w:val="24"/>
                <w:szCs w:val="24"/>
                <w:highlight w:val="none"/>
                <w:lang w:val="en-US" w:eastAsia="zh-CN"/>
              </w:rPr>
              <w:t>3.</w:t>
            </w:r>
            <w:r>
              <w:rPr>
                <w:rFonts w:hint="eastAsia" w:cs="Times New Roman"/>
                <w:b/>
                <w:color w:val="auto"/>
                <w:sz w:val="24"/>
                <w:szCs w:val="24"/>
                <w:highlight w:val="none"/>
                <w:lang w:val="en-US" w:eastAsia="zh-CN"/>
              </w:rPr>
              <w:t>8</w:t>
            </w:r>
            <w:r>
              <w:rPr>
                <w:rFonts w:hint="default" w:ascii="Times New Roman" w:hAnsi="Times New Roman" w:eastAsia="宋体" w:cs="Times New Roman"/>
                <w:b/>
                <w:color w:val="auto"/>
                <w:sz w:val="24"/>
                <w:szCs w:val="24"/>
                <w:highlight w:val="none"/>
                <w:lang w:val="en-US" w:eastAsia="zh-CN"/>
              </w:rPr>
              <w:t>-</w:t>
            </w:r>
            <w:r>
              <w:rPr>
                <w:rFonts w:hint="eastAsia" w:cs="Times New Roman"/>
                <w:b/>
                <w:color w:val="auto"/>
                <w:sz w:val="24"/>
                <w:szCs w:val="24"/>
                <w:highlight w:val="none"/>
                <w:lang w:val="en-US" w:eastAsia="zh-CN"/>
              </w:rPr>
              <w:t xml:space="preserve">1  </w:t>
            </w:r>
            <w:r>
              <w:rPr>
                <w:rFonts w:hint="eastAsia" w:ascii="Times New Roman" w:hAnsi="Times New Roman" w:eastAsia="宋体" w:cs="Times New Roman"/>
                <w:b/>
                <w:bCs/>
                <w:color w:val="auto"/>
                <w:sz w:val="24"/>
                <w:highlight w:val="none"/>
                <w:lang w:val="en-US" w:eastAsia="zh-CN"/>
              </w:rPr>
              <w:t>本项目</w:t>
            </w:r>
            <w:r>
              <w:rPr>
                <w:rFonts w:hint="default" w:ascii="Times New Roman" w:hAnsi="Times New Roman" w:eastAsia="宋体" w:cs="Times New Roman"/>
                <w:b/>
                <w:bCs/>
                <w:color w:val="auto"/>
                <w:sz w:val="24"/>
                <w:highlight w:val="none"/>
                <w:lang w:val="en-US" w:eastAsia="zh-CN"/>
              </w:rPr>
              <w:t xml:space="preserve">废气污染物排放总量指标一览表 </w:t>
            </w:r>
            <w:r>
              <w:rPr>
                <w:rFonts w:hint="default" w:ascii="Times New Roman" w:hAnsi="Times New Roman" w:eastAsia="宋体" w:cs="Times New Roman"/>
                <w:b/>
                <w:color w:val="auto"/>
                <w:sz w:val="24"/>
                <w:szCs w:val="24"/>
                <w:highlight w:val="none"/>
                <w:lang w:val="en-US" w:eastAsia="zh-CN"/>
              </w:rPr>
              <w:t xml:space="preserve"> 单位</w:t>
            </w:r>
            <w:r>
              <w:rPr>
                <w:rFonts w:hint="eastAsia" w:cs="Times New Roman"/>
                <w:b/>
                <w:color w:val="auto"/>
                <w:sz w:val="24"/>
                <w:szCs w:val="24"/>
                <w:highlight w:val="none"/>
                <w:lang w:val="en-US" w:eastAsia="zh-CN"/>
              </w:rPr>
              <w:t>：</w:t>
            </w:r>
            <w:r>
              <w:rPr>
                <w:rFonts w:hint="default" w:ascii="Times New Roman" w:hAnsi="Times New Roman" w:eastAsia="宋体" w:cs="Times New Roman"/>
                <w:b/>
                <w:color w:val="auto"/>
                <w:sz w:val="24"/>
                <w:szCs w:val="24"/>
                <w:highlight w:val="none"/>
                <w:lang w:val="en-US" w:eastAsia="zh-CN"/>
              </w:rPr>
              <w:t>t/a</w:t>
            </w:r>
          </w:p>
          <w:tbl>
            <w:tblPr>
              <w:tblStyle w:val="20"/>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1603"/>
              <w:gridCol w:w="1795"/>
              <w:gridCol w:w="1697"/>
              <w:gridCol w:w="1698"/>
            </w:tblGrid>
            <w:tr w14:paraId="143819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65" w:type="pct"/>
                  <w:tcBorders>
                    <w:tl2br w:val="nil"/>
                    <w:tr2bl w:val="nil"/>
                  </w:tcBorders>
                  <w:noWrap w:val="0"/>
                  <w:vAlign w:val="center"/>
                </w:tcPr>
                <w:p w14:paraId="395EEB05">
                  <w:pPr>
                    <w:widowControl w:val="0"/>
                    <w:spacing w:line="240" w:lineRule="auto"/>
                    <w:ind w:firstLine="0" w:firstLineChars="0"/>
                    <w:jc w:val="center"/>
                    <w:rPr>
                      <w:rFonts w:hint="default" w:cs="Times New Roman"/>
                      <w:b/>
                      <w:bCs/>
                      <w:color w:val="auto"/>
                      <w:sz w:val="21"/>
                      <w:szCs w:val="22"/>
                      <w:highlight w:val="none"/>
                      <w:lang w:val="en-US" w:eastAsia="zh-CN"/>
                    </w:rPr>
                  </w:pPr>
                  <w:r>
                    <w:rPr>
                      <w:rFonts w:hint="eastAsia" w:cs="Times New Roman"/>
                      <w:b/>
                      <w:bCs/>
                      <w:color w:val="auto"/>
                      <w:sz w:val="21"/>
                      <w:szCs w:val="22"/>
                      <w:highlight w:val="none"/>
                      <w:lang w:val="en-US" w:eastAsia="zh-CN"/>
                    </w:rPr>
                    <w:t>总量控制项目</w:t>
                  </w:r>
                </w:p>
              </w:tc>
              <w:tc>
                <w:tcPr>
                  <w:tcW w:w="952" w:type="pct"/>
                  <w:tcBorders>
                    <w:tl2br w:val="nil"/>
                    <w:tr2bl w:val="nil"/>
                  </w:tcBorders>
                  <w:noWrap w:val="0"/>
                  <w:vAlign w:val="center"/>
                </w:tcPr>
                <w:p w14:paraId="50FCACA5">
                  <w:pPr>
                    <w:widowControl w:val="0"/>
                    <w:spacing w:line="240" w:lineRule="auto"/>
                    <w:ind w:firstLine="0" w:firstLineChars="0"/>
                    <w:jc w:val="center"/>
                    <w:rPr>
                      <w:rFonts w:hint="default" w:cs="Times New Roman"/>
                      <w:b/>
                      <w:bCs/>
                      <w:color w:val="auto"/>
                      <w:sz w:val="21"/>
                      <w:szCs w:val="22"/>
                      <w:highlight w:val="none"/>
                      <w:lang w:val="en-US" w:eastAsia="zh-CN"/>
                    </w:rPr>
                  </w:pPr>
                  <w:r>
                    <w:rPr>
                      <w:rFonts w:hint="eastAsia" w:cs="Times New Roman"/>
                      <w:b/>
                      <w:bCs/>
                      <w:color w:val="auto"/>
                      <w:sz w:val="21"/>
                      <w:szCs w:val="22"/>
                      <w:highlight w:val="none"/>
                      <w:lang w:val="en-US" w:eastAsia="zh-CN"/>
                    </w:rPr>
                    <w:t>有组织排放量</w:t>
                  </w:r>
                </w:p>
              </w:tc>
              <w:tc>
                <w:tcPr>
                  <w:tcW w:w="1066" w:type="pct"/>
                  <w:tcBorders>
                    <w:tl2br w:val="nil"/>
                    <w:tr2bl w:val="nil"/>
                  </w:tcBorders>
                  <w:noWrap w:val="0"/>
                  <w:vAlign w:val="center"/>
                </w:tcPr>
                <w:p w14:paraId="55682495">
                  <w:pPr>
                    <w:widowControl w:val="0"/>
                    <w:spacing w:line="240" w:lineRule="auto"/>
                    <w:ind w:firstLine="0" w:firstLineChars="0"/>
                    <w:jc w:val="center"/>
                    <w:rPr>
                      <w:rFonts w:hint="default" w:cs="Times New Roman"/>
                      <w:b/>
                      <w:bCs/>
                      <w:color w:val="auto"/>
                      <w:sz w:val="21"/>
                      <w:szCs w:val="22"/>
                      <w:highlight w:val="none"/>
                      <w:lang w:val="en-US" w:eastAsia="zh-CN"/>
                    </w:rPr>
                  </w:pPr>
                  <w:r>
                    <w:rPr>
                      <w:rFonts w:hint="eastAsia" w:cs="Times New Roman"/>
                      <w:b/>
                      <w:bCs/>
                      <w:color w:val="auto"/>
                      <w:sz w:val="21"/>
                      <w:szCs w:val="22"/>
                      <w:highlight w:val="none"/>
                      <w:lang w:eastAsia="zh-CN"/>
                    </w:rPr>
                    <w:t>无组织排放量</w:t>
                  </w:r>
                </w:p>
              </w:tc>
              <w:tc>
                <w:tcPr>
                  <w:tcW w:w="1008" w:type="pct"/>
                  <w:tcBorders>
                    <w:tl2br w:val="nil"/>
                    <w:tr2bl w:val="nil"/>
                  </w:tcBorders>
                  <w:noWrap w:val="0"/>
                  <w:vAlign w:val="center"/>
                </w:tcPr>
                <w:p w14:paraId="7B72CA61">
                  <w:pPr>
                    <w:widowControl w:val="0"/>
                    <w:spacing w:line="240" w:lineRule="auto"/>
                    <w:ind w:firstLine="0" w:firstLineChars="0"/>
                    <w:jc w:val="center"/>
                    <w:rPr>
                      <w:rFonts w:hint="default" w:cs="Times New Roman"/>
                      <w:b/>
                      <w:bCs/>
                      <w:color w:val="auto"/>
                      <w:sz w:val="21"/>
                      <w:szCs w:val="22"/>
                      <w:highlight w:val="none"/>
                      <w:lang w:val="en-US" w:eastAsia="zh-CN"/>
                    </w:rPr>
                  </w:pPr>
                  <w:r>
                    <w:rPr>
                      <w:rFonts w:hint="eastAsia" w:cs="Times New Roman"/>
                      <w:b/>
                      <w:bCs/>
                      <w:color w:val="auto"/>
                      <w:sz w:val="21"/>
                      <w:szCs w:val="22"/>
                      <w:highlight w:val="none"/>
                      <w:lang w:val="en-US" w:eastAsia="zh-CN"/>
                    </w:rPr>
                    <w:t>排放总量</w:t>
                  </w:r>
                </w:p>
              </w:tc>
              <w:tc>
                <w:tcPr>
                  <w:tcW w:w="1008" w:type="pct"/>
                  <w:tcBorders>
                    <w:tl2br w:val="nil"/>
                    <w:tr2bl w:val="nil"/>
                  </w:tcBorders>
                  <w:noWrap w:val="0"/>
                  <w:vAlign w:val="center"/>
                </w:tcPr>
                <w:p w14:paraId="134A8E1D">
                  <w:pPr>
                    <w:widowControl w:val="0"/>
                    <w:spacing w:line="240" w:lineRule="auto"/>
                    <w:ind w:firstLine="0" w:firstLineChars="0"/>
                    <w:jc w:val="center"/>
                    <w:rPr>
                      <w:rFonts w:hint="eastAsia" w:cs="Times New Roman"/>
                      <w:b/>
                      <w:bCs/>
                      <w:color w:val="auto"/>
                      <w:sz w:val="21"/>
                      <w:szCs w:val="22"/>
                      <w:highlight w:val="none"/>
                      <w:lang w:val="en-US" w:eastAsia="zh-CN"/>
                    </w:rPr>
                  </w:pPr>
                  <w:r>
                    <w:rPr>
                      <w:rFonts w:hint="eastAsia" w:ascii="Times New Roman" w:hAnsi="Times New Roman" w:eastAsia="宋体" w:cs="Times New Roman"/>
                      <w:b/>
                      <w:bCs/>
                      <w:color w:val="auto"/>
                      <w:sz w:val="21"/>
                      <w:szCs w:val="22"/>
                      <w:highlight w:val="none"/>
                      <w:lang w:val="en-US" w:eastAsia="zh-CN"/>
                    </w:rPr>
                    <w:t>建议申报指标</w:t>
                  </w:r>
                </w:p>
              </w:tc>
            </w:tr>
            <w:tr w14:paraId="089335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65" w:type="pct"/>
                  <w:tcBorders>
                    <w:tl2br w:val="nil"/>
                    <w:tr2bl w:val="nil"/>
                  </w:tcBorders>
                  <w:noWrap w:val="0"/>
                  <w:vAlign w:val="center"/>
                </w:tcPr>
                <w:p w14:paraId="364083B9">
                  <w:pPr>
                    <w:widowControl w:val="0"/>
                    <w:spacing w:line="240" w:lineRule="auto"/>
                    <w:ind w:firstLine="0" w:firstLineChars="0"/>
                    <w:jc w:val="center"/>
                    <w:rPr>
                      <w:rFonts w:hint="default" w:cs="Times New Roman"/>
                      <w:color w:val="auto"/>
                      <w:sz w:val="21"/>
                      <w:szCs w:val="22"/>
                      <w:highlight w:val="none"/>
                      <w:lang w:val="en-US" w:eastAsia="zh-CN"/>
                    </w:rPr>
                  </w:pPr>
                  <w:r>
                    <w:rPr>
                      <w:rFonts w:hint="eastAsia" w:cs="Times New Roman"/>
                      <w:color w:val="auto"/>
                      <w:sz w:val="21"/>
                      <w:szCs w:val="22"/>
                      <w:highlight w:val="none"/>
                      <w:lang w:val="en-US" w:eastAsia="zh-CN"/>
                    </w:rPr>
                    <w:t>非甲烷总烃</w:t>
                  </w:r>
                </w:p>
              </w:tc>
              <w:tc>
                <w:tcPr>
                  <w:tcW w:w="952" w:type="pct"/>
                  <w:tcBorders>
                    <w:tl2br w:val="nil"/>
                    <w:tr2bl w:val="nil"/>
                  </w:tcBorders>
                  <w:noWrap w:val="0"/>
                  <w:vAlign w:val="center"/>
                </w:tcPr>
                <w:p w14:paraId="5BBD5E34">
                  <w:pPr>
                    <w:widowControl w:val="0"/>
                    <w:spacing w:line="240" w:lineRule="auto"/>
                    <w:ind w:firstLine="0" w:firstLineChars="0"/>
                    <w:jc w:val="center"/>
                    <w:rPr>
                      <w:rFonts w:hint="default" w:cs="Times New Roman"/>
                      <w:color w:val="auto"/>
                      <w:sz w:val="21"/>
                      <w:szCs w:val="22"/>
                      <w:highlight w:val="none"/>
                      <w:lang w:val="en-US" w:eastAsia="zh-CN"/>
                    </w:rPr>
                  </w:pPr>
                  <w:r>
                    <w:rPr>
                      <w:rFonts w:hint="eastAsia" w:cs="Times New Roman"/>
                      <w:color w:val="auto"/>
                      <w:sz w:val="21"/>
                      <w:szCs w:val="22"/>
                      <w:highlight w:val="none"/>
                      <w:lang w:val="en-US" w:eastAsia="zh-CN"/>
                    </w:rPr>
                    <w:t>0.2476</w:t>
                  </w:r>
                </w:p>
              </w:tc>
              <w:tc>
                <w:tcPr>
                  <w:tcW w:w="1066" w:type="pct"/>
                  <w:tcBorders>
                    <w:tl2br w:val="nil"/>
                    <w:tr2bl w:val="nil"/>
                  </w:tcBorders>
                  <w:noWrap w:val="0"/>
                  <w:vAlign w:val="center"/>
                </w:tcPr>
                <w:p w14:paraId="0023CDE9">
                  <w:pPr>
                    <w:widowControl w:val="0"/>
                    <w:spacing w:line="240" w:lineRule="auto"/>
                    <w:ind w:firstLine="0" w:firstLineChars="0"/>
                    <w:jc w:val="center"/>
                    <w:rPr>
                      <w:rFonts w:hint="default" w:cs="Times New Roman"/>
                      <w:color w:val="auto"/>
                      <w:sz w:val="21"/>
                      <w:szCs w:val="22"/>
                      <w:highlight w:val="none"/>
                      <w:lang w:val="en-US" w:eastAsia="zh-CN"/>
                    </w:rPr>
                  </w:pPr>
                  <w:r>
                    <w:rPr>
                      <w:rFonts w:hint="eastAsia" w:cs="Times New Roman"/>
                      <w:color w:val="auto"/>
                      <w:sz w:val="21"/>
                      <w:szCs w:val="22"/>
                      <w:highlight w:val="none"/>
                      <w:lang w:val="en-US" w:eastAsia="zh-CN"/>
                    </w:rPr>
                    <w:t>0.1376</w:t>
                  </w:r>
                </w:p>
              </w:tc>
              <w:tc>
                <w:tcPr>
                  <w:tcW w:w="1008" w:type="pct"/>
                  <w:tcBorders>
                    <w:tl2br w:val="nil"/>
                    <w:tr2bl w:val="nil"/>
                  </w:tcBorders>
                  <w:noWrap w:val="0"/>
                  <w:vAlign w:val="center"/>
                </w:tcPr>
                <w:p w14:paraId="60E9E34E">
                  <w:pPr>
                    <w:widowControl w:val="0"/>
                    <w:spacing w:line="240" w:lineRule="auto"/>
                    <w:ind w:firstLine="0" w:firstLineChars="0"/>
                    <w:jc w:val="center"/>
                    <w:rPr>
                      <w:rFonts w:hint="default" w:cs="Times New Roman"/>
                      <w:color w:val="auto"/>
                      <w:sz w:val="21"/>
                      <w:szCs w:val="22"/>
                      <w:highlight w:val="none"/>
                      <w:lang w:val="en-US" w:eastAsia="zh-CN"/>
                    </w:rPr>
                  </w:pPr>
                  <w:r>
                    <w:rPr>
                      <w:rFonts w:hint="eastAsia" w:cs="Times New Roman"/>
                      <w:color w:val="auto"/>
                      <w:sz w:val="21"/>
                      <w:szCs w:val="22"/>
                      <w:highlight w:val="none"/>
                      <w:lang w:val="en-US" w:eastAsia="zh-CN"/>
                    </w:rPr>
                    <w:t>0.3852</w:t>
                  </w:r>
                </w:p>
              </w:tc>
              <w:tc>
                <w:tcPr>
                  <w:tcW w:w="1008" w:type="pct"/>
                  <w:tcBorders>
                    <w:tl2br w:val="nil"/>
                    <w:tr2bl w:val="nil"/>
                  </w:tcBorders>
                  <w:noWrap w:val="0"/>
                  <w:vAlign w:val="center"/>
                </w:tcPr>
                <w:p w14:paraId="740D1661">
                  <w:pPr>
                    <w:widowControl w:val="0"/>
                    <w:spacing w:line="240" w:lineRule="auto"/>
                    <w:ind w:firstLine="0" w:firstLineChars="0"/>
                    <w:jc w:val="center"/>
                    <w:rPr>
                      <w:rFonts w:hint="default" w:cs="Times New Roman"/>
                      <w:color w:val="auto"/>
                      <w:sz w:val="21"/>
                      <w:szCs w:val="22"/>
                      <w:highlight w:val="none"/>
                      <w:lang w:val="en-US" w:eastAsia="zh-CN"/>
                    </w:rPr>
                  </w:pPr>
                  <w:r>
                    <w:rPr>
                      <w:rFonts w:hint="eastAsia" w:cs="Times New Roman"/>
                      <w:color w:val="auto"/>
                      <w:sz w:val="21"/>
                      <w:szCs w:val="22"/>
                      <w:highlight w:val="none"/>
                      <w:lang w:val="en-US" w:eastAsia="zh-CN"/>
                    </w:rPr>
                    <w:t>0.4622</w:t>
                  </w:r>
                </w:p>
              </w:tc>
            </w:tr>
          </w:tbl>
          <w:p w14:paraId="1DA67D84">
            <w:pPr>
              <w:pStyle w:val="5"/>
              <w:bidi w:val="0"/>
              <w:jc w:val="both"/>
              <w:rPr>
                <w:rFonts w:hint="eastAsia" w:ascii="Times New Roman" w:hAnsi="Times New Roman"/>
                <w:color w:val="auto"/>
              </w:rPr>
            </w:pPr>
            <w:r>
              <w:rPr>
                <w:rFonts w:hint="eastAsia" w:ascii="Times New Roman" w:hAnsi="Times New Roman"/>
                <w:color w:val="auto"/>
              </w:rPr>
              <w:t>（1）非甲烷总烃总量控制</w:t>
            </w:r>
          </w:p>
          <w:p w14:paraId="031B4B68">
            <w:pPr>
              <w:pStyle w:val="5"/>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根据《福州市环境保护局关于印发福州市大气污染联防控联治工作方案的</w:t>
            </w:r>
          </w:p>
          <w:p w14:paraId="2B03933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color w:val="auto"/>
              </w:rPr>
            </w:pPr>
            <w:r>
              <w:rPr>
                <w:rFonts w:hint="eastAsia" w:ascii="Times New Roman" w:hAnsi="Times New Roman" w:eastAsia="宋体" w:cs="Times New Roman"/>
                <w:color w:val="auto"/>
                <w:kern w:val="2"/>
                <w:sz w:val="24"/>
                <w:szCs w:val="24"/>
                <w:highlight w:val="none"/>
                <w:lang w:val="en-US" w:eastAsia="zh-CN" w:bidi="ar-SA"/>
              </w:rPr>
              <w:t>通知》榕环保综</w:t>
            </w:r>
            <w:r>
              <w:rPr>
                <w:rFonts w:hint="eastAsia" w:cs="Times New Roman"/>
                <w:color w:val="auto"/>
                <w:kern w:val="2"/>
                <w:sz w:val="24"/>
                <w:szCs w:val="24"/>
                <w:highlight w:val="none"/>
                <w:lang w:val="en-US" w:eastAsia="zh-CN" w:bidi="ar-SA"/>
              </w:rPr>
              <w:t>〔2018〕386号</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VOCs</w:t>
            </w:r>
            <w:r>
              <w:rPr>
                <w:rFonts w:hint="eastAsia" w:ascii="Times New Roman" w:hAnsi="Times New Roman" w:eastAsia="宋体" w:cs="Times New Roman"/>
                <w:color w:val="auto"/>
                <w:kern w:val="2"/>
                <w:sz w:val="24"/>
                <w:szCs w:val="24"/>
                <w:highlight w:val="none"/>
                <w:lang w:val="en-US" w:eastAsia="zh-CN" w:bidi="ar-SA"/>
              </w:rPr>
              <w:t>排放实行区域内倍量替代，新、改扩建涉</w:t>
            </w:r>
            <w:r>
              <w:rPr>
                <w:rFonts w:hint="default" w:ascii="Times New Roman" w:hAnsi="Times New Roman" w:eastAsia="宋体" w:cs="Times New Roman"/>
                <w:color w:val="auto"/>
                <w:kern w:val="2"/>
                <w:sz w:val="24"/>
                <w:szCs w:val="24"/>
                <w:highlight w:val="none"/>
                <w:lang w:val="en-US" w:eastAsia="zh-CN" w:bidi="ar-SA"/>
              </w:rPr>
              <w:t>VOCs</w:t>
            </w:r>
            <w:r>
              <w:rPr>
                <w:rFonts w:hint="eastAsia" w:ascii="Times New Roman" w:hAnsi="Times New Roman" w:eastAsia="宋体" w:cs="Times New Roman"/>
                <w:color w:val="auto"/>
                <w:kern w:val="2"/>
                <w:sz w:val="24"/>
                <w:szCs w:val="24"/>
                <w:highlight w:val="none"/>
                <w:lang w:val="en-US" w:eastAsia="zh-CN" w:bidi="ar-SA"/>
              </w:rPr>
              <w:t>排放项目，应从源头加强控制，使用低（无）</w:t>
            </w:r>
            <w:r>
              <w:rPr>
                <w:rFonts w:hint="default" w:ascii="Times New Roman" w:hAnsi="Times New Roman" w:eastAsia="宋体" w:cs="Times New Roman"/>
                <w:color w:val="auto"/>
                <w:kern w:val="2"/>
                <w:sz w:val="24"/>
                <w:szCs w:val="24"/>
                <w:highlight w:val="none"/>
                <w:lang w:val="en-US" w:eastAsia="zh-CN" w:bidi="ar-SA"/>
              </w:rPr>
              <w:t>VOCs</w:t>
            </w:r>
            <w:r>
              <w:rPr>
                <w:rFonts w:hint="eastAsia" w:ascii="Times New Roman" w:hAnsi="Times New Roman" w:eastAsia="宋体" w:cs="Times New Roman"/>
                <w:color w:val="auto"/>
                <w:kern w:val="2"/>
                <w:sz w:val="24"/>
                <w:szCs w:val="24"/>
                <w:highlight w:val="none"/>
                <w:lang w:val="en-US" w:eastAsia="zh-CN" w:bidi="ar-SA"/>
              </w:rPr>
              <w:t>含量的原辅材料，加强废气收集、安装高效治理设施。根据工程分析可知，本项目</w:t>
            </w:r>
            <w:r>
              <w:rPr>
                <w:rFonts w:hint="eastAsia" w:cs="Times New Roman"/>
                <w:color w:val="auto"/>
                <w:kern w:val="2"/>
                <w:sz w:val="24"/>
                <w:szCs w:val="24"/>
                <w:highlight w:val="none"/>
                <w:lang w:val="en-US" w:eastAsia="zh-CN" w:bidi="ar-SA"/>
              </w:rPr>
              <w:t>VOCs、乙醇、乙醚、丙酮（以非甲烷总烃计）</w:t>
            </w:r>
            <w:r>
              <w:rPr>
                <w:rFonts w:hint="eastAsia" w:ascii="Times New Roman" w:hAnsi="Times New Roman" w:eastAsia="宋体" w:cs="Times New Roman"/>
                <w:color w:val="auto"/>
                <w:kern w:val="2"/>
                <w:sz w:val="24"/>
                <w:szCs w:val="24"/>
                <w:highlight w:val="none"/>
                <w:lang w:val="en-US" w:eastAsia="zh-CN" w:bidi="ar-SA"/>
              </w:rPr>
              <w:t>有组织排放量为</w:t>
            </w:r>
            <w:r>
              <w:rPr>
                <w:rFonts w:hint="default" w:ascii="Times New Roman" w:hAnsi="Times New Roman" w:eastAsia="宋体" w:cs="Times New Roman"/>
                <w:color w:val="auto"/>
                <w:kern w:val="2"/>
                <w:sz w:val="24"/>
                <w:szCs w:val="24"/>
                <w:highlight w:val="none"/>
                <w:lang w:val="en-US" w:eastAsia="zh-CN" w:bidi="ar-SA"/>
              </w:rPr>
              <w:t>0.</w:t>
            </w:r>
            <w:r>
              <w:rPr>
                <w:rFonts w:hint="eastAsia" w:cs="Times New Roman"/>
                <w:color w:val="auto"/>
                <w:kern w:val="2"/>
                <w:sz w:val="24"/>
                <w:szCs w:val="24"/>
                <w:highlight w:val="none"/>
                <w:lang w:val="en-US" w:eastAsia="zh-CN" w:bidi="ar-SA"/>
              </w:rPr>
              <w:t>2476</w:t>
            </w:r>
            <w:r>
              <w:rPr>
                <w:rFonts w:hint="default" w:ascii="Times New Roman" w:hAnsi="Times New Roman" w:eastAsia="宋体" w:cs="Times New Roman"/>
                <w:color w:val="auto"/>
                <w:kern w:val="2"/>
                <w:sz w:val="24"/>
                <w:szCs w:val="24"/>
                <w:highlight w:val="none"/>
                <w:lang w:val="en-US" w:eastAsia="zh-CN" w:bidi="ar-SA"/>
              </w:rPr>
              <w:t>t/a</w:t>
            </w:r>
            <w:r>
              <w:rPr>
                <w:rFonts w:hint="eastAsia" w:ascii="Times New Roman" w:hAnsi="Times New Roman" w:eastAsia="宋体" w:cs="Times New Roman"/>
                <w:color w:val="auto"/>
                <w:kern w:val="2"/>
                <w:sz w:val="24"/>
                <w:szCs w:val="24"/>
                <w:highlight w:val="none"/>
                <w:lang w:val="en-US" w:eastAsia="zh-CN" w:bidi="ar-SA"/>
              </w:rPr>
              <w:t>，无组织排放量为</w:t>
            </w:r>
            <w:r>
              <w:rPr>
                <w:rFonts w:hint="default" w:ascii="Times New Roman" w:hAnsi="Times New Roman" w:eastAsia="宋体" w:cs="Times New Roman"/>
                <w:color w:val="auto"/>
                <w:kern w:val="2"/>
                <w:sz w:val="24"/>
                <w:szCs w:val="24"/>
                <w:highlight w:val="none"/>
                <w:lang w:val="en-US" w:eastAsia="zh-CN" w:bidi="ar-SA"/>
              </w:rPr>
              <w:t>0.</w:t>
            </w:r>
            <w:r>
              <w:rPr>
                <w:rFonts w:hint="eastAsia" w:cs="Times New Roman"/>
                <w:color w:val="auto"/>
                <w:kern w:val="2"/>
                <w:sz w:val="24"/>
                <w:szCs w:val="24"/>
                <w:highlight w:val="none"/>
                <w:lang w:val="en-US" w:eastAsia="zh-CN" w:bidi="ar-SA"/>
              </w:rPr>
              <w:t>1376</w:t>
            </w:r>
            <w:r>
              <w:rPr>
                <w:rFonts w:hint="default" w:ascii="Times New Roman" w:hAnsi="Times New Roman" w:eastAsia="宋体" w:cs="Times New Roman"/>
                <w:color w:val="auto"/>
                <w:kern w:val="2"/>
                <w:sz w:val="24"/>
                <w:szCs w:val="24"/>
                <w:highlight w:val="none"/>
                <w:lang w:val="en-US" w:eastAsia="zh-CN" w:bidi="ar-SA"/>
              </w:rPr>
              <w:t>t/a</w:t>
            </w:r>
            <w:r>
              <w:rPr>
                <w:rFonts w:hint="eastAsia" w:ascii="Times New Roman" w:hAnsi="Times New Roman" w:eastAsia="宋体" w:cs="Times New Roman"/>
                <w:color w:val="auto"/>
                <w:kern w:val="2"/>
                <w:sz w:val="24"/>
                <w:szCs w:val="24"/>
                <w:highlight w:val="none"/>
                <w:lang w:val="en-US" w:eastAsia="zh-CN" w:bidi="ar-SA"/>
              </w:rPr>
              <w:t>，排放总量为：</w:t>
            </w:r>
            <w:r>
              <w:rPr>
                <w:rFonts w:hint="default" w:ascii="Times New Roman" w:hAnsi="Times New Roman" w:eastAsia="宋体" w:cs="Times New Roman"/>
                <w:color w:val="auto"/>
                <w:kern w:val="2"/>
                <w:sz w:val="24"/>
                <w:szCs w:val="24"/>
                <w:highlight w:val="none"/>
                <w:lang w:val="en-US" w:eastAsia="zh-CN" w:bidi="ar-SA"/>
              </w:rPr>
              <w:t>0.</w:t>
            </w:r>
            <w:r>
              <w:rPr>
                <w:rFonts w:hint="eastAsia" w:cs="Times New Roman"/>
                <w:color w:val="auto"/>
                <w:kern w:val="2"/>
                <w:sz w:val="24"/>
                <w:szCs w:val="24"/>
                <w:highlight w:val="none"/>
                <w:lang w:val="en-US" w:eastAsia="zh-CN" w:bidi="ar-SA"/>
              </w:rPr>
              <w:t>3852</w:t>
            </w:r>
            <w:r>
              <w:rPr>
                <w:rFonts w:hint="default" w:ascii="Times New Roman" w:hAnsi="Times New Roman" w:eastAsia="宋体" w:cs="Times New Roman"/>
                <w:color w:val="auto"/>
                <w:kern w:val="2"/>
                <w:sz w:val="24"/>
                <w:szCs w:val="24"/>
                <w:highlight w:val="none"/>
                <w:lang w:val="en-US" w:eastAsia="zh-CN" w:bidi="ar-SA"/>
              </w:rPr>
              <w:t>t/a</w:t>
            </w:r>
            <w:r>
              <w:rPr>
                <w:rFonts w:hint="eastAsia"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建设单位</w:t>
            </w:r>
            <w:r>
              <w:rPr>
                <w:rFonts w:hint="eastAsia" w:cs="Times New Roman"/>
                <w:color w:val="auto"/>
                <w:kern w:val="2"/>
                <w:sz w:val="24"/>
                <w:szCs w:val="24"/>
                <w:highlight w:val="none"/>
                <w:lang w:val="en-US" w:eastAsia="zh-CN" w:bidi="ar-SA"/>
              </w:rPr>
              <w:t>需建议申报总量指标为0.4622t/a。</w:t>
            </w:r>
            <w:r>
              <w:rPr>
                <w:rFonts w:hint="eastAsia" w:ascii="Times New Roman" w:hAnsi="Times New Roman" w:eastAsia="宋体" w:cs="Times New Roman"/>
                <w:color w:val="auto"/>
                <w:kern w:val="2"/>
                <w:sz w:val="24"/>
                <w:szCs w:val="24"/>
                <w:highlight w:val="none"/>
                <w:lang w:val="en-US" w:eastAsia="zh-CN" w:bidi="ar-SA"/>
              </w:rPr>
              <w:t>由建设单位向当地生态环境主管部门申请区域削减替代。需按照标准严格控制其排放，</w:t>
            </w:r>
            <w:r>
              <w:rPr>
                <w:rFonts w:hint="default" w:ascii="Times New Roman" w:hAnsi="Times New Roman" w:eastAsia="宋体" w:cs="Times New Roman"/>
                <w:color w:val="auto"/>
                <w:kern w:val="2"/>
                <w:sz w:val="24"/>
                <w:szCs w:val="24"/>
                <w:highlight w:val="none"/>
                <w:lang w:val="en-US" w:eastAsia="zh-CN" w:bidi="ar-SA"/>
              </w:rPr>
              <w:t>VOCs</w:t>
            </w:r>
            <w:r>
              <w:rPr>
                <w:rFonts w:hint="eastAsia" w:ascii="Times New Roman" w:hAnsi="Times New Roman" w:eastAsia="宋体" w:cs="Times New Roman"/>
                <w:color w:val="auto"/>
                <w:kern w:val="2"/>
                <w:sz w:val="24"/>
                <w:szCs w:val="24"/>
                <w:highlight w:val="none"/>
                <w:lang w:val="en-US" w:eastAsia="zh-CN" w:bidi="ar-SA"/>
              </w:rPr>
              <w:t>（非甲烷总烃）总量需要通过区域调剂来获得。最终的总量控制指标以本报告表报批生态环境主管部门后核定的总量为准。</w:t>
            </w:r>
          </w:p>
        </w:tc>
      </w:tr>
    </w:tbl>
    <w:p w14:paraId="189972C4">
      <w:pPr>
        <w:pStyle w:val="6"/>
        <w:bidi w:val="0"/>
        <w:rPr>
          <w:rFonts w:ascii="Times New Roman" w:hAnsi="Times New Roman" w:eastAsia="黑体"/>
          <w:snapToGrid w:val="0"/>
          <w:color w:val="auto"/>
          <w:sz w:val="30"/>
          <w:szCs w:val="30"/>
        </w:rPr>
      </w:pPr>
      <w:r>
        <w:rPr>
          <w:rStyle w:val="26"/>
          <w:rFonts w:hint="eastAsia" w:ascii="Times New Roman" w:hAnsi="Times New Roman"/>
          <w:color w:val="auto"/>
        </w:rPr>
        <w:br w:type="page"/>
      </w:r>
      <w:r>
        <w:rPr>
          <w:rStyle w:val="26"/>
          <w:rFonts w:hint="eastAsia" w:ascii="Times New Roman" w:hAnsi="Times New Roman"/>
          <w:color w:val="auto"/>
        </w:rPr>
        <w:t>四、主要环境影响和保护措施</w:t>
      </w:r>
    </w:p>
    <w:tbl>
      <w:tblPr>
        <w:tblStyle w:val="19"/>
        <w:tblW w:w="89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1"/>
        <w:gridCol w:w="8389"/>
      </w:tblGrid>
      <w:tr w14:paraId="452B35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591" w:type="dxa"/>
            <w:noWrap w:val="0"/>
            <w:tcMar>
              <w:left w:w="28" w:type="dxa"/>
              <w:right w:w="28" w:type="dxa"/>
            </w:tcMar>
            <w:vAlign w:val="center"/>
          </w:tcPr>
          <w:p w14:paraId="3BD8064E">
            <w:pPr>
              <w:bidi w:val="0"/>
              <w:jc w:val="center"/>
              <w:rPr>
                <w:rFonts w:hint="eastAsia" w:ascii="Times New Roman" w:hAnsi="Times New Roman"/>
                <w:color w:val="auto"/>
              </w:rPr>
            </w:pPr>
            <w:r>
              <w:rPr>
                <w:rFonts w:hint="eastAsia" w:ascii="Times New Roman" w:hAnsi="Times New Roman"/>
                <w:color w:val="auto"/>
              </w:rPr>
              <w:t>施工</w:t>
            </w:r>
          </w:p>
          <w:p w14:paraId="6645B7F8">
            <w:pPr>
              <w:bidi w:val="0"/>
              <w:jc w:val="center"/>
              <w:rPr>
                <w:rFonts w:hint="eastAsia" w:ascii="Times New Roman" w:hAnsi="Times New Roman"/>
                <w:color w:val="auto"/>
              </w:rPr>
            </w:pPr>
            <w:r>
              <w:rPr>
                <w:rFonts w:hint="eastAsia" w:ascii="Times New Roman" w:hAnsi="Times New Roman"/>
                <w:color w:val="auto"/>
              </w:rPr>
              <w:t>期环</w:t>
            </w:r>
          </w:p>
          <w:p w14:paraId="1742D0AF">
            <w:pPr>
              <w:bidi w:val="0"/>
              <w:jc w:val="center"/>
              <w:rPr>
                <w:rFonts w:hint="eastAsia" w:ascii="Times New Roman" w:hAnsi="Times New Roman"/>
                <w:color w:val="auto"/>
              </w:rPr>
            </w:pPr>
            <w:r>
              <w:rPr>
                <w:rFonts w:hint="eastAsia" w:ascii="Times New Roman" w:hAnsi="Times New Roman"/>
                <w:color w:val="auto"/>
              </w:rPr>
              <w:t>境保</w:t>
            </w:r>
          </w:p>
          <w:p w14:paraId="1844A5D2">
            <w:pPr>
              <w:bidi w:val="0"/>
              <w:jc w:val="center"/>
              <w:rPr>
                <w:rFonts w:hint="eastAsia" w:ascii="Times New Roman" w:hAnsi="Times New Roman"/>
                <w:color w:val="auto"/>
              </w:rPr>
            </w:pPr>
            <w:r>
              <w:rPr>
                <w:rFonts w:hint="eastAsia" w:ascii="Times New Roman" w:hAnsi="Times New Roman"/>
                <w:color w:val="auto"/>
              </w:rPr>
              <w:t>护措</w:t>
            </w:r>
          </w:p>
          <w:p w14:paraId="2B9B1C0D">
            <w:pPr>
              <w:bidi w:val="0"/>
              <w:jc w:val="center"/>
              <w:rPr>
                <w:rFonts w:hint="eastAsia" w:ascii="Times New Roman" w:hAnsi="Times New Roman" w:cs="宋体"/>
                <w:bCs/>
                <w:color w:val="auto"/>
                <w:kern w:val="2"/>
                <w:szCs w:val="21"/>
              </w:rPr>
            </w:pPr>
            <w:r>
              <w:rPr>
                <w:rFonts w:hint="eastAsia" w:ascii="Times New Roman" w:hAnsi="Times New Roman"/>
                <w:color w:val="auto"/>
              </w:rPr>
              <w:t>施</w:t>
            </w:r>
          </w:p>
        </w:tc>
        <w:tc>
          <w:tcPr>
            <w:tcW w:w="8389" w:type="dxa"/>
            <w:noWrap w:val="0"/>
            <w:vAlign w:val="center"/>
          </w:tcPr>
          <w:p w14:paraId="56D0F367">
            <w:pPr>
              <w:pStyle w:val="5"/>
              <w:bidi w:val="0"/>
              <w:rPr>
                <w:rFonts w:ascii="Times New Roman" w:hAnsi="Times New Roman"/>
                <w:color w:val="auto"/>
              </w:rPr>
            </w:pPr>
            <w:r>
              <w:rPr>
                <w:rFonts w:hint="eastAsia" w:ascii="Times New Roman" w:hAnsi="Times New Roman"/>
                <w:color w:val="auto"/>
                <w:lang w:val="en-US" w:eastAsia="zh-CN"/>
              </w:rPr>
              <w:t>本项目位于</w:t>
            </w:r>
            <w:r>
              <w:rPr>
                <w:rFonts w:hint="eastAsia"/>
                <w:color w:val="auto"/>
                <w:lang w:val="en-US" w:eastAsia="zh-CN"/>
              </w:rPr>
              <w:t>福建省福州市闽侯县上街镇马保村后园32号2号楼1层</w:t>
            </w:r>
            <w:r>
              <w:rPr>
                <w:rFonts w:hint="eastAsia" w:ascii="Times New Roman" w:hAnsi="Times New Roman"/>
                <w:color w:val="auto"/>
                <w:lang w:val="en-US" w:eastAsia="zh-CN"/>
              </w:rPr>
              <w:t>。厂房早已建成。项目施工期主要为设备安装、调试阶段产生的环境问题，本项目设备安装、调试简单，且时间较短，因此，随着设备安装、调试完毕后，项目施工期也将结束，施工期环境影响也</w:t>
            </w:r>
            <w:r>
              <w:rPr>
                <w:rFonts w:hint="eastAsia"/>
                <w:color w:val="auto"/>
                <w:lang w:val="en-US" w:eastAsia="zh-CN"/>
              </w:rPr>
              <w:t>随之</w:t>
            </w:r>
            <w:r>
              <w:rPr>
                <w:rFonts w:hint="eastAsia" w:ascii="Times New Roman" w:hAnsi="Times New Roman"/>
                <w:color w:val="auto"/>
                <w:lang w:val="en-US" w:eastAsia="zh-CN"/>
              </w:rPr>
              <w:t>消失，不会对周边环境噪声影响。</w:t>
            </w:r>
          </w:p>
        </w:tc>
      </w:tr>
      <w:tr w14:paraId="0CF4EF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591" w:type="dxa"/>
            <w:noWrap w:val="0"/>
            <w:tcMar>
              <w:left w:w="28" w:type="dxa"/>
              <w:right w:w="28" w:type="dxa"/>
            </w:tcMar>
            <w:vAlign w:val="center"/>
          </w:tcPr>
          <w:p w14:paraId="2E21FA58">
            <w:pPr>
              <w:adjustRightInd w:val="0"/>
              <w:snapToGrid w:val="0"/>
              <w:jc w:val="center"/>
              <w:rPr>
                <w:rFonts w:hint="eastAsia" w:ascii="Times New Roman" w:hAnsi="Times New Roman" w:cs="宋体"/>
                <w:bCs/>
                <w:color w:val="auto"/>
                <w:szCs w:val="21"/>
              </w:rPr>
            </w:pPr>
            <w:r>
              <w:rPr>
                <w:rFonts w:hint="eastAsia" w:ascii="Times New Roman" w:hAnsi="Times New Roman" w:cs="宋体"/>
                <w:bCs/>
                <w:color w:val="auto"/>
                <w:szCs w:val="21"/>
              </w:rPr>
              <w:t>运营</w:t>
            </w:r>
          </w:p>
          <w:p w14:paraId="3BAF24E9">
            <w:pPr>
              <w:adjustRightInd w:val="0"/>
              <w:snapToGrid w:val="0"/>
              <w:jc w:val="center"/>
              <w:rPr>
                <w:rFonts w:hint="eastAsia" w:ascii="Times New Roman" w:hAnsi="Times New Roman" w:cs="宋体"/>
                <w:bCs/>
                <w:color w:val="auto"/>
                <w:szCs w:val="21"/>
              </w:rPr>
            </w:pPr>
            <w:r>
              <w:rPr>
                <w:rFonts w:hint="eastAsia" w:ascii="Times New Roman" w:hAnsi="Times New Roman" w:cs="宋体"/>
                <w:bCs/>
                <w:color w:val="auto"/>
                <w:szCs w:val="21"/>
              </w:rPr>
              <w:t>期环</w:t>
            </w:r>
          </w:p>
          <w:p w14:paraId="2389CD6E">
            <w:pPr>
              <w:adjustRightInd w:val="0"/>
              <w:snapToGrid w:val="0"/>
              <w:jc w:val="center"/>
              <w:rPr>
                <w:rFonts w:hint="eastAsia" w:ascii="Times New Roman" w:hAnsi="Times New Roman" w:cs="宋体"/>
                <w:bCs/>
                <w:color w:val="auto"/>
                <w:szCs w:val="21"/>
              </w:rPr>
            </w:pPr>
            <w:r>
              <w:rPr>
                <w:rFonts w:hint="eastAsia" w:ascii="Times New Roman" w:hAnsi="Times New Roman" w:cs="宋体"/>
                <w:bCs/>
                <w:color w:val="auto"/>
                <w:szCs w:val="21"/>
              </w:rPr>
              <w:t>境影</w:t>
            </w:r>
          </w:p>
          <w:p w14:paraId="27F25B87">
            <w:pPr>
              <w:adjustRightInd w:val="0"/>
              <w:snapToGrid w:val="0"/>
              <w:jc w:val="center"/>
              <w:rPr>
                <w:rFonts w:hint="eastAsia" w:ascii="Times New Roman" w:hAnsi="Times New Roman" w:cs="宋体"/>
                <w:bCs/>
                <w:color w:val="auto"/>
                <w:szCs w:val="21"/>
              </w:rPr>
            </w:pPr>
            <w:r>
              <w:rPr>
                <w:rFonts w:hint="eastAsia" w:ascii="Times New Roman" w:hAnsi="Times New Roman" w:cs="宋体"/>
                <w:bCs/>
                <w:color w:val="auto"/>
                <w:szCs w:val="21"/>
              </w:rPr>
              <w:t>响和</w:t>
            </w:r>
          </w:p>
          <w:p w14:paraId="3F282054">
            <w:pPr>
              <w:adjustRightInd w:val="0"/>
              <w:snapToGrid w:val="0"/>
              <w:jc w:val="center"/>
              <w:rPr>
                <w:rFonts w:hint="eastAsia" w:ascii="Times New Roman" w:hAnsi="Times New Roman" w:cs="宋体"/>
                <w:bCs/>
                <w:color w:val="auto"/>
                <w:szCs w:val="21"/>
              </w:rPr>
            </w:pPr>
            <w:r>
              <w:rPr>
                <w:rFonts w:hint="eastAsia" w:ascii="Times New Roman" w:hAnsi="Times New Roman" w:cs="宋体"/>
                <w:bCs/>
                <w:color w:val="auto"/>
                <w:szCs w:val="21"/>
              </w:rPr>
              <w:t>保护</w:t>
            </w:r>
          </w:p>
          <w:p w14:paraId="710D8F02">
            <w:pPr>
              <w:adjustRightInd w:val="0"/>
              <w:snapToGrid w:val="0"/>
              <w:jc w:val="center"/>
              <w:rPr>
                <w:rFonts w:ascii="Times New Roman" w:hAnsi="Times New Roman" w:cs="宋体"/>
                <w:bCs/>
                <w:color w:val="auto"/>
                <w:szCs w:val="21"/>
              </w:rPr>
            </w:pPr>
            <w:r>
              <w:rPr>
                <w:rFonts w:hint="eastAsia" w:ascii="Times New Roman" w:hAnsi="Times New Roman" w:cs="宋体"/>
                <w:bCs/>
                <w:color w:val="auto"/>
                <w:szCs w:val="21"/>
              </w:rPr>
              <w:t>措施</w:t>
            </w:r>
          </w:p>
        </w:tc>
        <w:tc>
          <w:tcPr>
            <w:tcW w:w="8389" w:type="dxa"/>
            <w:noWrap w:val="0"/>
            <w:vAlign w:val="center"/>
          </w:tcPr>
          <w:p w14:paraId="72488A71">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75" w:name="_Toc990"/>
            <w:bookmarkStart w:id="76" w:name="_Toc30318"/>
            <w:r>
              <w:rPr>
                <w:rFonts w:hint="eastAsia" w:ascii="Times New Roman" w:hAnsi="Times New Roman" w:eastAsia="宋体" w:cs="Times New Roman"/>
                <w:b/>
                <w:color w:val="auto"/>
                <w:kern w:val="2"/>
                <w:sz w:val="28"/>
                <w:szCs w:val="24"/>
                <w:lang w:val="en-US" w:eastAsia="zh-CN" w:bidi="ar-SA"/>
              </w:rPr>
              <w:t>4.1运营期水环境影响分析和污染防治措施</w:t>
            </w:r>
            <w:bookmarkEnd w:id="75"/>
            <w:bookmarkEnd w:id="76"/>
          </w:p>
          <w:p w14:paraId="172AE884">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77" w:name="_Toc5354"/>
            <w:r>
              <w:rPr>
                <w:rFonts w:hint="eastAsia" w:ascii="Times New Roman" w:hAnsi="Times New Roman" w:eastAsia="宋体" w:cs="Times New Roman"/>
                <w:b/>
                <w:color w:val="auto"/>
                <w:kern w:val="2"/>
                <w:sz w:val="24"/>
                <w:szCs w:val="24"/>
                <w:lang w:val="en-US" w:eastAsia="zh-CN" w:bidi="ar-SA"/>
              </w:rPr>
              <w:t>4.1.1运营期废水源强核算</w:t>
            </w:r>
            <w:bookmarkEnd w:id="77"/>
          </w:p>
          <w:p w14:paraId="344914D7">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本项目产生的废水包括铣磨废水、抛光废水、磨边废水、超洗废水、镀膜冷却水、纯水槽的纯水与非纯净废水、生活污水。</w:t>
            </w:r>
          </w:p>
          <w:p w14:paraId="28EC10DD">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（1）铣磨废水</w:t>
            </w:r>
          </w:p>
          <w:p w14:paraId="22DF562F">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铣磨工序的镜片研磨机中会将光学玻璃材料进行铣磨，铣磨新鲜水使用量为</w:t>
            </w:r>
            <w:r>
              <w:rPr>
                <w:rFonts w:hint="eastAsia" w:cs="宋体"/>
                <w:color w:val="auto"/>
                <w:kern w:val="2"/>
                <w:sz w:val="24"/>
                <w:szCs w:val="24"/>
                <w:highlight w:val="none"/>
                <w:lang w:val="en-US" w:eastAsia="zh-CN" w:bidi="ar-SA"/>
              </w:rPr>
              <w:t>4</w:t>
            </w:r>
            <w:r>
              <w:rPr>
                <w:rFonts w:hint="eastAsia" w:ascii="Times New Roman" w:hAnsi="Times New Roman" w:eastAsia="宋体" w:cs="宋体"/>
                <w:color w:val="auto"/>
                <w:kern w:val="2"/>
                <w:sz w:val="24"/>
                <w:szCs w:val="24"/>
                <w:highlight w:val="none"/>
                <w:lang w:val="en-US" w:eastAsia="zh-CN" w:bidi="ar-SA"/>
              </w:rPr>
              <w:t>00t/a，废水产生量为</w:t>
            </w:r>
            <w:r>
              <w:rPr>
                <w:rFonts w:hint="eastAsia" w:cs="宋体"/>
                <w:color w:val="auto"/>
                <w:kern w:val="2"/>
                <w:sz w:val="24"/>
                <w:szCs w:val="24"/>
                <w:highlight w:val="none"/>
                <w:lang w:val="en-US" w:eastAsia="zh-CN" w:bidi="ar-SA"/>
              </w:rPr>
              <w:t>4</w:t>
            </w:r>
            <w:r>
              <w:rPr>
                <w:rFonts w:hint="eastAsia" w:ascii="Times New Roman" w:hAnsi="Times New Roman" w:eastAsia="宋体" w:cs="宋体"/>
                <w:color w:val="auto"/>
                <w:kern w:val="2"/>
                <w:sz w:val="24"/>
                <w:szCs w:val="24"/>
                <w:highlight w:val="none"/>
                <w:lang w:val="en-US" w:eastAsia="zh-CN" w:bidi="ar-SA"/>
              </w:rPr>
              <w:t>00t/a，</w:t>
            </w:r>
            <w:r>
              <w:rPr>
                <w:rFonts w:hint="eastAsia" w:ascii="Times New Roman" w:hAnsi="Times New Roman" w:eastAsia="宋体" w:cs="Times New Roman"/>
                <w:color w:val="auto"/>
                <w:sz w:val="24"/>
                <w:szCs w:val="20"/>
                <w:highlight w:val="none"/>
                <w:lang w:val="en-US" w:eastAsia="zh-CN"/>
              </w:rPr>
              <w:t>经过三级沉淀池沉淀处理达标后排入市政管网，纳入大学城污水处理厂。</w:t>
            </w:r>
            <w:r>
              <w:rPr>
                <w:rFonts w:hint="eastAsia" w:ascii="Times New Roman" w:hAnsi="Times New Roman" w:eastAsia="宋体" w:cs="宋体"/>
                <w:color w:val="auto"/>
                <w:kern w:val="2"/>
                <w:sz w:val="24"/>
                <w:szCs w:val="24"/>
                <w:highlight w:val="none"/>
                <w:lang w:val="en-US" w:eastAsia="zh-CN" w:bidi="ar-SA"/>
              </w:rPr>
              <w:t>参照《排放源统计调查产排污核算方法和系数手册》中《3052光学玻璃制造行业系数手册》切削打磨的废水产污系数，化学需氧量产污系数为410克/吨</w:t>
            </w:r>
            <w:r>
              <w:rPr>
                <w:rFonts w:hint="eastAsia"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产品，透镜：年产量50万片，单片重0.90g，总重450000g（450kg）；平面镜：年产量30万片，单片重0.70g，总重210000g（210kg）；棱镜：年产量20万片，单片重1.00g，总重200000g（200kg）；波片：年产量50万片，单片重</w:t>
            </w:r>
            <w:r>
              <w:rPr>
                <w:rFonts w:hint="eastAsia" w:cs="宋体"/>
                <w:color w:val="auto"/>
                <w:kern w:val="2"/>
                <w:sz w:val="24"/>
                <w:szCs w:val="24"/>
                <w:highlight w:val="none"/>
                <w:lang w:val="en-US" w:eastAsia="zh-CN" w:bidi="ar-SA"/>
              </w:rPr>
              <w:t>1.2</w:t>
            </w:r>
            <w:r>
              <w:rPr>
                <w:rFonts w:hint="eastAsia" w:ascii="Times New Roman" w:hAnsi="Times New Roman" w:eastAsia="宋体" w:cs="宋体"/>
                <w:color w:val="auto"/>
                <w:kern w:val="2"/>
                <w:sz w:val="24"/>
                <w:szCs w:val="24"/>
                <w:highlight w:val="none"/>
                <w:lang w:val="en-US" w:eastAsia="zh-CN" w:bidi="ar-SA"/>
              </w:rPr>
              <w:t>0g，总重300000g（300kg）；滤光片：年产量30万片，单片重</w:t>
            </w:r>
            <w:r>
              <w:rPr>
                <w:rFonts w:hint="eastAsia" w:cs="宋体"/>
                <w:color w:val="auto"/>
                <w:kern w:val="2"/>
                <w:sz w:val="24"/>
                <w:szCs w:val="24"/>
                <w:highlight w:val="none"/>
                <w:lang w:val="en-US" w:eastAsia="zh-CN" w:bidi="ar-SA"/>
              </w:rPr>
              <w:t>1.2</w:t>
            </w:r>
            <w:r>
              <w:rPr>
                <w:rFonts w:hint="eastAsia" w:ascii="Times New Roman" w:hAnsi="Times New Roman" w:eastAsia="宋体" w:cs="宋体"/>
                <w:color w:val="auto"/>
                <w:kern w:val="2"/>
                <w:sz w:val="24"/>
                <w:szCs w:val="24"/>
                <w:highlight w:val="none"/>
                <w:lang w:val="en-US" w:eastAsia="zh-CN" w:bidi="ar-SA"/>
              </w:rPr>
              <w:t>0g，总重180000g（180kg）；反射镜：年产量20万片，单片重0.80g，总重160000g（160kg），则项目产品产能为1.5t/a，则COD产生量为0.00062t/a。</w:t>
            </w:r>
          </w:p>
          <w:p w14:paraId="24379CBA">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（2）抛光废水</w:t>
            </w:r>
          </w:p>
          <w:p w14:paraId="42A3F582">
            <w:pPr>
              <w:widowControl w:val="0"/>
              <w:bidi w:val="0"/>
              <w:spacing w:line="360" w:lineRule="auto"/>
              <w:ind w:firstLine="480" w:firstLineChars="200"/>
              <w:jc w:val="both"/>
              <w:rPr>
                <w:rFonts w:hint="default" w:ascii="Times New Roman" w:hAnsi="Times New Roman" w:eastAsia="宋体" w:cs="宋体"/>
                <w:color w:val="auto"/>
                <w:kern w:val="2"/>
                <w:sz w:val="24"/>
                <w:szCs w:val="24"/>
                <w:highlight w:val="none"/>
                <w:lang w:val="en-US" w:eastAsia="zh-CN" w:bidi="ar-SA"/>
              </w:rPr>
            </w:pPr>
            <w:r>
              <w:rPr>
                <w:rFonts w:hint="default" w:ascii="Times New Roman" w:hAnsi="Times New Roman" w:eastAsia="宋体" w:cs="宋体"/>
                <w:color w:val="auto"/>
                <w:kern w:val="2"/>
                <w:sz w:val="24"/>
                <w:szCs w:val="24"/>
                <w:highlight w:val="none"/>
                <w:lang w:val="en-US" w:eastAsia="zh-CN" w:bidi="ar-SA"/>
              </w:rPr>
              <w:t>项目抛光工序中新鲜水使用量为</w:t>
            </w:r>
            <w:r>
              <w:rPr>
                <w:rFonts w:hint="eastAsia" w:cs="宋体"/>
                <w:color w:val="auto"/>
                <w:kern w:val="2"/>
                <w:sz w:val="24"/>
                <w:szCs w:val="24"/>
                <w:highlight w:val="none"/>
                <w:lang w:val="en-US" w:eastAsia="zh-CN" w:bidi="ar-SA"/>
              </w:rPr>
              <w:t>16</w:t>
            </w:r>
            <w:r>
              <w:rPr>
                <w:rFonts w:hint="eastAsia" w:ascii="Times New Roman" w:hAnsi="Times New Roman" w:eastAsia="宋体" w:cs="宋体"/>
                <w:color w:val="auto"/>
                <w:kern w:val="2"/>
                <w:sz w:val="24"/>
                <w:szCs w:val="24"/>
                <w:highlight w:val="none"/>
                <w:lang w:val="en-US" w:eastAsia="zh-CN" w:bidi="ar-SA"/>
              </w:rPr>
              <w:t>00</w:t>
            </w:r>
            <w:r>
              <w:rPr>
                <w:rFonts w:hint="default" w:ascii="Times New Roman" w:hAnsi="Times New Roman" w:eastAsia="宋体" w:cs="宋体"/>
                <w:color w:val="auto"/>
                <w:kern w:val="2"/>
                <w:sz w:val="24"/>
                <w:szCs w:val="24"/>
                <w:highlight w:val="none"/>
                <w:lang w:val="en-US" w:eastAsia="zh-CN" w:bidi="ar-SA"/>
              </w:rPr>
              <w:t>t/a，废水产生量为</w:t>
            </w:r>
            <w:r>
              <w:rPr>
                <w:rFonts w:hint="eastAsia" w:cs="宋体"/>
                <w:color w:val="auto"/>
                <w:kern w:val="2"/>
                <w:sz w:val="24"/>
                <w:szCs w:val="24"/>
                <w:highlight w:val="none"/>
                <w:lang w:val="en-US" w:eastAsia="zh-CN" w:bidi="ar-SA"/>
              </w:rPr>
              <w:t>16</w:t>
            </w:r>
            <w:r>
              <w:rPr>
                <w:rFonts w:hint="eastAsia" w:ascii="Times New Roman" w:hAnsi="Times New Roman" w:eastAsia="宋体" w:cs="宋体"/>
                <w:color w:val="auto"/>
                <w:kern w:val="2"/>
                <w:sz w:val="24"/>
                <w:szCs w:val="24"/>
                <w:highlight w:val="none"/>
                <w:lang w:val="en-US" w:eastAsia="zh-CN" w:bidi="ar-SA"/>
              </w:rPr>
              <w:t>00</w:t>
            </w:r>
            <w:r>
              <w:rPr>
                <w:rFonts w:hint="default" w:ascii="Times New Roman" w:hAnsi="Times New Roman" w:eastAsia="宋体" w:cs="宋体"/>
                <w:color w:val="auto"/>
                <w:kern w:val="2"/>
                <w:sz w:val="24"/>
                <w:szCs w:val="24"/>
                <w:highlight w:val="none"/>
                <w:lang w:val="en-US" w:eastAsia="zh-CN" w:bidi="ar-SA"/>
              </w:rPr>
              <w:t>t/a，</w:t>
            </w:r>
            <w:r>
              <w:rPr>
                <w:rFonts w:hint="eastAsia" w:ascii="Times New Roman" w:hAnsi="Times New Roman" w:eastAsia="宋体" w:cs="宋体"/>
                <w:color w:val="auto"/>
                <w:kern w:val="2"/>
                <w:sz w:val="24"/>
                <w:szCs w:val="24"/>
                <w:highlight w:val="none"/>
                <w:lang w:val="en-US" w:eastAsia="zh-CN" w:bidi="ar-SA"/>
              </w:rPr>
              <w:t>抛光废水</w:t>
            </w:r>
            <w:r>
              <w:rPr>
                <w:rFonts w:hint="eastAsia" w:ascii="Times New Roman" w:hAnsi="Times New Roman" w:eastAsia="宋体" w:cs="Times New Roman"/>
                <w:color w:val="auto"/>
                <w:sz w:val="24"/>
                <w:szCs w:val="20"/>
                <w:highlight w:val="none"/>
                <w:lang w:val="en-US" w:eastAsia="zh-CN"/>
              </w:rPr>
              <w:t>经过三级沉淀池沉淀处理达标后排入市政管网，纳入大学城污水处理厂。</w:t>
            </w:r>
            <w:r>
              <w:rPr>
                <w:rFonts w:hint="eastAsia" w:ascii="Times New Roman" w:hAnsi="Times New Roman" w:eastAsia="宋体" w:cs="宋体"/>
                <w:color w:val="auto"/>
                <w:kern w:val="2"/>
                <w:sz w:val="24"/>
                <w:szCs w:val="24"/>
                <w:highlight w:val="none"/>
                <w:lang w:val="en-US" w:eastAsia="zh-CN" w:bidi="ar-SA"/>
              </w:rPr>
              <w:t>参考《排放源统计调查产排污核算方法和系数手册》中《38-40电子电气行业系数手册》抛光工序的废水产污系数，化学需氧量产污系数为1.039×10</w:t>
            </w:r>
            <w:r>
              <w:rPr>
                <w:rFonts w:hint="eastAsia" w:ascii="Times New Roman" w:hAnsi="Times New Roman" w:eastAsia="宋体" w:cs="宋体"/>
                <w:color w:val="auto"/>
                <w:kern w:val="2"/>
                <w:sz w:val="24"/>
                <w:szCs w:val="24"/>
                <w:highlight w:val="none"/>
                <w:vertAlign w:val="superscript"/>
                <w:lang w:val="en-US" w:eastAsia="zh-CN" w:bidi="ar-SA"/>
              </w:rPr>
              <w:t>2</w:t>
            </w:r>
            <w:r>
              <w:rPr>
                <w:rFonts w:hint="eastAsia" w:ascii="Times New Roman" w:hAnsi="Times New Roman" w:eastAsia="宋体" w:cs="宋体"/>
                <w:color w:val="auto"/>
                <w:kern w:val="2"/>
                <w:sz w:val="24"/>
                <w:szCs w:val="24"/>
                <w:highlight w:val="none"/>
                <w:lang w:val="en-US" w:eastAsia="zh-CN" w:bidi="ar-SA"/>
              </w:rPr>
              <w:t>g/kg</w:t>
            </w:r>
            <w:r>
              <w:rPr>
                <w:rFonts w:hint="eastAsia"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原料，氨氮产污系数为7.337×10</w:t>
            </w:r>
            <w:r>
              <w:rPr>
                <w:rFonts w:hint="eastAsia"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vertAlign w:val="superscript"/>
                <w:lang w:val="en-US" w:eastAsia="zh-CN" w:bidi="ar-SA"/>
              </w:rPr>
              <w:t>1</w:t>
            </w:r>
            <w:r>
              <w:rPr>
                <w:rFonts w:hint="eastAsia" w:ascii="Times New Roman" w:hAnsi="Times New Roman" w:eastAsia="宋体" w:cs="宋体"/>
                <w:color w:val="auto"/>
                <w:kern w:val="2"/>
                <w:sz w:val="24"/>
                <w:szCs w:val="24"/>
                <w:highlight w:val="none"/>
                <w:lang w:val="en-US" w:eastAsia="zh-CN" w:bidi="ar-SA"/>
              </w:rPr>
              <w:t>g/kg</w:t>
            </w:r>
            <w:r>
              <w:rPr>
                <w:rFonts w:hint="eastAsia"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原料，项目抛光粉使用量为0.9</w:t>
            </w:r>
            <w:r>
              <w:rPr>
                <w:rFonts w:hint="eastAsia" w:cs="宋体"/>
                <w:color w:val="auto"/>
                <w:kern w:val="2"/>
                <w:sz w:val="24"/>
                <w:szCs w:val="24"/>
                <w:highlight w:val="none"/>
                <w:lang w:val="en-US" w:eastAsia="zh-CN" w:bidi="ar-SA"/>
              </w:rPr>
              <w:t>6</w:t>
            </w:r>
            <w:r>
              <w:rPr>
                <w:rFonts w:hint="eastAsia" w:ascii="Times New Roman" w:hAnsi="Times New Roman" w:eastAsia="宋体" w:cs="宋体"/>
                <w:color w:val="auto"/>
                <w:kern w:val="2"/>
                <w:sz w:val="24"/>
                <w:szCs w:val="24"/>
                <w:highlight w:val="none"/>
                <w:lang w:val="en-US" w:eastAsia="zh-CN" w:bidi="ar-SA"/>
              </w:rPr>
              <w:t>t/a，则化学需氧量产生量为0.0</w:t>
            </w:r>
            <w:r>
              <w:rPr>
                <w:rFonts w:hint="eastAsia" w:cs="宋体"/>
                <w:color w:val="auto"/>
                <w:kern w:val="2"/>
                <w:sz w:val="24"/>
                <w:szCs w:val="24"/>
                <w:highlight w:val="none"/>
                <w:lang w:val="en-US" w:eastAsia="zh-CN" w:bidi="ar-SA"/>
              </w:rPr>
              <w:t>998</w:t>
            </w:r>
            <w:r>
              <w:rPr>
                <w:rFonts w:hint="eastAsia" w:ascii="Times New Roman" w:hAnsi="Times New Roman" w:eastAsia="宋体" w:cs="宋体"/>
                <w:color w:val="auto"/>
                <w:kern w:val="2"/>
                <w:sz w:val="24"/>
                <w:szCs w:val="24"/>
                <w:highlight w:val="none"/>
                <w:lang w:val="en-US" w:eastAsia="zh-CN" w:bidi="ar-SA"/>
              </w:rPr>
              <w:t>t/a，氨氮产生量为0.000</w:t>
            </w:r>
            <w:r>
              <w:rPr>
                <w:rFonts w:hint="eastAsia" w:cs="宋体"/>
                <w:color w:val="auto"/>
                <w:kern w:val="2"/>
                <w:sz w:val="24"/>
                <w:szCs w:val="24"/>
                <w:highlight w:val="none"/>
                <w:lang w:val="en-US" w:eastAsia="zh-CN" w:bidi="ar-SA"/>
              </w:rPr>
              <w:t>71</w:t>
            </w:r>
            <w:r>
              <w:rPr>
                <w:rFonts w:hint="eastAsia" w:ascii="Times New Roman" w:hAnsi="Times New Roman" w:eastAsia="宋体" w:cs="宋体"/>
                <w:color w:val="auto"/>
                <w:kern w:val="2"/>
                <w:sz w:val="24"/>
                <w:szCs w:val="24"/>
                <w:highlight w:val="none"/>
                <w:lang w:val="en-US" w:eastAsia="zh-CN" w:bidi="ar-SA"/>
              </w:rPr>
              <w:t>t/a。</w:t>
            </w:r>
          </w:p>
          <w:p w14:paraId="27C80A9A">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（3）磨边废水</w:t>
            </w:r>
          </w:p>
          <w:p w14:paraId="10519AE4">
            <w:pPr>
              <w:widowControl w:val="0"/>
              <w:bidi w:val="0"/>
              <w:spacing w:line="360" w:lineRule="auto"/>
              <w:ind w:firstLine="480" w:firstLineChars="200"/>
              <w:jc w:val="both"/>
              <w:rPr>
                <w:rFonts w:hint="default" w:ascii="Times New Roman" w:hAnsi="Times New Roman" w:eastAsia="宋体" w:cs="宋体"/>
                <w:color w:val="auto"/>
                <w:kern w:val="2"/>
                <w:sz w:val="24"/>
                <w:szCs w:val="24"/>
                <w:highlight w:val="none"/>
                <w:lang w:val="en-US" w:eastAsia="zh-CN" w:bidi="ar-SA"/>
              </w:rPr>
            </w:pPr>
            <w:r>
              <w:rPr>
                <w:rFonts w:hint="default" w:ascii="Times New Roman" w:hAnsi="Times New Roman" w:eastAsia="宋体" w:cs="宋体"/>
                <w:color w:val="auto"/>
                <w:kern w:val="2"/>
                <w:sz w:val="24"/>
                <w:szCs w:val="24"/>
                <w:highlight w:val="none"/>
                <w:lang w:val="en-US" w:eastAsia="zh-CN" w:bidi="ar-SA"/>
              </w:rPr>
              <w:t>磨边工序新鲜水使用量为</w:t>
            </w:r>
            <w:r>
              <w:rPr>
                <w:rFonts w:hint="eastAsia" w:cs="宋体"/>
                <w:color w:val="auto"/>
                <w:kern w:val="2"/>
                <w:sz w:val="24"/>
                <w:szCs w:val="24"/>
                <w:highlight w:val="none"/>
                <w:lang w:val="en-US" w:eastAsia="zh-CN" w:bidi="ar-SA"/>
              </w:rPr>
              <w:t>8</w:t>
            </w:r>
            <w:r>
              <w:rPr>
                <w:rFonts w:hint="eastAsia" w:ascii="Times New Roman" w:hAnsi="Times New Roman" w:eastAsia="宋体" w:cs="宋体"/>
                <w:color w:val="auto"/>
                <w:kern w:val="2"/>
                <w:sz w:val="24"/>
                <w:szCs w:val="24"/>
                <w:highlight w:val="none"/>
                <w:lang w:val="en-US" w:eastAsia="zh-CN" w:bidi="ar-SA"/>
              </w:rPr>
              <w:t>00</w:t>
            </w:r>
            <w:r>
              <w:rPr>
                <w:rFonts w:hint="default" w:ascii="Times New Roman" w:hAnsi="Times New Roman" w:eastAsia="宋体" w:cs="宋体"/>
                <w:color w:val="auto"/>
                <w:kern w:val="2"/>
                <w:sz w:val="24"/>
                <w:szCs w:val="24"/>
                <w:highlight w:val="none"/>
                <w:lang w:val="en-US" w:eastAsia="zh-CN" w:bidi="ar-SA"/>
              </w:rPr>
              <w:t>t/a，磨边废水产生量为</w:t>
            </w:r>
            <w:r>
              <w:rPr>
                <w:rFonts w:hint="eastAsia" w:cs="宋体"/>
                <w:color w:val="auto"/>
                <w:kern w:val="2"/>
                <w:sz w:val="24"/>
                <w:szCs w:val="24"/>
                <w:highlight w:val="none"/>
                <w:lang w:val="en-US" w:eastAsia="zh-CN" w:bidi="ar-SA"/>
              </w:rPr>
              <w:t>8</w:t>
            </w:r>
            <w:r>
              <w:rPr>
                <w:rFonts w:hint="eastAsia" w:ascii="Times New Roman" w:hAnsi="Times New Roman" w:eastAsia="宋体" w:cs="宋体"/>
                <w:color w:val="auto"/>
                <w:kern w:val="2"/>
                <w:sz w:val="24"/>
                <w:szCs w:val="24"/>
                <w:highlight w:val="none"/>
                <w:lang w:val="en-US" w:eastAsia="zh-CN" w:bidi="ar-SA"/>
              </w:rPr>
              <w:t>00</w:t>
            </w:r>
            <w:r>
              <w:rPr>
                <w:rFonts w:hint="default" w:ascii="Times New Roman" w:hAnsi="Times New Roman" w:eastAsia="宋体" w:cs="宋体"/>
                <w:color w:val="auto"/>
                <w:kern w:val="2"/>
                <w:sz w:val="24"/>
                <w:szCs w:val="24"/>
                <w:highlight w:val="none"/>
                <w:lang w:val="en-US" w:eastAsia="zh-CN" w:bidi="ar-SA"/>
              </w:rPr>
              <w:t>t/a，产生的废水</w:t>
            </w:r>
            <w:r>
              <w:rPr>
                <w:rFonts w:hint="eastAsia" w:ascii="Times New Roman" w:hAnsi="Times New Roman" w:eastAsia="宋体" w:cs="Times New Roman"/>
                <w:color w:val="auto"/>
                <w:sz w:val="24"/>
                <w:szCs w:val="20"/>
                <w:highlight w:val="none"/>
                <w:lang w:val="en-US" w:eastAsia="zh-CN"/>
              </w:rPr>
              <w:t>经过三级沉淀池沉淀处理达标后排入市政管网，纳入大学城污水处理厂。</w:t>
            </w:r>
            <w:r>
              <w:rPr>
                <w:rFonts w:hint="default" w:ascii="Times New Roman" w:hAnsi="Times New Roman" w:eastAsia="宋体" w:cs="宋体"/>
                <w:color w:val="auto"/>
                <w:kern w:val="2"/>
                <w:sz w:val="24"/>
                <w:szCs w:val="24"/>
                <w:highlight w:val="none"/>
                <w:lang w:val="en-US" w:eastAsia="zh-CN" w:bidi="ar-SA"/>
              </w:rPr>
              <w:t>参照《排放源统计调查产排污核算方法和系数手册》中《38-40电子电气行业系数手册》</w:t>
            </w:r>
            <w:r>
              <w:rPr>
                <w:rFonts w:hint="eastAsia" w:ascii="Times New Roman" w:hAnsi="Times New Roman" w:eastAsia="宋体" w:cs="宋体"/>
                <w:color w:val="auto"/>
                <w:kern w:val="2"/>
                <w:sz w:val="24"/>
                <w:szCs w:val="24"/>
                <w:highlight w:val="none"/>
                <w:lang w:val="en-US" w:eastAsia="zh-CN" w:bidi="ar-SA"/>
              </w:rPr>
              <w:t>切片、研磨</w:t>
            </w:r>
            <w:r>
              <w:rPr>
                <w:rFonts w:hint="default" w:ascii="Times New Roman" w:hAnsi="Times New Roman" w:eastAsia="宋体" w:cs="宋体"/>
                <w:color w:val="auto"/>
                <w:kern w:val="2"/>
                <w:sz w:val="24"/>
                <w:szCs w:val="24"/>
                <w:highlight w:val="none"/>
                <w:lang w:val="en-US" w:eastAsia="zh-CN" w:bidi="ar-SA"/>
              </w:rPr>
              <w:t>的废水产污系数</w:t>
            </w:r>
            <w:r>
              <w:rPr>
                <w:rFonts w:hint="eastAsia" w:ascii="Times New Roman" w:hAnsi="Times New Roman" w:eastAsia="宋体" w:cs="宋体"/>
                <w:color w:val="auto"/>
                <w:kern w:val="2"/>
                <w:sz w:val="24"/>
                <w:szCs w:val="24"/>
                <w:highlight w:val="none"/>
                <w:lang w:val="en-US" w:eastAsia="zh-CN" w:bidi="ar-SA"/>
              </w:rPr>
              <w:t>，化学需氧量产污系数为2.092×10</w:t>
            </w:r>
            <w:r>
              <w:rPr>
                <w:rFonts w:hint="eastAsia" w:ascii="Times New Roman" w:hAnsi="Times New Roman" w:eastAsia="宋体" w:cs="宋体"/>
                <w:color w:val="auto"/>
                <w:kern w:val="2"/>
                <w:sz w:val="24"/>
                <w:szCs w:val="24"/>
                <w:highlight w:val="none"/>
                <w:vertAlign w:val="superscript"/>
                <w:lang w:val="en-US" w:eastAsia="zh-CN" w:bidi="ar-SA"/>
              </w:rPr>
              <w:t>2</w:t>
            </w:r>
            <w:r>
              <w:rPr>
                <w:rFonts w:hint="eastAsia" w:ascii="Times New Roman" w:hAnsi="Times New Roman" w:eastAsia="宋体" w:cs="宋体"/>
                <w:color w:val="auto"/>
                <w:kern w:val="2"/>
                <w:sz w:val="24"/>
                <w:szCs w:val="24"/>
                <w:highlight w:val="none"/>
                <w:lang w:val="en-US" w:eastAsia="zh-CN" w:bidi="ar-SA"/>
              </w:rPr>
              <w:t>克/千克</w:t>
            </w:r>
            <w:r>
              <w:rPr>
                <w:rFonts w:hint="eastAsia"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原料，氨氮产污系数为4.456×10</w:t>
            </w:r>
            <w:r>
              <w:rPr>
                <w:rFonts w:hint="eastAsia"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vertAlign w:val="superscript"/>
                <w:lang w:val="en-US" w:eastAsia="zh-CN" w:bidi="ar-SA"/>
              </w:rPr>
              <w:t>1</w:t>
            </w:r>
            <w:r>
              <w:rPr>
                <w:rFonts w:hint="eastAsia" w:ascii="Times New Roman" w:hAnsi="Times New Roman" w:eastAsia="宋体" w:cs="宋体"/>
                <w:color w:val="auto"/>
                <w:kern w:val="2"/>
                <w:sz w:val="24"/>
                <w:szCs w:val="24"/>
                <w:highlight w:val="none"/>
                <w:lang w:val="en-US" w:eastAsia="zh-CN" w:bidi="ar-SA"/>
              </w:rPr>
              <w:t>克/千克</w:t>
            </w:r>
            <w:r>
              <w:rPr>
                <w:rFonts w:hint="eastAsia"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原料，项目磨削液使用量为</w:t>
            </w:r>
            <w:r>
              <w:rPr>
                <w:rFonts w:hint="eastAsia" w:cs="宋体"/>
                <w:color w:val="auto"/>
                <w:kern w:val="2"/>
                <w:sz w:val="24"/>
                <w:szCs w:val="24"/>
                <w:highlight w:val="none"/>
                <w:lang w:val="en-US" w:eastAsia="zh-CN" w:bidi="ar-SA"/>
              </w:rPr>
              <w:t>1.2</w:t>
            </w:r>
            <w:r>
              <w:rPr>
                <w:rFonts w:hint="eastAsia" w:ascii="Times New Roman" w:hAnsi="Times New Roman" w:eastAsia="宋体" w:cs="宋体"/>
                <w:color w:val="auto"/>
                <w:kern w:val="2"/>
                <w:sz w:val="24"/>
                <w:szCs w:val="24"/>
                <w:highlight w:val="none"/>
                <w:lang w:val="en-US" w:eastAsia="zh-CN" w:bidi="ar-SA"/>
              </w:rPr>
              <w:t>t/a，则化学需氧量产生量为0.</w:t>
            </w:r>
            <w:r>
              <w:rPr>
                <w:rFonts w:hint="eastAsia" w:cs="宋体"/>
                <w:color w:val="auto"/>
                <w:kern w:val="2"/>
                <w:sz w:val="24"/>
                <w:szCs w:val="24"/>
                <w:highlight w:val="none"/>
                <w:lang w:val="en-US" w:eastAsia="zh-CN" w:bidi="ar-SA"/>
              </w:rPr>
              <w:t>1255</w:t>
            </w:r>
            <w:r>
              <w:rPr>
                <w:rFonts w:hint="eastAsia" w:ascii="Times New Roman" w:hAnsi="Times New Roman" w:eastAsia="宋体" w:cs="宋体"/>
                <w:color w:val="auto"/>
                <w:kern w:val="2"/>
                <w:sz w:val="24"/>
                <w:szCs w:val="24"/>
                <w:highlight w:val="none"/>
                <w:lang w:val="en-US" w:eastAsia="zh-CN" w:bidi="ar-SA"/>
              </w:rPr>
              <w:t>t/a，氨氮产生量为0.000</w:t>
            </w:r>
            <w:r>
              <w:rPr>
                <w:rFonts w:hint="eastAsia" w:cs="宋体"/>
                <w:color w:val="auto"/>
                <w:kern w:val="2"/>
                <w:sz w:val="24"/>
                <w:szCs w:val="24"/>
                <w:highlight w:val="none"/>
                <w:lang w:val="en-US" w:eastAsia="zh-CN" w:bidi="ar-SA"/>
              </w:rPr>
              <w:t>27</w:t>
            </w:r>
            <w:r>
              <w:rPr>
                <w:rFonts w:hint="eastAsia" w:ascii="Times New Roman" w:hAnsi="Times New Roman" w:eastAsia="宋体" w:cs="宋体"/>
                <w:color w:val="auto"/>
                <w:kern w:val="2"/>
                <w:sz w:val="24"/>
                <w:szCs w:val="24"/>
                <w:highlight w:val="none"/>
                <w:lang w:val="en-US" w:eastAsia="zh-CN" w:bidi="ar-SA"/>
              </w:rPr>
              <w:t>t/a。</w:t>
            </w:r>
          </w:p>
          <w:p w14:paraId="79A62D0B">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（4）超洗废水</w:t>
            </w:r>
          </w:p>
          <w:p w14:paraId="149F6D37">
            <w:pPr>
              <w:widowControl w:val="0"/>
              <w:bidi w:val="0"/>
              <w:spacing w:line="360" w:lineRule="auto"/>
              <w:ind w:firstLine="480" w:firstLineChars="200"/>
              <w:jc w:val="both"/>
              <w:rPr>
                <w:rFonts w:hint="default" w:ascii="Times New Roman" w:hAnsi="Times New Roman" w:cs="Times New Roman"/>
                <w:color w:val="auto"/>
                <w:highlight w:val="none"/>
                <w:lang w:val="en-US" w:eastAsia="zh-CN"/>
              </w:rPr>
            </w:pPr>
            <w:r>
              <w:rPr>
                <w:rFonts w:hint="default" w:ascii="Times New Roman" w:hAnsi="Times New Roman" w:eastAsia="宋体" w:cs="宋体"/>
                <w:color w:val="auto"/>
                <w:kern w:val="2"/>
                <w:sz w:val="24"/>
                <w:szCs w:val="24"/>
                <w:highlight w:val="none"/>
                <w:lang w:val="en-US" w:eastAsia="zh-CN" w:bidi="ar-SA"/>
              </w:rPr>
              <w:t>本工序</w:t>
            </w:r>
            <w:r>
              <w:rPr>
                <w:rFonts w:hint="eastAsia" w:ascii="Times New Roman" w:hAnsi="Times New Roman" w:cs="宋体"/>
                <w:color w:val="auto"/>
                <w:kern w:val="2"/>
                <w:sz w:val="24"/>
                <w:szCs w:val="24"/>
                <w:highlight w:val="none"/>
                <w:lang w:val="en-US" w:eastAsia="zh-CN" w:bidi="ar-SA"/>
              </w:rPr>
              <w:t>纯水</w:t>
            </w:r>
            <w:r>
              <w:rPr>
                <w:rFonts w:hint="eastAsia" w:ascii="Times New Roman" w:hAnsi="Times New Roman" w:eastAsia="宋体" w:cs="宋体"/>
                <w:color w:val="auto"/>
                <w:kern w:val="2"/>
                <w:sz w:val="24"/>
                <w:szCs w:val="24"/>
                <w:highlight w:val="none"/>
                <w:lang w:val="en-US" w:eastAsia="zh-CN" w:bidi="ar-SA"/>
              </w:rPr>
              <w:t>制备</w:t>
            </w:r>
            <w:r>
              <w:rPr>
                <w:rFonts w:hint="eastAsia" w:ascii="Times New Roman" w:hAnsi="Times New Roman" w:cs="宋体"/>
                <w:color w:val="auto"/>
                <w:kern w:val="2"/>
                <w:sz w:val="24"/>
                <w:szCs w:val="24"/>
                <w:highlight w:val="none"/>
                <w:lang w:val="en-US" w:eastAsia="zh-CN" w:bidi="ar-SA"/>
              </w:rPr>
              <w:t>使用</w:t>
            </w:r>
            <w:r>
              <w:rPr>
                <w:rFonts w:hint="eastAsia" w:cs="宋体"/>
                <w:color w:val="auto"/>
                <w:kern w:val="2"/>
                <w:sz w:val="24"/>
                <w:szCs w:val="24"/>
                <w:highlight w:val="none"/>
                <w:lang w:val="en-US" w:eastAsia="zh-CN" w:bidi="ar-SA"/>
              </w:rPr>
              <w:t>24</w:t>
            </w:r>
            <w:r>
              <w:rPr>
                <w:rFonts w:hint="eastAsia" w:ascii="Times New Roman" w:hAnsi="Times New Roman" w:cs="宋体"/>
                <w:color w:val="auto"/>
                <w:kern w:val="2"/>
                <w:sz w:val="24"/>
                <w:szCs w:val="24"/>
                <w:highlight w:val="none"/>
                <w:lang w:val="en-US" w:eastAsia="zh-CN" w:bidi="ar-SA"/>
              </w:rPr>
              <w:t>00</w:t>
            </w:r>
            <w:r>
              <w:rPr>
                <w:rFonts w:hint="eastAsia" w:ascii="Times New Roman" w:hAnsi="Times New Roman" w:eastAsia="宋体" w:cs="宋体"/>
                <w:color w:val="auto"/>
                <w:kern w:val="2"/>
                <w:sz w:val="24"/>
                <w:szCs w:val="24"/>
                <w:highlight w:val="none"/>
                <w:lang w:val="en-US" w:eastAsia="zh-CN" w:bidi="ar-SA"/>
              </w:rPr>
              <w:t>t/a</w:t>
            </w:r>
            <w:r>
              <w:rPr>
                <w:rFonts w:hint="eastAsia" w:ascii="Times New Roman" w:hAnsi="Times New Roman" w:cs="宋体"/>
                <w:color w:val="auto"/>
                <w:kern w:val="2"/>
                <w:sz w:val="24"/>
                <w:szCs w:val="24"/>
                <w:highlight w:val="none"/>
                <w:lang w:val="en-US" w:eastAsia="zh-CN" w:bidi="ar-SA"/>
              </w:rPr>
              <w:t>新鲜水，</w:t>
            </w:r>
            <w:r>
              <w:rPr>
                <w:rFonts w:hint="eastAsia" w:ascii="Times New Roman" w:hAnsi="Times New Roman" w:eastAsia="宋体" w:cs="宋体"/>
                <w:color w:val="auto"/>
                <w:kern w:val="2"/>
                <w:sz w:val="24"/>
                <w:szCs w:val="24"/>
                <w:highlight w:val="none"/>
                <w:lang w:val="en-US" w:eastAsia="zh-CN" w:bidi="ar-SA"/>
              </w:rPr>
              <w:t>通过超声波清洗机对镜片进行超声波清洗</w:t>
            </w:r>
            <w:r>
              <w:rPr>
                <w:rFonts w:hint="default" w:ascii="Times New Roman" w:hAnsi="Times New Roman" w:eastAsia="宋体"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制备出纯净</w:t>
            </w:r>
            <w:r>
              <w:rPr>
                <w:rFonts w:hint="default" w:ascii="Times New Roman" w:hAnsi="Times New Roman" w:eastAsia="宋体" w:cs="宋体"/>
                <w:color w:val="auto"/>
                <w:kern w:val="2"/>
                <w:sz w:val="24"/>
                <w:szCs w:val="24"/>
                <w:highlight w:val="none"/>
                <w:lang w:val="en-US" w:eastAsia="zh-CN" w:bidi="ar-SA"/>
              </w:rPr>
              <w:t>水</w:t>
            </w:r>
            <w:r>
              <w:rPr>
                <w:rFonts w:hint="eastAsia" w:ascii="Times New Roman" w:hAnsi="Times New Roman" w:eastAsia="宋体" w:cs="宋体"/>
                <w:color w:val="auto"/>
                <w:kern w:val="2"/>
                <w:sz w:val="24"/>
                <w:szCs w:val="24"/>
                <w:highlight w:val="none"/>
                <w:lang w:val="en-US" w:eastAsia="zh-CN" w:bidi="ar-SA"/>
              </w:rPr>
              <w:t>的产生</w:t>
            </w:r>
            <w:r>
              <w:rPr>
                <w:rFonts w:hint="default" w:ascii="Times New Roman" w:hAnsi="Times New Roman" w:eastAsia="宋体" w:cs="宋体"/>
                <w:color w:val="auto"/>
                <w:kern w:val="2"/>
                <w:sz w:val="24"/>
                <w:szCs w:val="24"/>
                <w:highlight w:val="none"/>
                <w:lang w:val="en-US" w:eastAsia="zh-CN" w:bidi="ar-SA"/>
              </w:rPr>
              <w:t>量为</w:t>
            </w:r>
            <w:r>
              <w:rPr>
                <w:rFonts w:hint="eastAsia" w:cs="宋体"/>
                <w:color w:val="auto"/>
                <w:kern w:val="2"/>
                <w:sz w:val="24"/>
                <w:szCs w:val="24"/>
                <w:highlight w:val="none"/>
                <w:lang w:val="en-US" w:eastAsia="zh-CN" w:bidi="ar-SA"/>
              </w:rPr>
              <w:t>1440</w:t>
            </w:r>
            <w:r>
              <w:rPr>
                <w:rFonts w:hint="default" w:ascii="Times New Roman" w:hAnsi="Times New Roman" w:eastAsia="宋体" w:cs="宋体"/>
                <w:color w:val="auto"/>
                <w:kern w:val="2"/>
                <w:sz w:val="24"/>
                <w:szCs w:val="24"/>
                <w:highlight w:val="none"/>
                <w:lang w:val="en-US" w:eastAsia="zh-CN" w:bidi="ar-SA"/>
              </w:rPr>
              <w:t>t/a，</w:t>
            </w:r>
            <w:r>
              <w:rPr>
                <w:rFonts w:hint="eastAsia" w:ascii="Times New Roman" w:hAnsi="Times New Roman" w:eastAsia="宋体" w:cs="宋体"/>
                <w:color w:val="auto"/>
                <w:kern w:val="2"/>
                <w:sz w:val="24"/>
                <w:szCs w:val="24"/>
                <w:highlight w:val="none"/>
                <w:lang w:val="en-US" w:eastAsia="zh-CN" w:bidi="ar-SA"/>
              </w:rPr>
              <w:t>产生的</w:t>
            </w:r>
            <w:r>
              <w:rPr>
                <w:rFonts w:hint="eastAsia" w:cs="宋体"/>
                <w:color w:val="auto"/>
                <w:kern w:val="2"/>
                <w:sz w:val="24"/>
                <w:szCs w:val="24"/>
                <w:highlight w:val="none"/>
                <w:lang w:val="en-US" w:eastAsia="zh-CN" w:bidi="ar-SA"/>
              </w:rPr>
              <w:t>960</w:t>
            </w:r>
            <w:r>
              <w:rPr>
                <w:rFonts w:hint="eastAsia" w:ascii="Times New Roman" w:hAnsi="Times New Roman" w:eastAsia="宋体" w:cs="宋体"/>
                <w:color w:val="auto"/>
                <w:kern w:val="2"/>
                <w:sz w:val="24"/>
                <w:szCs w:val="24"/>
                <w:highlight w:val="none"/>
                <w:lang w:val="en-US" w:eastAsia="zh-CN" w:bidi="ar-SA"/>
              </w:rPr>
              <w:t>t/a非纯净水</w:t>
            </w:r>
            <w:r>
              <w:rPr>
                <w:rFonts w:hint="eastAsia"/>
                <w:color w:val="auto"/>
                <w:lang w:eastAsia="zh-CN"/>
              </w:rPr>
              <w:t>，</w:t>
            </w:r>
            <w:r>
              <w:rPr>
                <w:rFonts w:hint="eastAsia" w:ascii="Times New Roman" w:hAnsi="Times New Roman" w:eastAsia="宋体" w:cs="宋体"/>
                <w:color w:val="auto"/>
                <w:kern w:val="2"/>
                <w:sz w:val="24"/>
                <w:szCs w:val="24"/>
                <w:highlight w:val="none"/>
                <w:lang w:val="en-US" w:eastAsia="zh-CN" w:bidi="ar-SA"/>
              </w:rPr>
              <w:t>两类排水</w:t>
            </w:r>
            <w:r>
              <w:rPr>
                <w:rFonts w:hint="default" w:ascii="Times New Roman" w:hAnsi="Times New Roman" w:eastAsia="宋体" w:cs="宋体"/>
                <w:color w:val="auto"/>
                <w:kern w:val="2"/>
                <w:sz w:val="24"/>
                <w:szCs w:val="24"/>
                <w:highlight w:val="none"/>
                <w:lang w:val="en-US" w:eastAsia="zh-CN" w:bidi="ar-SA"/>
              </w:rPr>
              <w:t>以常规无机盐、少量悬浮物为主，两类排水均无有毒有害污染物，水质满足污水排入城镇下水道标准，可直接接入市政污水管网排放</w:t>
            </w:r>
            <w:r>
              <w:rPr>
                <w:rFonts w:hint="eastAsia" w:ascii="Times New Roman" w:hAnsi="Times New Roman" w:eastAsia="宋体" w:cs="宋体"/>
                <w:color w:val="auto"/>
                <w:kern w:val="2"/>
                <w:sz w:val="24"/>
                <w:szCs w:val="24"/>
                <w:highlight w:val="none"/>
                <w:lang w:val="en-US" w:eastAsia="zh-CN" w:bidi="ar-SA"/>
              </w:rPr>
              <w:t>，纳入大学城污水处理厂。</w:t>
            </w:r>
            <w:r>
              <w:rPr>
                <w:rFonts w:hint="eastAsia" w:cs="宋体"/>
                <w:color w:val="auto"/>
                <w:kern w:val="2"/>
                <w:sz w:val="24"/>
                <w:szCs w:val="24"/>
                <w:highlight w:val="none"/>
                <w:lang w:val="en-US" w:eastAsia="zh-CN" w:bidi="ar-SA"/>
              </w:rPr>
              <w:t>除油剂通过</w:t>
            </w:r>
            <w:r>
              <w:rPr>
                <w:rFonts w:ascii="Times New Roman" w:hAnsi="Times New Roman" w:eastAsia="宋体" w:cs="宋体"/>
                <w:color w:val="auto"/>
                <w:sz w:val="24"/>
                <w:szCs w:val="24"/>
              </w:rPr>
              <w:t>密闭收集桶</w:t>
            </w:r>
            <w:r>
              <w:rPr>
                <w:rFonts w:hint="eastAsia" w:ascii="Times New Roman" w:hAnsi="Times New Roman" w:eastAsia="宋体" w:cs="宋体"/>
                <w:color w:val="auto"/>
                <w:sz w:val="24"/>
                <w:szCs w:val="24"/>
                <w:lang w:val="en-US" w:eastAsia="zh-CN"/>
              </w:rPr>
              <w:t>收集，不产生除油废水，</w:t>
            </w:r>
            <w:r>
              <w:rPr>
                <w:rFonts w:hint="eastAsia" w:ascii="Times New Roman" w:hAnsi="Times New Roman" w:eastAsia="宋体" w:cs="宋体"/>
                <w:color w:val="auto"/>
                <w:kern w:val="2"/>
                <w:sz w:val="24"/>
                <w:szCs w:val="24"/>
                <w:highlight w:val="none"/>
                <w:lang w:val="en-US" w:eastAsia="zh-CN" w:bidi="ar-SA"/>
              </w:rPr>
              <w:t>除油工序中</w:t>
            </w:r>
            <w:r>
              <w:rPr>
                <w:rFonts w:hint="eastAsia" w:ascii="Times New Roman" w:hAnsi="Times New Roman" w:eastAsia="宋体" w:cs="宋体"/>
                <w:color w:val="auto"/>
                <w:kern w:val="2"/>
                <w:sz w:val="24"/>
                <w:szCs w:val="24"/>
                <w:lang w:val="en-US" w:eastAsia="zh-CN" w:bidi="ar-SA"/>
              </w:rPr>
              <w:t>除油剂槽的</w:t>
            </w:r>
            <w:r>
              <w:rPr>
                <w:rFonts w:hint="eastAsia" w:cs="宋体"/>
                <w:color w:val="auto"/>
                <w:kern w:val="2"/>
                <w:sz w:val="24"/>
                <w:szCs w:val="24"/>
                <w:lang w:val="en-US" w:eastAsia="zh-CN" w:bidi="ar-SA"/>
              </w:rPr>
              <w:t>废除油剂作为危险废物，委托有资质的单位</w:t>
            </w:r>
            <w:r>
              <w:rPr>
                <w:rFonts w:hint="eastAsia" w:ascii="Times New Roman" w:hAnsi="Times New Roman" w:eastAsia="宋体" w:cs="宋体"/>
                <w:color w:val="auto"/>
                <w:kern w:val="2"/>
                <w:sz w:val="24"/>
                <w:szCs w:val="24"/>
                <w:lang w:val="en-US" w:eastAsia="zh-CN" w:bidi="ar-SA"/>
              </w:rPr>
              <w:t>处理，产生量为</w:t>
            </w:r>
            <w:r>
              <w:rPr>
                <w:rFonts w:hint="eastAsia" w:cs="宋体"/>
                <w:color w:val="auto"/>
                <w:kern w:val="2"/>
                <w:sz w:val="24"/>
                <w:szCs w:val="24"/>
                <w:lang w:val="en-US" w:eastAsia="zh-CN" w:bidi="ar-SA"/>
              </w:rPr>
              <w:t>1.2</w:t>
            </w:r>
            <w:r>
              <w:rPr>
                <w:rFonts w:hint="eastAsia" w:ascii="Times New Roman" w:hAnsi="Times New Roman" w:eastAsia="宋体" w:cs="宋体"/>
                <w:color w:val="auto"/>
                <w:kern w:val="2"/>
                <w:sz w:val="24"/>
                <w:szCs w:val="24"/>
                <w:lang w:val="en-US" w:eastAsia="zh-CN" w:bidi="ar-SA"/>
              </w:rPr>
              <w:t>t/a</w:t>
            </w:r>
            <w:r>
              <w:rPr>
                <w:rFonts w:hint="eastAsia" w:ascii="Times New Roman" w:hAnsi="Times New Roman" w:eastAsia="宋体" w:cs="宋体"/>
                <w:color w:val="auto"/>
                <w:kern w:val="2"/>
                <w:sz w:val="24"/>
                <w:szCs w:val="24"/>
                <w:highlight w:val="none"/>
                <w:lang w:val="en-US" w:eastAsia="zh-CN" w:bidi="ar-SA"/>
              </w:rPr>
              <w:t>；</w:t>
            </w:r>
            <w:r>
              <w:rPr>
                <w:rFonts w:hint="eastAsia" w:cs="宋体"/>
                <w:color w:val="auto"/>
                <w:kern w:val="2"/>
                <w:sz w:val="24"/>
                <w:szCs w:val="24"/>
                <w:highlight w:val="none"/>
                <w:lang w:val="en-US" w:eastAsia="zh-CN" w:bidi="ar-SA"/>
              </w:rPr>
              <w:t>超洗</w:t>
            </w:r>
            <w:r>
              <w:rPr>
                <w:rFonts w:hint="eastAsia" w:ascii="Times New Roman" w:hAnsi="Times New Roman" w:eastAsia="宋体" w:cs="宋体"/>
                <w:color w:val="auto"/>
                <w:kern w:val="2"/>
                <w:sz w:val="24"/>
                <w:szCs w:val="24"/>
                <w:highlight w:val="none"/>
                <w:lang w:val="en-US" w:eastAsia="zh-CN" w:bidi="ar-SA"/>
              </w:rPr>
              <w:t>废水</w:t>
            </w:r>
            <w:r>
              <w:rPr>
                <w:rFonts w:hint="eastAsia" w:ascii="Times New Roman" w:hAnsi="Times New Roman" w:eastAsia="宋体" w:cs="Times New Roman"/>
                <w:color w:val="auto"/>
                <w:sz w:val="24"/>
                <w:szCs w:val="20"/>
                <w:highlight w:val="none"/>
                <w:lang w:val="en-US" w:eastAsia="zh-CN"/>
              </w:rPr>
              <w:t>经过三级沉淀池沉淀处理达标</w:t>
            </w:r>
            <w:r>
              <w:rPr>
                <w:rFonts w:hint="eastAsia" w:cs="Times New Roman"/>
                <w:color w:val="auto"/>
                <w:sz w:val="24"/>
                <w:szCs w:val="20"/>
                <w:highlight w:val="none"/>
                <w:lang w:val="en-US" w:eastAsia="zh-CN"/>
              </w:rPr>
              <w:t>后进</w:t>
            </w:r>
            <w:r>
              <w:rPr>
                <w:rFonts w:hint="eastAsia" w:ascii="Times New Roman" w:hAnsi="Times New Roman" w:eastAsia="宋体" w:cs="Times New Roman"/>
                <w:color w:val="auto"/>
                <w:sz w:val="24"/>
                <w:szCs w:val="20"/>
                <w:highlight w:val="none"/>
                <w:lang w:val="en-US" w:eastAsia="zh-CN"/>
              </w:rPr>
              <w:t>入市政管网，纳入大学城污水处理厂</w:t>
            </w:r>
            <w:r>
              <w:rPr>
                <w:rFonts w:hint="eastAsia" w:ascii="Times New Roman" w:hAnsi="Times New Roman" w:eastAsia="宋体" w:cs="宋体"/>
                <w:color w:val="auto"/>
                <w:kern w:val="2"/>
                <w:sz w:val="24"/>
                <w:szCs w:val="24"/>
                <w:highlight w:val="none"/>
                <w:lang w:val="en-US" w:eastAsia="zh-CN" w:bidi="ar-SA"/>
              </w:rPr>
              <w:t>；药水槽中的清洗剂废水，</w:t>
            </w:r>
            <w:r>
              <w:rPr>
                <w:rFonts w:hint="eastAsia" w:ascii="Times New Roman" w:hAnsi="Times New Roman" w:eastAsia="宋体" w:cs="Times New Roman"/>
                <w:color w:val="auto"/>
                <w:sz w:val="24"/>
                <w:szCs w:val="20"/>
                <w:highlight w:val="none"/>
                <w:lang w:val="en-US" w:eastAsia="zh-CN"/>
              </w:rPr>
              <w:t>经过三级沉淀池沉淀处理达标后入市政管网，纳入大学城污水处理厂，</w:t>
            </w:r>
            <w:r>
              <w:rPr>
                <w:rFonts w:hint="eastAsia" w:ascii="Times New Roman" w:hAnsi="Times New Roman" w:eastAsia="宋体" w:cs="宋体"/>
                <w:color w:val="auto"/>
                <w:kern w:val="2"/>
                <w:sz w:val="24"/>
                <w:szCs w:val="24"/>
                <w:highlight w:val="none"/>
                <w:lang w:val="en-US" w:eastAsia="zh-CN" w:bidi="ar-SA"/>
              </w:rPr>
              <w:t>排放量为</w:t>
            </w:r>
            <w:r>
              <w:rPr>
                <w:rFonts w:hint="eastAsia" w:cs="宋体"/>
                <w:color w:val="auto"/>
                <w:kern w:val="2"/>
                <w:sz w:val="24"/>
                <w:szCs w:val="24"/>
                <w:highlight w:val="none"/>
                <w:lang w:val="en-US" w:eastAsia="zh-CN" w:bidi="ar-SA"/>
              </w:rPr>
              <w:t>18.16</w:t>
            </w:r>
            <w:r>
              <w:rPr>
                <w:rFonts w:hint="eastAsia" w:ascii="Times New Roman" w:hAnsi="Times New Roman" w:eastAsia="宋体" w:cs="宋体"/>
                <w:color w:val="auto"/>
                <w:kern w:val="2"/>
                <w:sz w:val="24"/>
                <w:szCs w:val="24"/>
                <w:highlight w:val="none"/>
                <w:lang w:val="en-US" w:eastAsia="zh-CN" w:bidi="ar-SA"/>
              </w:rPr>
              <w:t>t/a；纯水槽中的纯净水直接排入市政管网，纳入大学城污水处理厂，排放量为</w:t>
            </w:r>
            <w:r>
              <w:rPr>
                <w:rFonts w:hint="eastAsia" w:cs="宋体"/>
                <w:color w:val="auto"/>
                <w:kern w:val="2"/>
                <w:sz w:val="24"/>
                <w:szCs w:val="24"/>
                <w:highlight w:val="none"/>
                <w:lang w:val="en-US" w:eastAsia="zh-CN" w:bidi="ar-SA"/>
              </w:rPr>
              <w:t>1280</w:t>
            </w:r>
            <w:r>
              <w:rPr>
                <w:rFonts w:hint="eastAsia" w:ascii="Times New Roman" w:hAnsi="Times New Roman" w:eastAsia="宋体" w:cs="宋体"/>
                <w:color w:val="auto"/>
                <w:kern w:val="2"/>
                <w:sz w:val="24"/>
                <w:szCs w:val="24"/>
                <w:highlight w:val="none"/>
                <w:lang w:val="en-US" w:eastAsia="zh-CN" w:bidi="ar-SA"/>
              </w:rPr>
              <w:t>t/a。根据《排放源统计调查产排污核算方法和系数手册》中《电子电气行业系数手册》清洗工段，超洗废水中</w:t>
            </w:r>
            <w:r>
              <w:rPr>
                <w:rFonts w:hint="eastAsia" w:cs="宋体"/>
                <w:color w:val="auto"/>
                <w:kern w:val="2"/>
                <w:sz w:val="24"/>
                <w:szCs w:val="24"/>
                <w:highlight w:val="none"/>
                <w:lang w:val="en-US" w:eastAsia="zh-CN" w:bidi="ar-SA"/>
              </w:rPr>
              <w:t>水基型</w:t>
            </w:r>
            <w:r>
              <w:rPr>
                <w:rFonts w:hint="eastAsia" w:ascii="Times New Roman" w:hAnsi="Times New Roman" w:eastAsia="宋体" w:cs="宋体"/>
                <w:color w:val="auto"/>
                <w:kern w:val="2"/>
                <w:sz w:val="24"/>
                <w:szCs w:val="24"/>
                <w:highlight w:val="none"/>
                <w:lang w:val="en-US" w:eastAsia="zh-CN" w:bidi="ar-SA"/>
              </w:rPr>
              <w:t>清洗剂废水的COD产污系数为</w:t>
            </w:r>
            <w:r>
              <w:rPr>
                <w:rFonts w:hint="eastAsia" w:cs="宋体"/>
                <w:color w:val="auto"/>
                <w:kern w:val="2"/>
                <w:sz w:val="24"/>
                <w:szCs w:val="24"/>
                <w:highlight w:val="none"/>
                <w:lang w:val="en-US" w:eastAsia="zh-CN" w:bidi="ar-SA"/>
              </w:rPr>
              <w:t>2.1</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10</w:t>
            </w:r>
            <w:r>
              <w:rPr>
                <w:rFonts w:hint="eastAsia" w:ascii="Times New Roman" w:hAnsi="Times New Roman" w:eastAsia="宋体" w:cs="宋体"/>
                <w:color w:val="auto"/>
                <w:kern w:val="2"/>
                <w:sz w:val="24"/>
                <w:szCs w:val="24"/>
                <w:highlight w:val="none"/>
                <w:vertAlign w:val="superscript"/>
                <w:lang w:val="en-US" w:eastAsia="zh-CN" w:bidi="ar-SA"/>
              </w:rPr>
              <w:t>2</w:t>
            </w:r>
            <w:r>
              <w:rPr>
                <w:rFonts w:hint="eastAsia" w:ascii="Times New Roman" w:hAnsi="Times New Roman" w:eastAsia="宋体" w:cs="宋体"/>
                <w:color w:val="auto"/>
                <w:kern w:val="2"/>
                <w:sz w:val="24"/>
                <w:szCs w:val="24"/>
                <w:highlight w:val="none"/>
                <w:lang w:val="en-US" w:eastAsia="zh-CN" w:bidi="ar-SA"/>
              </w:rPr>
              <w:t>克/千克-清洗剂，氨氮产污系数为</w:t>
            </w:r>
            <w:r>
              <w:rPr>
                <w:rFonts w:hint="eastAsia" w:cs="宋体"/>
                <w:color w:val="auto"/>
                <w:kern w:val="2"/>
                <w:sz w:val="24"/>
                <w:szCs w:val="24"/>
                <w:highlight w:val="none"/>
                <w:lang w:val="en-US" w:eastAsia="zh-CN" w:bidi="ar-SA"/>
              </w:rPr>
              <w:t>1.077</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10</w:t>
            </w:r>
            <w:r>
              <w:rPr>
                <w:rFonts w:hint="eastAsia" w:cs="宋体"/>
                <w:color w:val="auto"/>
                <w:kern w:val="2"/>
                <w:sz w:val="24"/>
                <w:szCs w:val="24"/>
                <w:highlight w:val="none"/>
                <w:vertAlign w:val="superscript"/>
                <w:lang w:val="en-US" w:eastAsia="zh-CN" w:bidi="ar-SA"/>
              </w:rPr>
              <w:t>0</w:t>
            </w:r>
            <w:r>
              <w:rPr>
                <w:rFonts w:hint="eastAsia" w:ascii="Times New Roman" w:hAnsi="Times New Roman" w:eastAsia="宋体" w:cs="宋体"/>
                <w:color w:val="auto"/>
                <w:kern w:val="2"/>
                <w:sz w:val="24"/>
                <w:szCs w:val="24"/>
                <w:highlight w:val="none"/>
                <w:lang w:val="en-US" w:eastAsia="zh-CN" w:bidi="ar-SA"/>
              </w:rPr>
              <w:t>克/千克</w:t>
            </w:r>
            <w:r>
              <w:rPr>
                <w:rFonts w:hint="eastAsia"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清洗剂，清洗剂使用量为</w:t>
            </w:r>
            <w:r>
              <w:rPr>
                <w:rFonts w:hint="eastAsia" w:cs="宋体"/>
                <w:color w:val="auto"/>
                <w:kern w:val="2"/>
                <w:sz w:val="24"/>
                <w:szCs w:val="24"/>
                <w:highlight w:val="none"/>
                <w:lang w:val="en-US" w:eastAsia="zh-CN" w:bidi="ar-SA"/>
              </w:rPr>
              <w:t>2.4</w:t>
            </w:r>
            <w:r>
              <w:rPr>
                <w:rFonts w:hint="eastAsia" w:ascii="Times New Roman" w:hAnsi="Times New Roman" w:eastAsia="宋体" w:cs="宋体"/>
                <w:color w:val="auto"/>
                <w:kern w:val="2"/>
                <w:sz w:val="24"/>
                <w:szCs w:val="24"/>
                <w:highlight w:val="none"/>
                <w:lang w:val="en-US" w:eastAsia="zh-CN" w:bidi="ar-SA"/>
              </w:rPr>
              <w:t>t/a，则COD产生量为</w:t>
            </w:r>
            <w:r>
              <w:rPr>
                <w:rFonts w:hint="eastAsia" w:cs="宋体"/>
                <w:color w:val="auto"/>
                <w:kern w:val="2"/>
                <w:sz w:val="24"/>
                <w:szCs w:val="24"/>
                <w:highlight w:val="none"/>
                <w:lang w:val="en-US" w:eastAsia="zh-CN" w:bidi="ar-SA"/>
              </w:rPr>
              <w:t>0.504</w:t>
            </w:r>
            <w:r>
              <w:rPr>
                <w:rFonts w:hint="eastAsia" w:ascii="Times New Roman" w:hAnsi="Times New Roman" w:eastAsia="宋体" w:cs="宋体"/>
                <w:color w:val="auto"/>
                <w:kern w:val="2"/>
                <w:sz w:val="24"/>
                <w:szCs w:val="24"/>
                <w:highlight w:val="none"/>
                <w:lang w:val="en-US" w:eastAsia="zh-CN" w:bidi="ar-SA"/>
              </w:rPr>
              <w:t>t/a、NH</w:t>
            </w:r>
            <w:r>
              <w:rPr>
                <w:rFonts w:hint="eastAsia" w:ascii="Times New Roman" w:hAnsi="Times New Roman" w:eastAsia="宋体" w:cs="宋体"/>
                <w:color w:val="auto"/>
                <w:kern w:val="2"/>
                <w:sz w:val="24"/>
                <w:szCs w:val="24"/>
                <w:highlight w:val="none"/>
                <w:vertAlign w:val="subscript"/>
                <w:lang w:val="en-US" w:eastAsia="zh-CN" w:bidi="ar-SA"/>
              </w:rPr>
              <w:t>3</w:t>
            </w:r>
            <w:r>
              <w:rPr>
                <w:rFonts w:hint="eastAsia" w:ascii="Times New Roman" w:hAnsi="Times New Roman" w:eastAsia="宋体" w:cs="宋体"/>
                <w:color w:val="auto"/>
                <w:kern w:val="2"/>
                <w:sz w:val="24"/>
                <w:szCs w:val="24"/>
                <w:highlight w:val="none"/>
                <w:lang w:val="en-US" w:eastAsia="zh-CN" w:bidi="ar-SA"/>
              </w:rPr>
              <w:t>-N产生量为</w:t>
            </w:r>
            <w:r>
              <w:rPr>
                <w:rFonts w:hint="eastAsia" w:cs="宋体"/>
                <w:color w:val="auto"/>
                <w:kern w:val="2"/>
                <w:sz w:val="24"/>
                <w:szCs w:val="24"/>
                <w:highlight w:val="none"/>
                <w:lang w:val="en-US" w:eastAsia="zh-CN" w:bidi="ar-SA"/>
              </w:rPr>
              <w:t>0.0026</w:t>
            </w:r>
            <w:r>
              <w:rPr>
                <w:rFonts w:hint="eastAsia" w:ascii="Times New Roman" w:hAnsi="Times New Roman" w:eastAsia="宋体" w:cs="宋体"/>
                <w:color w:val="auto"/>
                <w:kern w:val="2"/>
                <w:sz w:val="24"/>
                <w:szCs w:val="24"/>
                <w:highlight w:val="none"/>
                <w:lang w:val="en-US" w:eastAsia="zh-CN" w:bidi="ar-SA"/>
              </w:rPr>
              <w:t>t/a</w:t>
            </w:r>
            <w:r>
              <w:rPr>
                <w:rFonts w:hint="default" w:ascii="Times New Roman" w:hAnsi="Times New Roman" w:eastAsia="宋体" w:cs="宋体"/>
                <w:color w:val="auto"/>
                <w:kern w:val="2"/>
                <w:sz w:val="24"/>
                <w:szCs w:val="24"/>
                <w:highlight w:val="none"/>
                <w:lang w:val="en-US" w:eastAsia="zh-CN" w:bidi="ar-SA"/>
              </w:rPr>
              <w:t>。</w:t>
            </w:r>
          </w:p>
          <w:p w14:paraId="4CB7520F">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（5）镀膜冷却水</w:t>
            </w:r>
          </w:p>
          <w:p w14:paraId="4F0C5910">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default" w:ascii="Times New Roman" w:hAnsi="Times New Roman" w:eastAsia="宋体" w:cs="宋体"/>
                <w:color w:val="auto"/>
                <w:kern w:val="2"/>
                <w:sz w:val="24"/>
                <w:szCs w:val="24"/>
                <w:highlight w:val="none"/>
                <w:lang w:val="en-US" w:eastAsia="zh-CN" w:bidi="ar-SA"/>
              </w:rPr>
              <w:t>镀膜冷却水在镀膜环节的用水工序中产生，镀膜机配套的镀膜冷却塔</w:t>
            </w:r>
            <w:r>
              <w:rPr>
                <w:rFonts w:hint="eastAsia" w:ascii="Times New Roman" w:hAnsi="Times New Roman" w:eastAsia="宋体" w:cs="宋体"/>
                <w:color w:val="auto"/>
                <w:kern w:val="2"/>
                <w:sz w:val="24"/>
                <w:szCs w:val="24"/>
                <w:highlight w:val="none"/>
                <w:lang w:val="en-US" w:eastAsia="zh-CN" w:bidi="ar-SA"/>
              </w:rPr>
              <w:t>，</w:t>
            </w:r>
            <w:r>
              <w:rPr>
                <w:rFonts w:hint="default" w:ascii="Times New Roman" w:hAnsi="Times New Roman" w:eastAsia="宋体" w:cs="宋体"/>
                <w:color w:val="auto"/>
                <w:kern w:val="2"/>
                <w:sz w:val="24"/>
                <w:szCs w:val="24"/>
                <w:highlight w:val="none"/>
                <w:lang w:val="en-US" w:eastAsia="zh-CN" w:bidi="ar-SA"/>
              </w:rPr>
              <w:t>冷却水用量为</w:t>
            </w:r>
            <w:r>
              <w:rPr>
                <w:rFonts w:hint="eastAsia" w:cs="宋体"/>
                <w:color w:val="auto"/>
                <w:kern w:val="2"/>
                <w:sz w:val="24"/>
                <w:szCs w:val="24"/>
                <w:highlight w:val="none"/>
                <w:lang w:val="en-US" w:eastAsia="zh-CN" w:bidi="ar-SA"/>
              </w:rPr>
              <w:t>1</w:t>
            </w:r>
            <w:r>
              <w:rPr>
                <w:rFonts w:hint="default" w:ascii="Times New Roman" w:hAnsi="Times New Roman" w:eastAsia="宋体" w:cs="宋体"/>
                <w:color w:val="auto"/>
                <w:kern w:val="2"/>
                <w:sz w:val="24"/>
                <w:szCs w:val="24"/>
                <w:highlight w:val="none"/>
                <w:lang w:val="en-US" w:eastAsia="zh-CN" w:bidi="ar-SA"/>
              </w:rPr>
              <w:t>00t/a，用于冷却降温。冷却水循环使用，定期补充，</w:t>
            </w:r>
            <w:r>
              <w:rPr>
                <w:rFonts w:hint="eastAsia" w:cs="宋体"/>
                <w:color w:val="auto"/>
                <w:kern w:val="2"/>
                <w:sz w:val="24"/>
                <w:szCs w:val="24"/>
                <w:highlight w:val="none"/>
                <w:lang w:val="en-US" w:eastAsia="zh-CN" w:bidi="ar-SA"/>
              </w:rPr>
              <w:t>每次</w:t>
            </w:r>
            <w:r>
              <w:rPr>
                <w:rFonts w:hint="eastAsia" w:ascii="Times New Roman" w:hAnsi="Times New Roman" w:eastAsia="宋体" w:cs="宋体"/>
                <w:color w:val="auto"/>
                <w:kern w:val="2"/>
                <w:sz w:val="24"/>
                <w:szCs w:val="24"/>
                <w:highlight w:val="none"/>
                <w:lang w:val="en-US" w:eastAsia="zh-CN" w:bidi="ar-SA"/>
              </w:rPr>
              <w:t>补充量为10t，</w:t>
            </w:r>
            <w:r>
              <w:rPr>
                <w:rFonts w:hint="default" w:ascii="Times New Roman" w:hAnsi="Times New Roman" w:eastAsia="宋体" w:cs="宋体"/>
                <w:color w:val="auto"/>
                <w:kern w:val="2"/>
                <w:sz w:val="24"/>
                <w:szCs w:val="24"/>
                <w:highlight w:val="none"/>
                <w:lang w:val="en-US" w:eastAsia="zh-CN" w:bidi="ar-SA"/>
              </w:rPr>
              <w:t>不外排</w:t>
            </w:r>
            <w:r>
              <w:rPr>
                <w:rFonts w:hint="eastAsia" w:ascii="Times New Roman" w:hAnsi="Times New Roman" w:eastAsia="宋体" w:cs="宋体"/>
                <w:color w:val="auto"/>
                <w:kern w:val="2"/>
                <w:sz w:val="24"/>
                <w:szCs w:val="24"/>
                <w:highlight w:val="none"/>
                <w:lang w:val="en-US" w:eastAsia="zh-CN" w:bidi="ar-SA"/>
              </w:rPr>
              <w:t>。</w:t>
            </w:r>
          </w:p>
          <w:p w14:paraId="38CCC9AD">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（6）生活污水</w:t>
            </w:r>
          </w:p>
          <w:p w14:paraId="0EE24610">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default" w:ascii="Times New Roman" w:hAnsi="Times New Roman" w:eastAsia="宋体" w:cs="宋体"/>
                <w:color w:val="auto"/>
                <w:kern w:val="2"/>
                <w:sz w:val="24"/>
                <w:szCs w:val="24"/>
                <w:highlight w:val="none"/>
                <w:lang w:val="en-US" w:eastAsia="zh-CN" w:bidi="ar-SA"/>
              </w:rPr>
              <w:t>本项目劳动定员</w:t>
            </w:r>
            <w:r>
              <w:rPr>
                <w:rFonts w:hint="eastAsia" w:ascii="Times New Roman" w:hAnsi="Times New Roman" w:cs="宋体"/>
                <w:color w:val="auto"/>
                <w:kern w:val="2"/>
                <w:sz w:val="24"/>
                <w:szCs w:val="24"/>
                <w:highlight w:val="none"/>
                <w:lang w:val="en-US" w:eastAsia="zh-CN" w:bidi="ar-SA"/>
              </w:rPr>
              <w:t>60人</w:t>
            </w:r>
            <w:r>
              <w:rPr>
                <w:rFonts w:hint="default" w:ascii="Times New Roman" w:hAnsi="Times New Roman" w:eastAsia="宋体" w:cs="宋体"/>
                <w:color w:val="auto"/>
                <w:kern w:val="2"/>
                <w:sz w:val="24"/>
                <w:szCs w:val="24"/>
                <w:highlight w:val="none"/>
                <w:lang w:val="en-US" w:eastAsia="zh-CN" w:bidi="ar-SA"/>
              </w:rPr>
              <w:t>，均</w:t>
            </w:r>
            <w:r>
              <w:rPr>
                <w:rFonts w:hint="eastAsia" w:cs="宋体"/>
                <w:color w:val="auto"/>
                <w:kern w:val="2"/>
                <w:sz w:val="24"/>
                <w:szCs w:val="24"/>
                <w:highlight w:val="none"/>
                <w:lang w:val="en-US" w:eastAsia="zh-CN" w:bidi="ar-SA"/>
              </w:rPr>
              <w:t>不</w:t>
            </w:r>
            <w:r>
              <w:rPr>
                <w:rFonts w:hint="default" w:ascii="Times New Roman" w:hAnsi="Times New Roman" w:eastAsia="宋体" w:cs="宋体"/>
                <w:color w:val="auto"/>
                <w:kern w:val="2"/>
                <w:sz w:val="24"/>
                <w:szCs w:val="24"/>
                <w:highlight w:val="none"/>
                <w:lang w:val="en-US" w:eastAsia="zh-CN" w:bidi="ar-SA"/>
              </w:rPr>
              <w:t>住厂，根据《建筑给水排水设计标准》（GB50015-2019），车间工人的生活用水定额应根据车间性质确定，一般宜采用30</w:t>
            </w:r>
            <w:r>
              <w:rPr>
                <w:rFonts w:hint="eastAsia" w:cs="宋体"/>
                <w:color w:val="auto"/>
                <w:kern w:val="2"/>
                <w:sz w:val="24"/>
                <w:szCs w:val="24"/>
                <w:highlight w:val="none"/>
                <w:lang w:val="en-US" w:eastAsia="zh-CN" w:bidi="ar-SA"/>
              </w:rPr>
              <w:t>—</w:t>
            </w:r>
            <w:r>
              <w:rPr>
                <w:rFonts w:hint="default" w:ascii="Times New Roman" w:hAnsi="Times New Roman" w:eastAsia="宋体" w:cs="宋体"/>
                <w:color w:val="auto"/>
                <w:kern w:val="2"/>
                <w:sz w:val="24"/>
                <w:szCs w:val="24"/>
                <w:highlight w:val="none"/>
                <w:lang w:val="en-US" w:eastAsia="zh-CN" w:bidi="ar-SA"/>
              </w:rPr>
              <w:t>50L/人·班，本项目不住厂职工生活用水定额按50L/人·班计。项目年工作日按</w:t>
            </w:r>
            <w:r>
              <w:rPr>
                <w:rFonts w:hint="eastAsia" w:ascii="Times New Roman" w:hAnsi="Times New Roman" w:eastAsia="宋体" w:cs="宋体"/>
                <w:color w:val="auto"/>
                <w:kern w:val="2"/>
                <w:sz w:val="24"/>
                <w:szCs w:val="24"/>
                <w:highlight w:val="none"/>
                <w:lang w:val="en-US" w:eastAsia="zh-CN" w:bidi="ar-SA"/>
              </w:rPr>
              <w:t>300</w:t>
            </w:r>
            <w:r>
              <w:rPr>
                <w:rFonts w:hint="default" w:ascii="Times New Roman" w:hAnsi="Times New Roman" w:eastAsia="宋体" w:cs="宋体"/>
                <w:color w:val="auto"/>
                <w:kern w:val="2"/>
                <w:sz w:val="24"/>
                <w:szCs w:val="24"/>
                <w:highlight w:val="none"/>
                <w:lang w:val="en-US" w:eastAsia="zh-CN" w:bidi="ar-SA"/>
              </w:rPr>
              <w:t>天计，则本项目职工生活用水量约为</w:t>
            </w:r>
            <w:r>
              <w:rPr>
                <w:rFonts w:hint="eastAsia" w:ascii="Times New Roman" w:hAnsi="Times New Roman" w:cs="宋体"/>
                <w:color w:val="auto"/>
                <w:kern w:val="2"/>
                <w:sz w:val="24"/>
                <w:szCs w:val="24"/>
                <w:highlight w:val="none"/>
                <w:lang w:val="en-US" w:eastAsia="zh-CN" w:bidi="ar-SA"/>
              </w:rPr>
              <w:t>3.0</w:t>
            </w:r>
            <w:r>
              <w:rPr>
                <w:rFonts w:hint="default" w:ascii="Times New Roman" w:hAnsi="Times New Roman" w:eastAsia="宋体" w:cs="宋体"/>
                <w:color w:val="auto"/>
                <w:kern w:val="2"/>
                <w:sz w:val="24"/>
                <w:szCs w:val="24"/>
                <w:highlight w:val="none"/>
                <w:lang w:val="en-US" w:eastAsia="zh-CN" w:bidi="ar-SA"/>
              </w:rPr>
              <w:t>t/d（</w:t>
            </w:r>
            <w:r>
              <w:rPr>
                <w:rFonts w:hint="eastAsia" w:ascii="Times New Roman" w:hAnsi="Times New Roman" w:cs="宋体"/>
                <w:color w:val="auto"/>
                <w:kern w:val="2"/>
                <w:sz w:val="24"/>
                <w:szCs w:val="24"/>
                <w:highlight w:val="none"/>
                <w:lang w:val="en-US" w:eastAsia="zh-CN" w:bidi="ar-SA"/>
              </w:rPr>
              <w:t>900.0</w:t>
            </w:r>
            <w:r>
              <w:rPr>
                <w:rFonts w:hint="default" w:ascii="Times New Roman" w:hAnsi="Times New Roman" w:eastAsia="宋体" w:cs="宋体"/>
                <w:color w:val="auto"/>
                <w:kern w:val="2"/>
                <w:sz w:val="24"/>
                <w:szCs w:val="24"/>
                <w:highlight w:val="none"/>
                <w:lang w:val="en-US" w:eastAsia="zh-CN" w:bidi="ar-SA"/>
              </w:rPr>
              <w:t>t/a），根据《排放源统计调查产排污计算方法和核算手册》中《生活源产排污系数手册》，人均日生活用水量≤150升/人·天时，折污系数取0.8（详见图2.1-1），则项目生活污水产生量约</w:t>
            </w:r>
            <w:r>
              <w:rPr>
                <w:rFonts w:hint="eastAsia" w:ascii="Times New Roman" w:hAnsi="Times New Roman" w:cs="宋体"/>
                <w:color w:val="auto"/>
                <w:kern w:val="2"/>
                <w:sz w:val="24"/>
                <w:szCs w:val="24"/>
                <w:highlight w:val="none"/>
                <w:lang w:val="en-US" w:eastAsia="zh-CN" w:bidi="ar-SA"/>
              </w:rPr>
              <w:t>2.4</w:t>
            </w:r>
            <w:r>
              <w:rPr>
                <w:rFonts w:hint="default" w:ascii="Times New Roman" w:hAnsi="Times New Roman" w:eastAsia="宋体" w:cs="宋体"/>
                <w:color w:val="auto"/>
                <w:kern w:val="2"/>
                <w:sz w:val="24"/>
                <w:szCs w:val="24"/>
                <w:highlight w:val="none"/>
                <w:lang w:val="en-US" w:eastAsia="zh-CN" w:bidi="ar-SA"/>
              </w:rPr>
              <w:t>t/d（</w:t>
            </w:r>
            <w:r>
              <w:rPr>
                <w:rFonts w:hint="eastAsia" w:ascii="Times New Roman" w:hAnsi="Times New Roman" w:cs="宋体"/>
                <w:color w:val="auto"/>
                <w:kern w:val="2"/>
                <w:sz w:val="24"/>
                <w:szCs w:val="24"/>
                <w:highlight w:val="none"/>
                <w:lang w:val="en-US" w:eastAsia="zh-CN" w:bidi="ar-SA"/>
              </w:rPr>
              <w:t>720.0</w:t>
            </w:r>
            <w:r>
              <w:rPr>
                <w:rFonts w:hint="default" w:ascii="Times New Roman" w:hAnsi="Times New Roman" w:eastAsia="宋体" w:cs="宋体"/>
                <w:color w:val="auto"/>
                <w:kern w:val="2"/>
                <w:sz w:val="24"/>
                <w:szCs w:val="24"/>
                <w:highlight w:val="none"/>
                <w:lang w:val="en-US" w:eastAsia="zh-CN" w:bidi="ar-SA"/>
              </w:rPr>
              <w:t>t/a）。参考《给排水设计手册》（第五册城镇排水）典型生活污水水质，确定本项目污水污染物浓度为：CODcr：400mg/L、BOD</w:t>
            </w:r>
            <w:r>
              <w:rPr>
                <w:rFonts w:hint="default" w:ascii="Times New Roman" w:hAnsi="Times New Roman" w:eastAsia="宋体" w:cs="宋体"/>
                <w:color w:val="auto"/>
                <w:kern w:val="2"/>
                <w:sz w:val="24"/>
                <w:szCs w:val="24"/>
                <w:highlight w:val="none"/>
                <w:vertAlign w:val="subscript"/>
                <w:lang w:val="en-US" w:eastAsia="zh-CN" w:bidi="ar-SA"/>
              </w:rPr>
              <w:t>5</w:t>
            </w:r>
            <w:r>
              <w:rPr>
                <w:rFonts w:hint="eastAsia" w:cs="宋体"/>
                <w:color w:val="auto"/>
                <w:kern w:val="2"/>
                <w:sz w:val="24"/>
                <w:szCs w:val="24"/>
                <w:highlight w:val="none"/>
                <w:vertAlign w:val="subscript"/>
                <w:lang w:val="en-US" w:eastAsia="zh-CN" w:bidi="ar-SA"/>
              </w:rPr>
              <w:t>:</w:t>
            </w:r>
            <w:r>
              <w:rPr>
                <w:rFonts w:hint="default" w:ascii="Times New Roman" w:hAnsi="Times New Roman" w:eastAsia="宋体" w:cs="宋体"/>
                <w:color w:val="auto"/>
                <w:kern w:val="2"/>
                <w:sz w:val="24"/>
                <w:szCs w:val="24"/>
                <w:highlight w:val="none"/>
                <w:lang w:val="en-US" w:eastAsia="zh-CN" w:bidi="ar-SA"/>
              </w:rPr>
              <w:t>200mg/L、氨氮：35mg/L、SS：220mg/L</w:t>
            </w:r>
            <w:r>
              <w:rPr>
                <w:rFonts w:hint="eastAsia" w:ascii="Times New Roman" w:hAnsi="Times New Roman" w:eastAsia="宋体" w:cs="宋体"/>
                <w:color w:val="auto"/>
                <w:kern w:val="2"/>
                <w:sz w:val="24"/>
                <w:szCs w:val="24"/>
                <w:highlight w:val="none"/>
                <w:lang w:val="en-US" w:eastAsia="zh-CN" w:bidi="ar-SA"/>
              </w:rPr>
              <w:t>。生活污水依托化粪池处理达标后排入市政管网，纳入大学城污水处理厂。本项目生活污水经化粪池处理，化粪池对生活污水COD</w:t>
            </w:r>
            <w:r>
              <w:rPr>
                <w:rFonts w:hint="eastAsia" w:ascii="Times New Roman" w:hAnsi="Times New Roman" w:eastAsia="宋体" w:cs="宋体"/>
                <w:color w:val="auto"/>
                <w:kern w:val="2"/>
                <w:sz w:val="24"/>
                <w:szCs w:val="24"/>
                <w:highlight w:val="none"/>
                <w:vertAlign w:val="subscript"/>
                <w:lang w:val="en-US" w:eastAsia="zh-CN" w:bidi="ar-SA"/>
              </w:rPr>
              <w:t>cr</w:t>
            </w:r>
            <w:r>
              <w:rPr>
                <w:rFonts w:hint="eastAsia" w:ascii="Times New Roman" w:hAnsi="Times New Roman" w:eastAsia="宋体" w:cs="宋体"/>
                <w:color w:val="auto"/>
                <w:kern w:val="2"/>
                <w:sz w:val="24"/>
                <w:szCs w:val="24"/>
                <w:highlight w:val="none"/>
                <w:lang w:val="en-US" w:eastAsia="zh-CN" w:bidi="ar-SA"/>
              </w:rPr>
              <w:t>、BOD</w:t>
            </w:r>
            <w:r>
              <w:rPr>
                <w:rFonts w:hint="eastAsia" w:ascii="Times New Roman" w:hAnsi="Times New Roman" w:eastAsia="宋体" w:cs="宋体"/>
                <w:color w:val="auto"/>
                <w:kern w:val="2"/>
                <w:sz w:val="24"/>
                <w:szCs w:val="24"/>
                <w:highlight w:val="none"/>
                <w:vertAlign w:val="subscript"/>
                <w:lang w:val="en-US" w:eastAsia="zh-CN" w:bidi="ar-SA"/>
              </w:rPr>
              <w:t>5</w:t>
            </w:r>
            <w:r>
              <w:rPr>
                <w:rFonts w:hint="eastAsia" w:ascii="Times New Roman" w:hAnsi="Times New Roman" w:eastAsia="宋体" w:cs="宋体"/>
                <w:color w:val="auto"/>
                <w:kern w:val="2"/>
                <w:sz w:val="24"/>
                <w:szCs w:val="24"/>
                <w:highlight w:val="none"/>
                <w:lang w:val="en-US" w:eastAsia="zh-CN" w:bidi="ar-SA"/>
              </w:rPr>
              <w:t>、SS、NH</w:t>
            </w:r>
            <w:r>
              <w:rPr>
                <w:rFonts w:hint="eastAsia" w:ascii="Times New Roman" w:hAnsi="Times New Roman" w:eastAsia="宋体" w:cs="宋体"/>
                <w:color w:val="auto"/>
                <w:kern w:val="2"/>
                <w:sz w:val="24"/>
                <w:szCs w:val="24"/>
                <w:highlight w:val="none"/>
                <w:vertAlign w:val="subscript"/>
                <w:lang w:val="en-US" w:eastAsia="zh-CN" w:bidi="ar-SA"/>
              </w:rPr>
              <w:t>3</w:t>
            </w:r>
            <w:r>
              <w:rPr>
                <w:rFonts w:hint="eastAsia" w:ascii="Times New Roman" w:hAnsi="Times New Roman" w:eastAsia="宋体" w:cs="宋体"/>
                <w:color w:val="auto"/>
                <w:kern w:val="2"/>
                <w:sz w:val="24"/>
                <w:szCs w:val="24"/>
                <w:highlight w:val="none"/>
                <w:lang w:val="en-US" w:eastAsia="zh-CN" w:bidi="ar-SA"/>
              </w:rPr>
              <w:t>-N的设计去除率分别取20%、15%、30%、0%。</w:t>
            </w:r>
            <w:r>
              <w:rPr>
                <w:rFonts w:hint="default" w:ascii="Times New Roman" w:hAnsi="Times New Roman" w:eastAsia="宋体" w:cs="宋体"/>
                <w:color w:val="auto"/>
                <w:kern w:val="2"/>
                <w:sz w:val="24"/>
                <w:szCs w:val="24"/>
                <w:highlight w:val="none"/>
                <w:lang w:val="en-US" w:eastAsia="zh-CN" w:bidi="ar-SA"/>
              </w:rPr>
              <w:t>则生活污水中各污染物</w:t>
            </w:r>
            <w:r>
              <w:rPr>
                <w:rFonts w:hint="eastAsia" w:ascii="Times New Roman" w:hAnsi="Times New Roman" w:eastAsia="宋体" w:cs="宋体"/>
                <w:color w:val="auto"/>
                <w:kern w:val="2"/>
                <w:sz w:val="24"/>
                <w:szCs w:val="24"/>
                <w:highlight w:val="none"/>
                <w:lang w:val="en-US" w:eastAsia="zh-CN" w:bidi="ar-SA"/>
              </w:rPr>
              <w:t>产生</w:t>
            </w:r>
            <w:r>
              <w:rPr>
                <w:rFonts w:hint="default" w:ascii="Times New Roman" w:hAnsi="Times New Roman" w:eastAsia="宋体" w:cs="宋体"/>
                <w:color w:val="auto"/>
                <w:kern w:val="2"/>
                <w:sz w:val="24"/>
                <w:szCs w:val="24"/>
                <w:highlight w:val="none"/>
                <w:lang w:val="en-US" w:eastAsia="zh-CN" w:bidi="ar-SA"/>
              </w:rPr>
              <w:t>情况见表</w:t>
            </w:r>
            <w:r>
              <w:rPr>
                <w:rFonts w:hint="eastAsia" w:ascii="Times New Roman" w:hAnsi="Times New Roman" w:eastAsia="宋体" w:cs="宋体"/>
                <w:color w:val="auto"/>
                <w:kern w:val="2"/>
                <w:sz w:val="24"/>
                <w:szCs w:val="24"/>
                <w:highlight w:val="none"/>
                <w:lang w:val="en-US" w:eastAsia="zh-CN" w:bidi="ar-SA"/>
              </w:rPr>
              <w:t>4.1-1。</w:t>
            </w:r>
          </w:p>
          <w:p w14:paraId="65B5A935">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本项目生产废水特征污染物悬浮物、</w:t>
            </w:r>
            <w:r>
              <w:rPr>
                <w:rFonts w:hint="eastAsia" w:cs="宋体"/>
                <w:color w:val="auto"/>
                <w:kern w:val="2"/>
                <w:sz w:val="24"/>
                <w:szCs w:val="24"/>
                <w:highlight w:val="none"/>
                <w:lang w:val="en-US" w:eastAsia="zh-CN" w:bidi="ar-SA"/>
              </w:rPr>
              <w:t>阴离子表面活性剂</w:t>
            </w:r>
            <w:r>
              <w:rPr>
                <w:rFonts w:hint="eastAsia" w:ascii="Times New Roman" w:hAnsi="Times New Roman" w:eastAsia="宋体" w:cs="宋体"/>
                <w:color w:val="auto"/>
                <w:kern w:val="2"/>
                <w:sz w:val="24"/>
                <w:szCs w:val="24"/>
                <w:highlight w:val="none"/>
                <w:lang w:val="en-US" w:eastAsia="zh-CN" w:bidi="ar-SA"/>
              </w:rPr>
              <w:t>源强分析</w:t>
            </w:r>
            <w:r>
              <w:rPr>
                <w:rFonts w:hint="eastAsia" w:cs="宋体"/>
                <w:color w:val="auto"/>
                <w:kern w:val="2"/>
                <w:sz w:val="24"/>
                <w:szCs w:val="24"/>
                <w:highlight w:val="none"/>
                <w:lang w:val="en-US" w:eastAsia="zh-CN" w:bidi="ar-SA"/>
              </w:rPr>
              <w:t>，</w:t>
            </w:r>
            <w:r>
              <w:rPr>
                <w:rFonts w:hint="eastAsia" w:ascii="Times New Roman" w:hAnsi="Times New Roman" w:eastAsia="宋体" w:cs="宋体"/>
                <w:color w:val="auto"/>
                <w:kern w:val="2"/>
                <w:sz w:val="24"/>
                <w:szCs w:val="24"/>
                <w:highlight w:val="none"/>
                <w:lang w:val="en-US" w:eastAsia="zh-CN" w:bidi="ar-SA"/>
              </w:rPr>
              <w:t>本项目生产废水的特征污染物因子为悬浮物，本项目生产废水需经过沉淀处理后</w:t>
            </w:r>
            <w:r>
              <w:rPr>
                <w:rFonts w:hint="eastAsia" w:cs="宋体"/>
                <w:color w:val="auto"/>
                <w:kern w:val="2"/>
                <w:sz w:val="24"/>
                <w:szCs w:val="24"/>
                <w:highlight w:val="none"/>
                <w:lang w:val="en-US" w:eastAsia="zh-CN" w:bidi="ar-SA"/>
              </w:rPr>
              <w:t>方可</w:t>
            </w:r>
            <w:r>
              <w:rPr>
                <w:rFonts w:hint="eastAsia" w:ascii="Times New Roman" w:hAnsi="Times New Roman" w:eastAsia="宋体" w:cs="宋体"/>
                <w:color w:val="auto"/>
                <w:kern w:val="2"/>
                <w:sz w:val="24"/>
                <w:szCs w:val="24"/>
                <w:highlight w:val="none"/>
                <w:lang w:val="en-US" w:eastAsia="zh-CN" w:bidi="ar-SA"/>
              </w:rPr>
              <w:t>排放，参考同类型企业项目福建威泰思光电有限公司《年产200万片光学镜片生产项目》的验收检测报告（报告编号：FZHJ2410044）中生产废水的进口浓度（详见附件二十一），则本项目生产废水的悬浮物产生浓度最大值为138mg/L</w:t>
            </w:r>
            <w:r>
              <w:rPr>
                <w:rFonts w:hint="eastAsia" w:cs="宋体"/>
                <w:color w:val="auto"/>
                <w:kern w:val="2"/>
                <w:sz w:val="24"/>
                <w:szCs w:val="24"/>
                <w:highlight w:val="none"/>
                <w:lang w:val="en-US" w:eastAsia="zh-CN" w:bidi="ar-SA"/>
              </w:rPr>
              <w:t>；参考同类型企业项目</w:t>
            </w:r>
            <w:r>
              <w:rPr>
                <w:rFonts w:hint="eastAsia"/>
                <w:color w:val="auto"/>
                <w:sz w:val="24"/>
              </w:rPr>
              <w:t>福州闽波光电技术有限公司</w:t>
            </w:r>
            <w:r>
              <w:rPr>
                <w:rFonts w:hint="eastAsia" w:ascii="Times New Roman" w:hAnsi="Times New Roman" w:eastAsia="宋体" w:cs="宋体"/>
                <w:color w:val="auto"/>
                <w:kern w:val="2"/>
                <w:sz w:val="24"/>
                <w:szCs w:val="24"/>
                <w:highlight w:val="none"/>
                <w:lang w:val="en-US" w:eastAsia="zh-CN" w:bidi="ar-SA"/>
              </w:rPr>
              <w:t>《</w:t>
            </w:r>
            <w:r>
              <w:rPr>
                <w:rFonts w:hint="eastAsia"/>
                <w:color w:val="auto"/>
                <w:sz w:val="24"/>
                <w:lang w:eastAsia="zh-CN"/>
              </w:rPr>
              <w:t>闽波光电毛坯光学镜片</w:t>
            </w:r>
            <w:r>
              <w:rPr>
                <w:rFonts w:hint="eastAsia"/>
                <w:color w:val="auto"/>
                <w:sz w:val="24"/>
              </w:rPr>
              <w:t>生产项目</w:t>
            </w:r>
            <w:r>
              <w:rPr>
                <w:rFonts w:hint="eastAsia" w:ascii="Times New Roman" w:hAnsi="Times New Roman" w:eastAsia="宋体" w:cs="宋体"/>
                <w:color w:val="auto"/>
                <w:kern w:val="2"/>
                <w:sz w:val="24"/>
                <w:szCs w:val="24"/>
                <w:highlight w:val="none"/>
                <w:lang w:val="en-US" w:eastAsia="zh-CN" w:bidi="ar-SA"/>
              </w:rPr>
              <w:t>》的验收检测报告（报告编号：HYJC251211003）中生产废水的进口浓度（详见附件二十一），则本项目生产废水的阴离子表面活性剂产生浓度最大值为1.32mg/L。</w:t>
            </w:r>
          </w:p>
          <w:p w14:paraId="09414AA4">
            <w:pPr>
              <w:widowControl w:val="0"/>
              <w:bidi w:val="0"/>
              <w:spacing w:line="360" w:lineRule="auto"/>
              <w:ind w:firstLine="480" w:firstLineChars="200"/>
              <w:jc w:val="both"/>
              <w:rPr>
                <w:rFonts w:hint="eastAsia"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本项目废水处理设施的处理工艺为沉淀，设计处理规模为10t/d，</w:t>
            </w:r>
            <w:r>
              <w:rPr>
                <w:rFonts w:hint="eastAsia" w:ascii="Times New Roman" w:hAnsi="Times New Roman" w:eastAsia="宋体" w:cs="宋体"/>
                <w:color w:val="auto"/>
                <w:kern w:val="2"/>
                <w:sz w:val="24"/>
                <w:szCs w:val="24"/>
                <w:lang w:val="en-US" w:eastAsia="zh-CN" w:bidi="ar-SA"/>
              </w:rPr>
              <w:t>根据《排放源统计调查产排污核算方法和系数手册》中《光学玻璃制造行业系数手册》，对化学需氧量</w:t>
            </w:r>
            <w:r>
              <w:rPr>
                <w:rFonts w:hint="eastAsia" w:ascii="Times New Roman" w:hAnsi="Times New Roman" w:eastAsia="宋体" w:cs="宋体"/>
                <w:color w:val="auto"/>
                <w:kern w:val="2"/>
                <w:sz w:val="24"/>
                <w:szCs w:val="24"/>
                <w:highlight w:val="none"/>
                <w:lang w:val="en-US" w:eastAsia="zh-CN" w:bidi="ar-SA"/>
              </w:rPr>
              <w:t>的平均处理效率分别为35%；对氨氮</w:t>
            </w:r>
            <w:r>
              <w:rPr>
                <w:rFonts w:hint="eastAsia" w:cs="宋体"/>
                <w:color w:val="auto"/>
                <w:kern w:val="2"/>
                <w:sz w:val="24"/>
                <w:szCs w:val="24"/>
                <w:highlight w:val="none"/>
                <w:lang w:val="en-US" w:eastAsia="zh-CN" w:bidi="ar-SA"/>
              </w:rPr>
              <w:t>、LAS</w:t>
            </w:r>
            <w:r>
              <w:rPr>
                <w:rFonts w:hint="eastAsia" w:ascii="Times New Roman" w:hAnsi="Times New Roman" w:eastAsia="宋体" w:cs="宋体"/>
                <w:color w:val="auto"/>
                <w:kern w:val="2"/>
                <w:sz w:val="24"/>
                <w:szCs w:val="24"/>
                <w:highlight w:val="none"/>
                <w:lang w:val="en-US" w:eastAsia="zh-CN" w:bidi="ar-SA"/>
              </w:rPr>
              <w:t>无实质去除效果，去除率≤5%（本次评价按0计）；核心功能为去除悬浮物70%～85%（本次评价按70%）。</w:t>
            </w:r>
          </w:p>
          <w:p w14:paraId="1EB0C05E">
            <w:pPr>
              <w:widowControl w:val="0"/>
              <w:bidi w:val="0"/>
              <w:spacing w:line="360" w:lineRule="auto"/>
              <w:ind w:firstLine="480" w:firstLineChars="200"/>
              <w:jc w:val="both"/>
              <w:rPr>
                <w:rFonts w:hint="default" w:ascii="Times New Roman" w:hAnsi="Times New Roman" w:eastAsia="宋体"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本项目生产废水产排放情况见表4.1-2</w:t>
            </w:r>
            <w:r>
              <w:rPr>
                <w:rFonts w:hint="eastAsia" w:cs="宋体"/>
                <w:color w:val="auto"/>
                <w:kern w:val="2"/>
                <w:sz w:val="24"/>
                <w:szCs w:val="24"/>
                <w:highlight w:val="none"/>
                <w:lang w:val="en-US" w:eastAsia="zh-CN" w:bidi="ar-SA"/>
              </w:rPr>
              <w:t>，综合废水排放情况见表4.1-3。</w:t>
            </w:r>
          </w:p>
          <w:p w14:paraId="148989FC">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highlight w:val="none"/>
                <w:lang w:val="en-US" w:eastAsia="zh-CN" w:bidi="ar-SA"/>
              </w:rPr>
            </w:pPr>
            <w:r>
              <w:rPr>
                <w:rFonts w:hint="eastAsia" w:ascii="Times New Roman" w:hAnsi="Times New Roman" w:eastAsia="宋体" w:cs="Times New Roman"/>
                <w:b/>
                <w:color w:val="auto"/>
                <w:kern w:val="0"/>
                <w:sz w:val="24"/>
                <w:szCs w:val="20"/>
                <w:highlight w:val="none"/>
                <w:lang w:val="en-US" w:eastAsia="zh-CN" w:bidi="ar-SA"/>
              </w:rPr>
              <w:t>表4.1-1运营期生活污水排放情况</w:t>
            </w:r>
          </w:p>
          <w:tbl>
            <w:tblPr>
              <w:tblStyle w:val="19"/>
              <w:tblW w:w="8016" w:type="dxa"/>
              <w:tblInd w:w="-1"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168"/>
              <w:gridCol w:w="1499"/>
              <w:gridCol w:w="1334"/>
              <w:gridCol w:w="1334"/>
              <w:gridCol w:w="1334"/>
              <w:gridCol w:w="1347"/>
            </w:tblGrid>
            <w:tr w14:paraId="5DD7C0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29" w:type="pct"/>
                  <w:tcBorders>
                    <w:tl2br w:val="nil"/>
                    <w:tr2bl w:val="nil"/>
                  </w:tcBorders>
                  <w:noWrap w:val="0"/>
                  <w:vAlign w:val="center"/>
                </w:tcPr>
                <w:p w14:paraId="638078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废水量</w:t>
                  </w:r>
                </w:p>
              </w:tc>
              <w:tc>
                <w:tcPr>
                  <w:tcW w:w="933" w:type="pct"/>
                  <w:tcBorders>
                    <w:tl2br w:val="nil"/>
                    <w:tr2bl w:val="nil"/>
                  </w:tcBorders>
                  <w:noWrap w:val="0"/>
                  <w:vAlign w:val="center"/>
                </w:tcPr>
                <w:p w14:paraId="48A3D3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项目</w:t>
                  </w:r>
                </w:p>
              </w:tc>
              <w:tc>
                <w:tcPr>
                  <w:tcW w:w="832" w:type="pct"/>
                  <w:tcBorders>
                    <w:tl2br w:val="nil"/>
                    <w:tr2bl w:val="nil"/>
                  </w:tcBorders>
                  <w:noWrap w:val="0"/>
                  <w:vAlign w:val="center"/>
                </w:tcPr>
                <w:p w14:paraId="04CB6D3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COD</w:t>
                  </w:r>
                  <w:r>
                    <w:rPr>
                      <w:rFonts w:hint="default" w:ascii="Times New Roman" w:hAnsi="Times New Roman" w:eastAsia="宋体" w:cs="Times New Roman"/>
                      <w:b/>
                      <w:bCs/>
                      <w:color w:val="auto"/>
                      <w:kern w:val="0"/>
                      <w:sz w:val="21"/>
                      <w:szCs w:val="20"/>
                      <w:highlight w:val="none"/>
                      <w:vertAlign w:val="subscript"/>
                      <w:lang w:val="en-US" w:eastAsia="zh-CN" w:bidi="ar-SA"/>
                    </w:rPr>
                    <w:t>cr</w:t>
                  </w:r>
                </w:p>
              </w:tc>
              <w:tc>
                <w:tcPr>
                  <w:tcW w:w="832" w:type="pct"/>
                  <w:tcBorders>
                    <w:tl2br w:val="nil"/>
                    <w:tr2bl w:val="nil"/>
                  </w:tcBorders>
                  <w:noWrap w:val="0"/>
                  <w:vAlign w:val="center"/>
                </w:tcPr>
                <w:p w14:paraId="750C29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BOD</w:t>
                  </w:r>
                  <w:r>
                    <w:rPr>
                      <w:rFonts w:hint="default" w:ascii="Times New Roman" w:hAnsi="Times New Roman" w:eastAsia="宋体" w:cs="Times New Roman"/>
                      <w:b/>
                      <w:bCs/>
                      <w:color w:val="auto"/>
                      <w:kern w:val="0"/>
                      <w:sz w:val="21"/>
                      <w:szCs w:val="20"/>
                      <w:highlight w:val="none"/>
                      <w:vertAlign w:val="subscript"/>
                      <w:lang w:val="en-US" w:eastAsia="zh-CN" w:bidi="ar-SA"/>
                    </w:rPr>
                    <w:t>5</w:t>
                  </w:r>
                </w:p>
              </w:tc>
              <w:tc>
                <w:tcPr>
                  <w:tcW w:w="832" w:type="pct"/>
                  <w:tcBorders>
                    <w:tl2br w:val="nil"/>
                    <w:tr2bl w:val="nil"/>
                  </w:tcBorders>
                  <w:noWrap w:val="0"/>
                  <w:vAlign w:val="center"/>
                </w:tcPr>
                <w:p w14:paraId="24BDFF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SS</w:t>
                  </w:r>
                </w:p>
              </w:tc>
              <w:tc>
                <w:tcPr>
                  <w:tcW w:w="840" w:type="pct"/>
                  <w:tcBorders>
                    <w:tl2br w:val="nil"/>
                    <w:tr2bl w:val="nil"/>
                  </w:tcBorders>
                  <w:noWrap w:val="0"/>
                  <w:vAlign w:val="center"/>
                </w:tcPr>
                <w:p w14:paraId="57E7B0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NH</w:t>
                  </w:r>
                  <w:r>
                    <w:rPr>
                      <w:rFonts w:hint="default" w:ascii="Times New Roman" w:hAnsi="Times New Roman" w:eastAsia="宋体" w:cs="Times New Roman"/>
                      <w:b/>
                      <w:bCs/>
                      <w:color w:val="auto"/>
                      <w:kern w:val="0"/>
                      <w:sz w:val="21"/>
                      <w:szCs w:val="20"/>
                      <w:highlight w:val="none"/>
                      <w:vertAlign w:val="subscript"/>
                      <w:lang w:val="en-US" w:eastAsia="zh-CN" w:bidi="ar-SA"/>
                    </w:rPr>
                    <w:t>3</w:t>
                  </w:r>
                  <w:r>
                    <w:rPr>
                      <w:rFonts w:hint="default" w:ascii="Times New Roman" w:hAnsi="Times New Roman" w:eastAsia="宋体" w:cs="Times New Roman"/>
                      <w:b/>
                      <w:bCs/>
                      <w:color w:val="auto"/>
                      <w:kern w:val="0"/>
                      <w:sz w:val="21"/>
                      <w:szCs w:val="20"/>
                      <w:highlight w:val="none"/>
                      <w:lang w:val="en-US" w:eastAsia="zh-CN" w:bidi="ar-SA"/>
                    </w:rPr>
                    <w:t>-N</w:t>
                  </w:r>
                </w:p>
              </w:tc>
            </w:tr>
            <w:tr w14:paraId="745CBE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29" w:type="pct"/>
                  <w:vMerge w:val="restart"/>
                  <w:tcBorders>
                    <w:tl2br w:val="nil"/>
                    <w:tr2bl w:val="nil"/>
                  </w:tcBorders>
                  <w:noWrap w:val="0"/>
                  <w:vAlign w:val="center"/>
                </w:tcPr>
                <w:p w14:paraId="12A6FE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生活</w:t>
                  </w:r>
                  <w:r>
                    <w:rPr>
                      <w:rFonts w:hint="eastAsia" w:ascii="Times New Roman" w:hAnsi="Times New Roman" w:eastAsia="宋体" w:cs="Times New Roman"/>
                      <w:color w:val="auto"/>
                      <w:kern w:val="0"/>
                      <w:sz w:val="21"/>
                      <w:szCs w:val="20"/>
                      <w:highlight w:val="none"/>
                      <w:lang w:val="en-US" w:eastAsia="zh-CN" w:bidi="ar-SA"/>
                    </w:rPr>
                    <w:t>污水</w:t>
                  </w:r>
                  <w:r>
                    <w:rPr>
                      <w:rFonts w:hint="default" w:ascii="Times New Roman" w:hAnsi="Times New Roman" w:eastAsia="宋体" w:cs="Times New Roman"/>
                      <w:color w:val="auto"/>
                      <w:kern w:val="0"/>
                      <w:sz w:val="21"/>
                      <w:szCs w:val="20"/>
                      <w:highlight w:val="none"/>
                      <w:lang w:val="en-US" w:eastAsia="zh-CN" w:bidi="ar-SA"/>
                    </w:rPr>
                    <w:t>（</w:t>
                  </w:r>
                  <w:r>
                    <w:rPr>
                      <w:rFonts w:hint="eastAsia" w:ascii="Times New Roman" w:hAnsi="Times New Roman" w:cs="Times New Roman"/>
                      <w:color w:val="auto"/>
                      <w:kern w:val="0"/>
                      <w:sz w:val="21"/>
                      <w:szCs w:val="20"/>
                      <w:highlight w:val="none"/>
                      <w:lang w:val="en-US" w:eastAsia="zh-CN" w:bidi="ar-SA"/>
                    </w:rPr>
                    <w:t>720.0</w:t>
                  </w:r>
                  <w:r>
                    <w:rPr>
                      <w:rFonts w:hint="default" w:ascii="Times New Roman" w:hAnsi="Times New Roman" w:eastAsia="宋体" w:cs="Times New Roman"/>
                      <w:color w:val="auto"/>
                      <w:kern w:val="0"/>
                      <w:sz w:val="21"/>
                      <w:szCs w:val="20"/>
                      <w:highlight w:val="none"/>
                      <w:lang w:val="en-US" w:eastAsia="zh-CN" w:bidi="ar-SA"/>
                    </w:rPr>
                    <w:t>t/a）</w:t>
                  </w:r>
                </w:p>
              </w:tc>
              <w:tc>
                <w:tcPr>
                  <w:tcW w:w="933" w:type="pct"/>
                  <w:tcBorders>
                    <w:tl2br w:val="nil"/>
                    <w:tr2bl w:val="nil"/>
                  </w:tcBorders>
                  <w:noWrap w:val="0"/>
                  <w:vAlign w:val="center"/>
                </w:tcPr>
                <w:p w14:paraId="29C4E1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污染物产生浓度（mg/L）</w:t>
                  </w:r>
                </w:p>
              </w:tc>
              <w:tc>
                <w:tcPr>
                  <w:tcW w:w="832" w:type="pct"/>
                  <w:tcBorders>
                    <w:tl2br w:val="nil"/>
                    <w:tr2bl w:val="nil"/>
                  </w:tcBorders>
                  <w:noWrap w:val="0"/>
                  <w:vAlign w:val="center"/>
                </w:tcPr>
                <w:p w14:paraId="769A6A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400</w:t>
                  </w:r>
                </w:p>
              </w:tc>
              <w:tc>
                <w:tcPr>
                  <w:tcW w:w="832" w:type="pct"/>
                  <w:tcBorders>
                    <w:tl2br w:val="nil"/>
                    <w:tr2bl w:val="nil"/>
                  </w:tcBorders>
                  <w:noWrap w:val="0"/>
                  <w:vAlign w:val="center"/>
                </w:tcPr>
                <w:p w14:paraId="38042C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200</w:t>
                  </w:r>
                </w:p>
              </w:tc>
              <w:tc>
                <w:tcPr>
                  <w:tcW w:w="832" w:type="pct"/>
                  <w:tcBorders>
                    <w:tl2br w:val="nil"/>
                    <w:tr2bl w:val="nil"/>
                  </w:tcBorders>
                  <w:noWrap w:val="0"/>
                  <w:vAlign w:val="center"/>
                </w:tcPr>
                <w:p w14:paraId="125628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2</w:t>
                  </w:r>
                  <w:r>
                    <w:rPr>
                      <w:rFonts w:hint="eastAsia" w:ascii="Times New Roman" w:hAnsi="Times New Roman" w:eastAsia="宋体" w:cs="Times New Roman"/>
                      <w:color w:val="auto"/>
                      <w:kern w:val="0"/>
                      <w:sz w:val="21"/>
                      <w:szCs w:val="20"/>
                      <w:highlight w:val="none"/>
                      <w:lang w:val="en-US" w:eastAsia="zh-CN" w:bidi="ar-SA"/>
                    </w:rPr>
                    <w:t>2</w:t>
                  </w:r>
                  <w:r>
                    <w:rPr>
                      <w:rFonts w:hint="default" w:ascii="Times New Roman" w:hAnsi="Times New Roman" w:eastAsia="宋体" w:cs="Times New Roman"/>
                      <w:color w:val="auto"/>
                      <w:kern w:val="0"/>
                      <w:sz w:val="21"/>
                      <w:szCs w:val="20"/>
                      <w:highlight w:val="none"/>
                      <w:lang w:val="en-US" w:eastAsia="zh-CN" w:bidi="ar-SA"/>
                    </w:rPr>
                    <w:t>0</w:t>
                  </w:r>
                </w:p>
              </w:tc>
              <w:tc>
                <w:tcPr>
                  <w:tcW w:w="840" w:type="pct"/>
                  <w:tcBorders>
                    <w:tl2br w:val="nil"/>
                    <w:tr2bl w:val="nil"/>
                  </w:tcBorders>
                  <w:noWrap w:val="0"/>
                  <w:vAlign w:val="center"/>
                </w:tcPr>
                <w:p w14:paraId="26561C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35</w:t>
                  </w:r>
                </w:p>
              </w:tc>
            </w:tr>
            <w:tr w14:paraId="7421BC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29" w:type="pct"/>
                  <w:vMerge w:val="continue"/>
                  <w:tcBorders>
                    <w:tl2br w:val="nil"/>
                    <w:tr2bl w:val="nil"/>
                  </w:tcBorders>
                  <w:noWrap w:val="0"/>
                  <w:vAlign w:val="center"/>
                </w:tcPr>
                <w:p w14:paraId="3C7CE2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p>
              </w:tc>
              <w:tc>
                <w:tcPr>
                  <w:tcW w:w="933" w:type="pct"/>
                  <w:tcBorders>
                    <w:tl2br w:val="nil"/>
                    <w:tr2bl w:val="nil"/>
                  </w:tcBorders>
                  <w:noWrap w:val="0"/>
                  <w:vAlign w:val="center"/>
                </w:tcPr>
                <w:p w14:paraId="4CCE72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污染物产生量（t/a）</w:t>
                  </w:r>
                </w:p>
              </w:tc>
              <w:tc>
                <w:tcPr>
                  <w:tcW w:w="832" w:type="pct"/>
                  <w:tcBorders>
                    <w:tl2br w:val="nil"/>
                    <w:tr2bl w:val="nil"/>
                  </w:tcBorders>
                  <w:noWrap w:val="0"/>
                  <w:vAlign w:val="center"/>
                </w:tcPr>
                <w:p w14:paraId="532EB5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cs="Times New Roman"/>
                      <w:color w:val="auto"/>
                      <w:kern w:val="0"/>
                      <w:sz w:val="21"/>
                      <w:szCs w:val="20"/>
                      <w:highlight w:val="none"/>
                      <w:lang w:val="en-US" w:eastAsia="zh-CN" w:bidi="ar-SA"/>
                    </w:rPr>
                    <w:t>0.2879</w:t>
                  </w:r>
                </w:p>
              </w:tc>
              <w:tc>
                <w:tcPr>
                  <w:tcW w:w="832" w:type="pct"/>
                  <w:tcBorders>
                    <w:tl2br w:val="nil"/>
                    <w:tr2bl w:val="nil"/>
                  </w:tcBorders>
                  <w:noWrap w:val="0"/>
                  <w:vAlign w:val="center"/>
                </w:tcPr>
                <w:p w14:paraId="45241E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cs="Times New Roman"/>
                      <w:color w:val="auto"/>
                      <w:kern w:val="0"/>
                      <w:sz w:val="21"/>
                      <w:szCs w:val="20"/>
                      <w:highlight w:val="none"/>
                      <w:lang w:val="en-US" w:eastAsia="zh-CN" w:bidi="ar-SA"/>
                    </w:rPr>
                    <w:t>0.1440</w:t>
                  </w:r>
                </w:p>
              </w:tc>
              <w:tc>
                <w:tcPr>
                  <w:tcW w:w="832" w:type="pct"/>
                  <w:tcBorders>
                    <w:tl2br w:val="nil"/>
                    <w:tr2bl w:val="nil"/>
                  </w:tcBorders>
                  <w:noWrap w:val="0"/>
                  <w:vAlign w:val="center"/>
                </w:tcPr>
                <w:p w14:paraId="64A868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cs="Times New Roman"/>
                      <w:color w:val="auto"/>
                      <w:kern w:val="0"/>
                      <w:sz w:val="21"/>
                      <w:szCs w:val="20"/>
                      <w:highlight w:val="none"/>
                      <w:lang w:val="en-US" w:eastAsia="zh-CN" w:bidi="ar-SA"/>
                    </w:rPr>
                    <w:t>0.1584</w:t>
                  </w:r>
                </w:p>
              </w:tc>
              <w:tc>
                <w:tcPr>
                  <w:tcW w:w="840" w:type="pct"/>
                  <w:tcBorders>
                    <w:tl2br w:val="nil"/>
                    <w:tr2bl w:val="nil"/>
                  </w:tcBorders>
                  <w:noWrap w:val="0"/>
                  <w:vAlign w:val="center"/>
                </w:tcPr>
                <w:p w14:paraId="7DD0F5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cs="Times New Roman"/>
                      <w:color w:val="auto"/>
                      <w:kern w:val="0"/>
                      <w:sz w:val="21"/>
                      <w:szCs w:val="20"/>
                      <w:highlight w:val="none"/>
                      <w:lang w:val="en-US" w:eastAsia="zh-CN" w:bidi="ar-SA"/>
                    </w:rPr>
                    <w:t>0.0252</w:t>
                  </w:r>
                </w:p>
              </w:tc>
            </w:tr>
            <w:tr w14:paraId="30D702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29" w:type="pct"/>
                  <w:tcBorders>
                    <w:tl2br w:val="nil"/>
                    <w:tr2bl w:val="nil"/>
                  </w:tcBorders>
                  <w:noWrap w:val="0"/>
                  <w:vAlign w:val="center"/>
                </w:tcPr>
                <w:p w14:paraId="7AA685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处理措施</w:t>
                  </w:r>
                </w:p>
              </w:tc>
              <w:tc>
                <w:tcPr>
                  <w:tcW w:w="4270" w:type="pct"/>
                  <w:gridSpan w:val="5"/>
                  <w:tcBorders>
                    <w:tl2br w:val="nil"/>
                    <w:tr2bl w:val="nil"/>
                  </w:tcBorders>
                  <w:noWrap w:val="0"/>
                  <w:vAlign w:val="center"/>
                </w:tcPr>
                <w:p w14:paraId="5A49CB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生活污水</w:t>
                  </w:r>
                  <w:r>
                    <w:rPr>
                      <w:rFonts w:hint="eastAsia" w:ascii="Times New Roman" w:hAnsi="Times New Roman" w:eastAsia="宋体" w:cs="Times New Roman"/>
                      <w:color w:val="auto"/>
                      <w:kern w:val="0"/>
                      <w:sz w:val="21"/>
                      <w:szCs w:val="20"/>
                      <w:highlight w:val="none"/>
                      <w:lang w:val="en-US" w:eastAsia="zh-CN" w:bidi="ar-SA"/>
                    </w:rPr>
                    <w:t>通过</w:t>
                  </w:r>
                  <w:r>
                    <w:rPr>
                      <w:rFonts w:hint="default" w:ascii="Times New Roman" w:hAnsi="Times New Roman" w:eastAsia="宋体" w:cs="Times New Roman"/>
                      <w:color w:val="auto"/>
                      <w:kern w:val="0"/>
                      <w:sz w:val="21"/>
                      <w:szCs w:val="20"/>
                      <w:highlight w:val="none"/>
                      <w:lang w:val="en-US" w:eastAsia="zh-CN" w:bidi="ar-SA"/>
                    </w:rPr>
                    <w:t>化粪池处理达标后排入市政管网，</w:t>
                  </w:r>
                  <w:r>
                    <w:rPr>
                      <w:rFonts w:hint="eastAsia" w:cs="Times New Roman"/>
                      <w:color w:val="auto"/>
                      <w:kern w:val="0"/>
                      <w:sz w:val="21"/>
                      <w:szCs w:val="20"/>
                      <w:highlight w:val="none"/>
                      <w:lang w:val="en-US" w:eastAsia="zh-CN" w:bidi="ar-SA"/>
                    </w:rPr>
                    <w:t>纳入</w:t>
                  </w:r>
                  <w:r>
                    <w:rPr>
                      <w:rFonts w:hint="eastAsia" w:ascii="Times New Roman" w:hAnsi="Times New Roman" w:eastAsia="宋体" w:cs="Times New Roman"/>
                      <w:color w:val="auto"/>
                      <w:kern w:val="0"/>
                      <w:sz w:val="21"/>
                      <w:szCs w:val="20"/>
                      <w:highlight w:val="none"/>
                      <w:lang w:val="en-US" w:eastAsia="zh-CN" w:bidi="ar-SA"/>
                    </w:rPr>
                    <w:t>大学城</w:t>
                  </w:r>
                  <w:r>
                    <w:rPr>
                      <w:rFonts w:hint="default" w:ascii="Times New Roman" w:hAnsi="Times New Roman" w:eastAsia="宋体" w:cs="Times New Roman"/>
                      <w:color w:val="auto"/>
                      <w:kern w:val="0"/>
                      <w:sz w:val="21"/>
                      <w:szCs w:val="20"/>
                      <w:highlight w:val="none"/>
                      <w:lang w:val="en-US" w:eastAsia="zh-CN" w:bidi="ar-SA"/>
                    </w:rPr>
                    <w:t>污水处理厂</w:t>
                  </w:r>
                </w:p>
              </w:tc>
            </w:tr>
            <w:tr w14:paraId="3E6B31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29" w:type="pct"/>
                  <w:tcBorders>
                    <w:tl2br w:val="nil"/>
                    <w:tr2bl w:val="nil"/>
                  </w:tcBorders>
                  <w:noWrap w:val="0"/>
                  <w:vAlign w:val="center"/>
                </w:tcPr>
                <w:p w14:paraId="6402F5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化粪池处理效率</w:t>
                  </w:r>
                </w:p>
              </w:tc>
              <w:tc>
                <w:tcPr>
                  <w:tcW w:w="935" w:type="pct"/>
                  <w:tcBorders>
                    <w:tl2br w:val="nil"/>
                    <w:tr2bl w:val="nil"/>
                  </w:tcBorders>
                  <w:noWrap w:val="0"/>
                  <w:vAlign w:val="center"/>
                </w:tcPr>
                <w:p w14:paraId="7658DF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w:t>
                  </w:r>
                </w:p>
              </w:tc>
              <w:tc>
                <w:tcPr>
                  <w:tcW w:w="832" w:type="pct"/>
                  <w:tcBorders>
                    <w:tl2br w:val="nil"/>
                    <w:tr2bl w:val="nil"/>
                  </w:tcBorders>
                  <w:noWrap w:val="0"/>
                  <w:vAlign w:val="center"/>
                </w:tcPr>
                <w:p w14:paraId="5ADB868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20%</w:t>
                  </w:r>
                </w:p>
              </w:tc>
              <w:tc>
                <w:tcPr>
                  <w:tcW w:w="832" w:type="pct"/>
                  <w:tcBorders>
                    <w:tl2br w:val="nil"/>
                    <w:tr2bl w:val="nil"/>
                  </w:tcBorders>
                  <w:noWrap w:val="0"/>
                  <w:vAlign w:val="center"/>
                </w:tcPr>
                <w:p w14:paraId="526700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15%</w:t>
                  </w:r>
                </w:p>
              </w:tc>
              <w:tc>
                <w:tcPr>
                  <w:tcW w:w="832" w:type="pct"/>
                  <w:tcBorders>
                    <w:tl2br w:val="nil"/>
                    <w:tr2bl w:val="nil"/>
                  </w:tcBorders>
                  <w:noWrap w:val="0"/>
                  <w:vAlign w:val="center"/>
                </w:tcPr>
                <w:p w14:paraId="225F28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30%</w:t>
                  </w:r>
                </w:p>
              </w:tc>
              <w:tc>
                <w:tcPr>
                  <w:tcW w:w="838" w:type="pct"/>
                  <w:tcBorders>
                    <w:tl2br w:val="nil"/>
                    <w:tr2bl w:val="nil"/>
                  </w:tcBorders>
                  <w:noWrap w:val="0"/>
                  <w:vAlign w:val="center"/>
                </w:tcPr>
                <w:p w14:paraId="30F18A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0%</w:t>
                  </w:r>
                </w:p>
              </w:tc>
            </w:tr>
            <w:tr w14:paraId="6CE404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29" w:type="pct"/>
                  <w:vMerge w:val="restart"/>
                  <w:tcBorders>
                    <w:tl2br w:val="nil"/>
                    <w:tr2bl w:val="nil"/>
                  </w:tcBorders>
                  <w:noWrap w:val="0"/>
                  <w:vAlign w:val="center"/>
                </w:tcPr>
                <w:p w14:paraId="68D402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生活污水（</w:t>
                  </w:r>
                  <w:r>
                    <w:rPr>
                      <w:rFonts w:hint="eastAsia" w:ascii="Times New Roman" w:hAnsi="Times New Roman" w:cs="Times New Roman"/>
                      <w:color w:val="auto"/>
                      <w:kern w:val="0"/>
                      <w:sz w:val="21"/>
                      <w:szCs w:val="20"/>
                      <w:highlight w:val="none"/>
                      <w:lang w:val="en-US" w:eastAsia="zh-CN" w:bidi="ar-SA"/>
                    </w:rPr>
                    <w:t>720.0</w:t>
                  </w:r>
                  <w:r>
                    <w:rPr>
                      <w:rFonts w:hint="eastAsia" w:ascii="Times New Roman" w:hAnsi="Times New Roman" w:eastAsia="宋体" w:cs="Times New Roman"/>
                      <w:color w:val="auto"/>
                      <w:kern w:val="0"/>
                      <w:sz w:val="21"/>
                      <w:szCs w:val="20"/>
                      <w:highlight w:val="none"/>
                      <w:lang w:val="en-US" w:eastAsia="zh-CN" w:bidi="ar-SA"/>
                    </w:rPr>
                    <w:t>t/a）</w:t>
                  </w:r>
                </w:p>
              </w:tc>
              <w:tc>
                <w:tcPr>
                  <w:tcW w:w="935" w:type="pct"/>
                  <w:tcBorders>
                    <w:tl2br w:val="nil"/>
                    <w:tr2bl w:val="nil"/>
                  </w:tcBorders>
                  <w:noWrap w:val="0"/>
                  <w:vAlign w:val="center"/>
                </w:tcPr>
                <w:p w14:paraId="58FC6E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经化粪池处理后废水排放浓度（mg/L）</w:t>
                  </w:r>
                </w:p>
              </w:tc>
              <w:tc>
                <w:tcPr>
                  <w:tcW w:w="832" w:type="pct"/>
                  <w:tcBorders>
                    <w:tl2br w:val="nil"/>
                    <w:tr2bl w:val="nil"/>
                  </w:tcBorders>
                  <w:noWrap w:val="0"/>
                  <w:vAlign w:val="center"/>
                </w:tcPr>
                <w:p w14:paraId="55A4F73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320</w:t>
                  </w:r>
                </w:p>
              </w:tc>
              <w:tc>
                <w:tcPr>
                  <w:tcW w:w="832" w:type="pct"/>
                  <w:tcBorders>
                    <w:tl2br w:val="nil"/>
                    <w:tr2bl w:val="nil"/>
                  </w:tcBorders>
                  <w:noWrap w:val="0"/>
                  <w:vAlign w:val="center"/>
                </w:tcPr>
                <w:p w14:paraId="79B0B8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170</w:t>
                  </w:r>
                </w:p>
              </w:tc>
              <w:tc>
                <w:tcPr>
                  <w:tcW w:w="832" w:type="pct"/>
                  <w:tcBorders>
                    <w:tl2br w:val="nil"/>
                    <w:tr2bl w:val="nil"/>
                  </w:tcBorders>
                  <w:noWrap w:val="0"/>
                  <w:vAlign w:val="center"/>
                </w:tcPr>
                <w:p w14:paraId="56E38E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154</w:t>
                  </w:r>
                </w:p>
              </w:tc>
              <w:tc>
                <w:tcPr>
                  <w:tcW w:w="838" w:type="pct"/>
                  <w:tcBorders>
                    <w:tl2br w:val="nil"/>
                    <w:tr2bl w:val="nil"/>
                  </w:tcBorders>
                  <w:noWrap w:val="0"/>
                  <w:vAlign w:val="center"/>
                </w:tcPr>
                <w:p w14:paraId="3ECA5C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35</w:t>
                  </w:r>
                </w:p>
              </w:tc>
            </w:tr>
            <w:tr w14:paraId="52C2B7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729" w:type="pct"/>
                  <w:vMerge w:val="continue"/>
                  <w:tcBorders>
                    <w:tl2br w:val="nil"/>
                    <w:tr2bl w:val="nil"/>
                  </w:tcBorders>
                  <w:noWrap w:val="0"/>
                  <w:vAlign w:val="center"/>
                </w:tcPr>
                <w:p w14:paraId="777513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p>
              </w:tc>
              <w:tc>
                <w:tcPr>
                  <w:tcW w:w="935" w:type="pct"/>
                  <w:tcBorders>
                    <w:tl2br w:val="nil"/>
                    <w:tr2bl w:val="nil"/>
                  </w:tcBorders>
                  <w:noWrap w:val="0"/>
                  <w:vAlign w:val="center"/>
                </w:tcPr>
                <w:p w14:paraId="44FFF0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经化粪池处理后废水排放量（t/a）</w:t>
                  </w:r>
                </w:p>
              </w:tc>
              <w:tc>
                <w:tcPr>
                  <w:tcW w:w="832" w:type="pct"/>
                  <w:tcBorders>
                    <w:tl2br w:val="nil"/>
                    <w:tr2bl w:val="nil"/>
                  </w:tcBorders>
                  <w:noWrap w:val="0"/>
                  <w:vAlign w:val="center"/>
                </w:tcPr>
                <w:p w14:paraId="6D5CBD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cs="Times New Roman"/>
                      <w:color w:val="auto"/>
                      <w:kern w:val="0"/>
                      <w:sz w:val="21"/>
                      <w:szCs w:val="20"/>
                      <w:highlight w:val="none"/>
                      <w:lang w:val="en-US" w:eastAsia="zh-CN" w:bidi="ar-SA"/>
                    </w:rPr>
                    <w:t>0.2304</w:t>
                  </w:r>
                </w:p>
              </w:tc>
              <w:tc>
                <w:tcPr>
                  <w:tcW w:w="832" w:type="pct"/>
                  <w:tcBorders>
                    <w:tl2br w:val="nil"/>
                    <w:tr2bl w:val="nil"/>
                  </w:tcBorders>
                  <w:noWrap w:val="0"/>
                  <w:vAlign w:val="center"/>
                </w:tcPr>
                <w:p w14:paraId="2D4AA3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cs="Times New Roman"/>
                      <w:color w:val="auto"/>
                      <w:kern w:val="0"/>
                      <w:sz w:val="21"/>
                      <w:szCs w:val="20"/>
                      <w:highlight w:val="none"/>
                      <w:lang w:val="en-US" w:eastAsia="zh-CN" w:bidi="ar-SA"/>
                    </w:rPr>
                    <w:t>0.1224</w:t>
                  </w:r>
                </w:p>
              </w:tc>
              <w:tc>
                <w:tcPr>
                  <w:tcW w:w="832" w:type="pct"/>
                  <w:tcBorders>
                    <w:tl2br w:val="nil"/>
                    <w:tr2bl w:val="nil"/>
                  </w:tcBorders>
                  <w:noWrap w:val="0"/>
                  <w:vAlign w:val="center"/>
                </w:tcPr>
                <w:p w14:paraId="1CD2DC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cs="Times New Roman"/>
                      <w:color w:val="auto"/>
                      <w:kern w:val="0"/>
                      <w:sz w:val="21"/>
                      <w:szCs w:val="20"/>
                      <w:highlight w:val="none"/>
                      <w:lang w:val="en-US" w:eastAsia="zh-CN" w:bidi="ar-SA"/>
                    </w:rPr>
                    <w:t>0.1109</w:t>
                  </w:r>
                </w:p>
              </w:tc>
              <w:tc>
                <w:tcPr>
                  <w:tcW w:w="838" w:type="pct"/>
                  <w:tcBorders>
                    <w:tl2br w:val="nil"/>
                    <w:tr2bl w:val="nil"/>
                  </w:tcBorders>
                  <w:noWrap w:val="0"/>
                  <w:vAlign w:val="center"/>
                </w:tcPr>
                <w:p w14:paraId="4799BE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cs="Times New Roman"/>
                      <w:color w:val="auto"/>
                      <w:kern w:val="0"/>
                      <w:sz w:val="21"/>
                      <w:szCs w:val="20"/>
                      <w:highlight w:val="none"/>
                      <w:lang w:val="en-US" w:eastAsia="zh-CN" w:bidi="ar-SA"/>
                    </w:rPr>
                    <w:t>0.0252</w:t>
                  </w:r>
                </w:p>
              </w:tc>
            </w:tr>
          </w:tbl>
          <w:p w14:paraId="3783273A">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highlight w:val="none"/>
                <w:lang w:val="en-US" w:eastAsia="zh-CN" w:bidi="ar-SA"/>
              </w:rPr>
            </w:pPr>
            <w:r>
              <w:rPr>
                <w:rFonts w:hint="eastAsia" w:ascii="Times New Roman" w:hAnsi="Times New Roman" w:eastAsia="宋体" w:cs="Times New Roman"/>
                <w:b/>
                <w:color w:val="auto"/>
                <w:kern w:val="0"/>
                <w:sz w:val="24"/>
                <w:szCs w:val="20"/>
                <w:highlight w:val="none"/>
                <w:lang w:val="en-US" w:eastAsia="zh-CN" w:bidi="ar-SA"/>
              </w:rPr>
              <w:t>表4.1-2运营期生产废水产生排放情况</w:t>
            </w:r>
          </w:p>
          <w:tbl>
            <w:tblPr>
              <w:tblStyle w:val="19"/>
              <w:tblW w:w="8172" w:type="dxa"/>
              <w:tblInd w:w="-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898"/>
              <w:gridCol w:w="933"/>
              <w:gridCol w:w="1576"/>
              <w:gridCol w:w="1588"/>
              <w:gridCol w:w="1588"/>
              <w:gridCol w:w="1589"/>
            </w:tblGrid>
            <w:tr w14:paraId="320C89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85" w:type="pct"/>
                  <w:tcBorders>
                    <w:tl2br w:val="nil"/>
                    <w:tr2bl w:val="nil"/>
                  </w:tcBorders>
                  <w:noWrap w:val="0"/>
                  <w:vAlign w:val="center"/>
                </w:tcPr>
                <w:p w14:paraId="0732546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废水量</w:t>
                  </w:r>
                </w:p>
              </w:tc>
              <w:tc>
                <w:tcPr>
                  <w:tcW w:w="584" w:type="pct"/>
                  <w:tcBorders>
                    <w:tl2br w:val="nil"/>
                    <w:tr2bl w:val="nil"/>
                  </w:tcBorders>
                  <w:noWrap w:val="0"/>
                  <w:vAlign w:val="center"/>
                </w:tcPr>
                <w:p w14:paraId="19112B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项目</w:t>
                  </w:r>
                </w:p>
              </w:tc>
              <w:tc>
                <w:tcPr>
                  <w:tcW w:w="977" w:type="pct"/>
                  <w:tcBorders>
                    <w:tl2br w:val="nil"/>
                    <w:tr2bl w:val="nil"/>
                  </w:tcBorders>
                  <w:noWrap w:val="0"/>
                  <w:vAlign w:val="center"/>
                </w:tcPr>
                <w:p w14:paraId="5E52A52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COD</w:t>
                  </w:r>
                  <w:r>
                    <w:rPr>
                      <w:rFonts w:hint="default" w:ascii="Times New Roman" w:hAnsi="Times New Roman" w:eastAsia="宋体" w:cs="Times New Roman"/>
                      <w:b/>
                      <w:bCs/>
                      <w:color w:val="auto"/>
                      <w:kern w:val="0"/>
                      <w:sz w:val="21"/>
                      <w:szCs w:val="20"/>
                      <w:highlight w:val="none"/>
                      <w:vertAlign w:val="subscript"/>
                      <w:lang w:val="en-US" w:eastAsia="zh-CN" w:bidi="ar-SA"/>
                    </w:rPr>
                    <w:t>cr</w:t>
                  </w:r>
                </w:p>
              </w:tc>
              <w:tc>
                <w:tcPr>
                  <w:tcW w:w="984" w:type="pct"/>
                  <w:tcBorders>
                    <w:tl2br w:val="nil"/>
                    <w:tr2bl w:val="nil"/>
                  </w:tcBorders>
                  <w:noWrap w:val="0"/>
                  <w:vAlign w:val="center"/>
                </w:tcPr>
                <w:p w14:paraId="14E65B8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NH</w:t>
                  </w:r>
                  <w:r>
                    <w:rPr>
                      <w:rFonts w:hint="default" w:ascii="Times New Roman" w:hAnsi="Times New Roman" w:eastAsia="宋体" w:cs="Times New Roman"/>
                      <w:b/>
                      <w:bCs/>
                      <w:color w:val="auto"/>
                      <w:kern w:val="0"/>
                      <w:sz w:val="21"/>
                      <w:szCs w:val="20"/>
                      <w:highlight w:val="none"/>
                      <w:vertAlign w:val="subscript"/>
                      <w:lang w:val="en-US" w:eastAsia="zh-CN" w:bidi="ar-SA"/>
                    </w:rPr>
                    <w:t>3</w:t>
                  </w:r>
                  <w:r>
                    <w:rPr>
                      <w:rFonts w:hint="default" w:ascii="Times New Roman" w:hAnsi="Times New Roman" w:eastAsia="宋体" w:cs="Times New Roman"/>
                      <w:b/>
                      <w:bCs/>
                      <w:color w:val="auto"/>
                      <w:kern w:val="0"/>
                      <w:sz w:val="21"/>
                      <w:szCs w:val="20"/>
                      <w:highlight w:val="none"/>
                      <w:lang w:val="en-US" w:eastAsia="zh-CN" w:bidi="ar-SA"/>
                    </w:rPr>
                    <w:t>-N</w:t>
                  </w:r>
                </w:p>
              </w:tc>
              <w:tc>
                <w:tcPr>
                  <w:tcW w:w="984" w:type="pct"/>
                  <w:tcBorders>
                    <w:tl2br w:val="nil"/>
                    <w:tr2bl w:val="nil"/>
                  </w:tcBorders>
                  <w:noWrap w:val="0"/>
                  <w:vAlign w:val="center"/>
                </w:tcPr>
                <w:p w14:paraId="46B54F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eastAsia" w:cs="Times New Roman"/>
                      <w:b/>
                      <w:bCs/>
                      <w:color w:val="auto"/>
                      <w:kern w:val="0"/>
                      <w:sz w:val="21"/>
                      <w:szCs w:val="20"/>
                      <w:highlight w:val="none"/>
                      <w:lang w:val="en-US" w:eastAsia="zh-CN" w:bidi="ar-SA"/>
                    </w:rPr>
                    <w:t>SS</w:t>
                  </w:r>
                </w:p>
              </w:tc>
              <w:tc>
                <w:tcPr>
                  <w:tcW w:w="984" w:type="pct"/>
                  <w:tcBorders>
                    <w:tl2br w:val="nil"/>
                    <w:tr2bl w:val="nil"/>
                  </w:tcBorders>
                  <w:noWrap w:val="0"/>
                  <w:vAlign w:val="center"/>
                </w:tcPr>
                <w:p w14:paraId="062D4F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eastAsia"/>
                      <w:b/>
                      <w:bCs/>
                      <w:color w:val="auto"/>
                      <w:lang w:val="en-US" w:eastAsia="zh-CN"/>
                    </w:rPr>
                    <w:t>LAS</w:t>
                  </w:r>
                </w:p>
              </w:tc>
            </w:tr>
            <w:tr w14:paraId="2CEA56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85" w:type="pct"/>
                  <w:vMerge w:val="restart"/>
                  <w:tcBorders>
                    <w:tl2br w:val="nil"/>
                    <w:tr2bl w:val="nil"/>
                  </w:tcBorders>
                  <w:noWrap w:val="0"/>
                  <w:vAlign w:val="center"/>
                </w:tcPr>
                <w:p w14:paraId="18A8EE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生产废水5058.16t/a</w:t>
                  </w:r>
                </w:p>
              </w:tc>
              <w:tc>
                <w:tcPr>
                  <w:tcW w:w="584" w:type="pct"/>
                  <w:tcBorders>
                    <w:tl2br w:val="nil"/>
                    <w:tr2bl w:val="nil"/>
                  </w:tcBorders>
                  <w:noWrap w:val="0"/>
                  <w:vAlign w:val="center"/>
                </w:tcPr>
                <w:p w14:paraId="2B4B32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污染物</w:t>
                  </w:r>
                  <w:r>
                    <w:rPr>
                      <w:rFonts w:hint="eastAsia" w:ascii="Times New Roman" w:hAnsi="Times New Roman" w:eastAsia="宋体" w:cs="Times New Roman"/>
                      <w:color w:val="auto"/>
                      <w:kern w:val="0"/>
                      <w:sz w:val="21"/>
                      <w:szCs w:val="20"/>
                      <w:highlight w:val="none"/>
                      <w:lang w:val="en-US" w:eastAsia="zh-CN" w:bidi="ar-SA"/>
                    </w:rPr>
                    <w:t>产生</w:t>
                  </w:r>
                  <w:r>
                    <w:rPr>
                      <w:rFonts w:hint="default" w:ascii="Times New Roman" w:hAnsi="Times New Roman" w:eastAsia="宋体" w:cs="Times New Roman"/>
                      <w:color w:val="auto"/>
                      <w:kern w:val="0"/>
                      <w:sz w:val="21"/>
                      <w:szCs w:val="20"/>
                      <w:highlight w:val="none"/>
                      <w:lang w:val="en-US" w:eastAsia="zh-CN" w:bidi="ar-SA"/>
                    </w:rPr>
                    <w:t>浓度（mg/L）</w:t>
                  </w:r>
                </w:p>
              </w:tc>
              <w:tc>
                <w:tcPr>
                  <w:tcW w:w="977" w:type="pct"/>
                  <w:tcBorders>
                    <w:tl2br w:val="nil"/>
                    <w:tr2bl w:val="nil"/>
                  </w:tcBorders>
                  <w:noWrap w:val="0"/>
                  <w:vAlign w:val="center"/>
                </w:tcPr>
                <w:p w14:paraId="5CCAC9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144.301</w:t>
                  </w:r>
                </w:p>
              </w:tc>
              <w:tc>
                <w:tcPr>
                  <w:tcW w:w="984" w:type="pct"/>
                  <w:tcBorders>
                    <w:tl2br w:val="nil"/>
                    <w:tr2bl w:val="nil"/>
                  </w:tcBorders>
                  <w:noWrap w:val="0"/>
                  <w:vAlign w:val="center"/>
                </w:tcPr>
                <w:p w14:paraId="0D1CA5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5.914</w:t>
                  </w:r>
                </w:p>
              </w:tc>
              <w:tc>
                <w:tcPr>
                  <w:tcW w:w="984" w:type="pct"/>
                  <w:tcBorders>
                    <w:tl2br w:val="nil"/>
                    <w:tr2bl w:val="nil"/>
                  </w:tcBorders>
                  <w:noWrap w:val="0"/>
                  <w:vAlign w:val="center"/>
                </w:tcPr>
                <w:p w14:paraId="17D993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138</w:t>
                  </w:r>
                </w:p>
              </w:tc>
              <w:tc>
                <w:tcPr>
                  <w:tcW w:w="984" w:type="pct"/>
                  <w:tcBorders>
                    <w:tl2br w:val="nil"/>
                    <w:tr2bl w:val="nil"/>
                  </w:tcBorders>
                  <w:noWrap w:val="0"/>
                  <w:vAlign w:val="center"/>
                </w:tcPr>
                <w:p w14:paraId="2C87A7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1.32</w:t>
                  </w:r>
                </w:p>
              </w:tc>
            </w:tr>
            <w:tr w14:paraId="2CF41E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85" w:type="pct"/>
                  <w:vMerge w:val="continue"/>
                  <w:tcBorders>
                    <w:tl2br w:val="nil"/>
                    <w:tr2bl w:val="nil"/>
                  </w:tcBorders>
                  <w:noWrap w:val="0"/>
                  <w:vAlign w:val="center"/>
                </w:tcPr>
                <w:p w14:paraId="4BC7D0B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p>
              </w:tc>
              <w:tc>
                <w:tcPr>
                  <w:tcW w:w="584" w:type="pct"/>
                  <w:tcBorders>
                    <w:tl2br w:val="nil"/>
                    <w:tr2bl w:val="nil"/>
                  </w:tcBorders>
                  <w:noWrap w:val="0"/>
                  <w:vAlign w:val="center"/>
                </w:tcPr>
                <w:p w14:paraId="04D14E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污染物</w:t>
                  </w:r>
                  <w:r>
                    <w:rPr>
                      <w:rFonts w:hint="eastAsia" w:ascii="Times New Roman" w:hAnsi="Times New Roman" w:eastAsia="宋体" w:cs="Times New Roman"/>
                      <w:color w:val="auto"/>
                      <w:kern w:val="0"/>
                      <w:sz w:val="21"/>
                      <w:szCs w:val="20"/>
                      <w:highlight w:val="none"/>
                      <w:lang w:val="en-US" w:eastAsia="zh-CN" w:bidi="ar-SA"/>
                    </w:rPr>
                    <w:t>产生</w:t>
                  </w:r>
                  <w:r>
                    <w:rPr>
                      <w:rFonts w:hint="default" w:ascii="Times New Roman" w:hAnsi="Times New Roman" w:eastAsia="宋体" w:cs="Times New Roman"/>
                      <w:color w:val="auto"/>
                      <w:kern w:val="0"/>
                      <w:sz w:val="21"/>
                      <w:szCs w:val="20"/>
                      <w:highlight w:val="none"/>
                      <w:lang w:val="en-US" w:eastAsia="zh-CN" w:bidi="ar-SA"/>
                    </w:rPr>
                    <w:t>量（t/a）</w:t>
                  </w:r>
                </w:p>
              </w:tc>
              <w:tc>
                <w:tcPr>
                  <w:tcW w:w="977" w:type="pct"/>
                  <w:tcBorders>
                    <w:tl2br w:val="nil"/>
                    <w:tr2bl w:val="nil"/>
                  </w:tcBorders>
                  <w:noWrap w:val="0"/>
                  <w:vAlign w:val="center"/>
                </w:tcPr>
                <w:p w14:paraId="5A27F9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0.7299</w:t>
                  </w:r>
                </w:p>
              </w:tc>
              <w:tc>
                <w:tcPr>
                  <w:tcW w:w="984" w:type="pct"/>
                  <w:tcBorders>
                    <w:tl2br w:val="nil"/>
                    <w:tr2bl w:val="nil"/>
                  </w:tcBorders>
                  <w:noWrap w:val="0"/>
                  <w:vAlign w:val="center"/>
                </w:tcPr>
                <w:p w14:paraId="208F82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0.0036</w:t>
                  </w:r>
                </w:p>
              </w:tc>
              <w:tc>
                <w:tcPr>
                  <w:tcW w:w="984" w:type="pct"/>
                  <w:tcBorders>
                    <w:tl2br w:val="nil"/>
                    <w:tr2bl w:val="nil"/>
                  </w:tcBorders>
                  <w:noWrap w:val="0"/>
                  <w:vAlign w:val="center"/>
                </w:tcPr>
                <w:p w14:paraId="770127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0.6980</w:t>
                  </w:r>
                </w:p>
              </w:tc>
              <w:tc>
                <w:tcPr>
                  <w:tcW w:w="984" w:type="pct"/>
                  <w:tcBorders>
                    <w:tl2br w:val="nil"/>
                    <w:tr2bl w:val="nil"/>
                  </w:tcBorders>
                  <w:noWrap w:val="0"/>
                  <w:vAlign w:val="center"/>
                </w:tcPr>
                <w:p w14:paraId="3A4BB0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0.0668</w:t>
                  </w:r>
                </w:p>
              </w:tc>
            </w:tr>
            <w:tr w14:paraId="264910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85" w:type="pct"/>
                  <w:tcBorders>
                    <w:tl2br w:val="nil"/>
                    <w:tr2bl w:val="nil"/>
                  </w:tcBorders>
                  <w:noWrap w:val="0"/>
                  <w:vAlign w:val="center"/>
                </w:tcPr>
                <w:p w14:paraId="191938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处理措施</w:t>
                  </w:r>
                </w:p>
              </w:tc>
              <w:tc>
                <w:tcPr>
                  <w:tcW w:w="4514" w:type="pct"/>
                  <w:gridSpan w:val="5"/>
                  <w:tcBorders>
                    <w:tl2br w:val="nil"/>
                    <w:tr2bl w:val="nil"/>
                  </w:tcBorders>
                  <w:noWrap w:val="0"/>
                  <w:vAlign w:val="center"/>
                </w:tcPr>
                <w:p w14:paraId="6338CFEF">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经过三级沉淀池沉淀处理达标</w:t>
                  </w:r>
                  <w:r>
                    <w:rPr>
                      <w:rFonts w:hint="eastAsia" w:cs="Times New Roman"/>
                      <w:color w:val="auto"/>
                      <w:kern w:val="0"/>
                      <w:sz w:val="21"/>
                      <w:szCs w:val="20"/>
                      <w:highlight w:val="none"/>
                      <w:lang w:val="en-US" w:eastAsia="zh-CN" w:bidi="ar-SA"/>
                    </w:rPr>
                    <w:t>后进</w:t>
                  </w:r>
                  <w:r>
                    <w:rPr>
                      <w:rFonts w:hint="eastAsia" w:ascii="Times New Roman" w:hAnsi="Times New Roman" w:eastAsia="宋体" w:cs="Times New Roman"/>
                      <w:color w:val="auto"/>
                      <w:kern w:val="0"/>
                      <w:sz w:val="21"/>
                      <w:szCs w:val="20"/>
                      <w:highlight w:val="none"/>
                      <w:lang w:val="en-US" w:eastAsia="zh-CN" w:bidi="ar-SA"/>
                    </w:rPr>
                    <w:t>入市政管网，纳入大学城污水处理厂</w:t>
                  </w:r>
                </w:p>
              </w:tc>
            </w:tr>
            <w:tr w14:paraId="273741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485" w:type="pct"/>
                  <w:vMerge w:val="restart"/>
                  <w:tcBorders>
                    <w:tl2br w:val="nil"/>
                    <w:tr2bl w:val="nil"/>
                  </w:tcBorders>
                  <w:noWrap w:val="0"/>
                  <w:vAlign w:val="center"/>
                </w:tcPr>
                <w:p w14:paraId="575D05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生产废水5058.16t/a</w:t>
                  </w:r>
                </w:p>
              </w:tc>
              <w:tc>
                <w:tcPr>
                  <w:tcW w:w="584" w:type="pct"/>
                  <w:tcBorders>
                    <w:tl2br w:val="nil"/>
                    <w:tr2bl w:val="nil"/>
                  </w:tcBorders>
                  <w:noWrap w:val="0"/>
                  <w:vAlign w:val="center"/>
                </w:tcPr>
                <w:p w14:paraId="2B1F1FF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污染物</w:t>
                  </w:r>
                  <w:r>
                    <w:rPr>
                      <w:rFonts w:hint="eastAsia" w:ascii="Times New Roman" w:hAnsi="Times New Roman" w:eastAsia="宋体" w:cs="Times New Roman"/>
                      <w:color w:val="auto"/>
                      <w:kern w:val="0"/>
                      <w:sz w:val="21"/>
                      <w:szCs w:val="20"/>
                      <w:highlight w:val="none"/>
                      <w:lang w:val="en-US" w:eastAsia="zh-CN" w:bidi="ar-SA"/>
                    </w:rPr>
                    <w:t>排放</w:t>
                  </w:r>
                  <w:r>
                    <w:rPr>
                      <w:rFonts w:hint="default" w:ascii="Times New Roman" w:hAnsi="Times New Roman" w:eastAsia="宋体" w:cs="Times New Roman"/>
                      <w:color w:val="auto"/>
                      <w:kern w:val="0"/>
                      <w:sz w:val="21"/>
                      <w:szCs w:val="20"/>
                      <w:highlight w:val="none"/>
                      <w:lang w:val="en-US" w:eastAsia="zh-CN" w:bidi="ar-SA"/>
                    </w:rPr>
                    <w:t>浓度（mg/L）</w:t>
                  </w:r>
                </w:p>
              </w:tc>
              <w:tc>
                <w:tcPr>
                  <w:tcW w:w="977" w:type="pct"/>
                  <w:tcBorders>
                    <w:tl2br w:val="nil"/>
                    <w:tr2bl w:val="nil"/>
                  </w:tcBorders>
                  <w:noWrap w:val="0"/>
                  <w:vAlign w:val="center"/>
                </w:tcPr>
                <w:p w14:paraId="698498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93.796</w:t>
                  </w:r>
                </w:p>
              </w:tc>
              <w:tc>
                <w:tcPr>
                  <w:tcW w:w="984" w:type="pct"/>
                  <w:tcBorders>
                    <w:tl2br w:val="nil"/>
                    <w:tr2bl w:val="nil"/>
                  </w:tcBorders>
                  <w:noWrap w:val="0"/>
                  <w:vAlign w:val="center"/>
                </w:tcPr>
                <w:p w14:paraId="13FFE0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5.914</w:t>
                  </w:r>
                </w:p>
              </w:tc>
              <w:tc>
                <w:tcPr>
                  <w:tcW w:w="984" w:type="pct"/>
                  <w:tcBorders>
                    <w:tl2br w:val="nil"/>
                    <w:tr2bl w:val="nil"/>
                  </w:tcBorders>
                  <w:noWrap w:val="0"/>
                  <w:vAlign w:val="center"/>
                </w:tcPr>
                <w:p w14:paraId="5987C0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41.4</w:t>
                  </w:r>
                </w:p>
              </w:tc>
              <w:tc>
                <w:tcPr>
                  <w:tcW w:w="984" w:type="pct"/>
                  <w:tcBorders>
                    <w:tl2br w:val="nil"/>
                    <w:tr2bl w:val="nil"/>
                  </w:tcBorders>
                  <w:noWrap w:val="0"/>
                  <w:vAlign w:val="center"/>
                </w:tcPr>
                <w:p w14:paraId="65FFBF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1.32</w:t>
                  </w:r>
                </w:p>
              </w:tc>
            </w:tr>
            <w:tr w14:paraId="0F560A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485" w:type="pct"/>
                  <w:vMerge w:val="continue"/>
                  <w:tcBorders>
                    <w:tl2br w:val="nil"/>
                    <w:tr2bl w:val="nil"/>
                  </w:tcBorders>
                  <w:noWrap w:val="0"/>
                  <w:vAlign w:val="center"/>
                </w:tcPr>
                <w:p w14:paraId="5B9360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p>
              </w:tc>
              <w:tc>
                <w:tcPr>
                  <w:tcW w:w="584" w:type="pct"/>
                  <w:tcBorders>
                    <w:tl2br w:val="nil"/>
                    <w:tr2bl w:val="nil"/>
                  </w:tcBorders>
                  <w:noWrap w:val="0"/>
                  <w:vAlign w:val="center"/>
                </w:tcPr>
                <w:p w14:paraId="0725C5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污染物</w:t>
                  </w:r>
                  <w:r>
                    <w:rPr>
                      <w:rFonts w:hint="eastAsia" w:ascii="Times New Roman" w:hAnsi="Times New Roman" w:eastAsia="宋体" w:cs="Times New Roman"/>
                      <w:color w:val="auto"/>
                      <w:kern w:val="0"/>
                      <w:sz w:val="21"/>
                      <w:szCs w:val="20"/>
                      <w:highlight w:val="none"/>
                      <w:lang w:val="en-US" w:eastAsia="zh-CN" w:bidi="ar-SA"/>
                    </w:rPr>
                    <w:t>排放</w:t>
                  </w:r>
                  <w:r>
                    <w:rPr>
                      <w:rFonts w:hint="default" w:ascii="Times New Roman" w:hAnsi="Times New Roman" w:eastAsia="宋体" w:cs="Times New Roman"/>
                      <w:color w:val="auto"/>
                      <w:kern w:val="0"/>
                      <w:sz w:val="21"/>
                      <w:szCs w:val="20"/>
                      <w:highlight w:val="none"/>
                      <w:lang w:val="en-US" w:eastAsia="zh-CN" w:bidi="ar-SA"/>
                    </w:rPr>
                    <w:t>量（t/a）</w:t>
                  </w:r>
                </w:p>
              </w:tc>
              <w:tc>
                <w:tcPr>
                  <w:tcW w:w="977" w:type="pct"/>
                  <w:tcBorders>
                    <w:tl2br w:val="nil"/>
                    <w:tr2bl w:val="nil"/>
                  </w:tcBorders>
                  <w:noWrap w:val="0"/>
                  <w:vAlign w:val="center"/>
                </w:tcPr>
                <w:p w14:paraId="549E511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0.4744</w:t>
                  </w:r>
                </w:p>
              </w:tc>
              <w:tc>
                <w:tcPr>
                  <w:tcW w:w="984" w:type="pct"/>
                  <w:tcBorders>
                    <w:tl2br w:val="nil"/>
                    <w:tr2bl w:val="nil"/>
                  </w:tcBorders>
                  <w:noWrap w:val="0"/>
                  <w:vAlign w:val="center"/>
                </w:tcPr>
                <w:p w14:paraId="3730AF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0.0036</w:t>
                  </w:r>
                </w:p>
              </w:tc>
              <w:tc>
                <w:tcPr>
                  <w:tcW w:w="984" w:type="pct"/>
                  <w:tcBorders>
                    <w:tl2br w:val="nil"/>
                    <w:tr2bl w:val="nil"/>
                  </w:tcBorders>
                  <w:noWrap w:val="0"/>
                  <w:vAlign w:val="center"/>
                </w:tcPr>
                <w:p w14:paraId="3A1880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0.2094</w:t>
                  </w:r>
                </w:p>
              </w:tc>
              <w:tc>
                <w:tcPr>
                  <w:tcW w:w="984" w:type="pct"/>
                  <w:tcBorders>
                    <w:tl2br w:val="nil"/>
                    <w:tr2bl w:val="nil"/>
                  </w:tcBorders>
                  <w:noWrap w:val="0"/>
                  <w:vAlign w:val="center"/>
                </w:tcPr>
                <w:p w14:paraId="792A16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0.0668</w:t>
                  </w:r>
                </w:p>
              </w:tc>
            </w:tr>
          </w:tbl>
          <w:p w14:paraId="265D4657">
            <w:pPr>
              <w:pStyle w:val="27"/>
              <w:bidi w:val="0"/>
              <w:rPr>
                <w:rFonts w:hint="default"/>
                <w:color w:val="auto"/>
                <w:highlight w:val="none"/>
                <w:vertAlign w:val="baseline"/>
                <w:lang w:val="en-US" w:eastAsia="zh-CN"/>
              </w:rPr>
            </w:pPr>
            <w:r>
              <w:rPr>
                <w:rFonts w:hint="eastAsia"/>
                <w:color w:val="auto"/>
                <w:highlight w:val="none"/>
                <w:lang w:val="en-US" w:eastAsia="zh-CN"/>
              </w:rPr>
              <w:t>表4.1-3综合废水排放情况</w:t>
            </w:r>
          </w:p>
          <w:tbl>
            <w:tblPr>
              <w:tblStyle w:val="20"/>
              <w:tblW w:w="8165"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1294"/>
              <w:gridCol w:w="1152"/>
              <w:gridCol w:w="1150"/>
              <w:gridCol w:w="1153"/>
              <w:gridCol w:w="1154"/>
              <w:gridCol w:w="1153"/>
            </w:tblGrid>
            <w:tr w14:paraId="059CDF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1029" w:type="dxa"/>
                  <w:tcBorders>
                    <w:tl2br w:val="nil"/>
                    <w:tr2bl w:val="nil"/>
                  </w:tcBorders>
                  <w:noWrap w:val="0"/>
                  <w:vAlign w:val="center"/>
                </w:tcPr>
                <w:p w14:paraId="69E8729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b/>
                      <w:bCs/>
                      <w:color w:val="auto"/>
                      <w:highlight w:val="none"/>
                      <w:lang w:val="en-US" w:eastAsia="zh-CN"/>
                    </w:rPr>
                  </w:pPr>
                  <w:r>
                    <w:rPr>
                      <w:rFonts w:hint="eastAsia"/>
                      <w:b/>
                      <w:bCs/>
                      <w:color w:val="auto"/>
                      <w:highlight w:val="none"/>
                      <w:lang w:val="en-US" w:eastAsia="zh-CN"/>
                    </w:rPr>
                    <w:t>废水量</w:t>
                  </w:r>
                </w:p>
              </w:tc>
              <w:tc>
                <w:tcPr>
                  <w:tcW w:w="1303" w:type="dxa"/>
                  <w:tcBorders>
                    <w:tl2br w:val="nil"/>
                    <w:tr2bl w:val="nil"/>
                  </w:tcBorders>
                  <w:noWrap w:val="0"/>
                  <w:vAlign w:val="center"/>
                </w:tcPr>
                <w:p w14:paraId="46D3385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b/>
                      <w:bCs/>
                      <w:color w:val="auto"/>
                      <w:highlight w:val="none"/>
                      <w:lang w:val="en-US" w:eastAsia="zh-CN"/>
                    </w:rPr>
                  </w:pPr>
                  <w:r>
                    <w:rPr>
                      <w:rFonts w:hint="eastAsia"/>
                      <w:b/>
                      <w:bCs/>
                      <w:color w:val="auto"/>
                      <w:highlight w:val="none"/>
                      <w:lang w:val="en-US" w:eastAsia="zh-CN"/>
                    </w:rPr>
                    <w:t>项目</w:t>
                  </w:r>
                </w:p>
              </w:tc>
              <w:tc>
                <w:tcPr>
                  <w:tcW w:w="1166" w:type="dxa"/>
                  <w:tcBorders>
                    <w:tl2br w:val="nil"/>
                    <w:tr2bl w:val="nil"/>
                  </w:tcBorders>
                  <w:noWrap w:val="0"/>
                  <w:vAlign w:val="center"/>
                </w:tcPr>
                <w:p w14:paraId="157006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COD</w:t>
                  </w:r>
                  <w:r>
                    <w:rPr>
                      <w:rFonts w:hint="default" w:ascii="Times New Roman" w:hAnsi="Times New Roman" w:eastAsia="宋体" w:cs="Times New Roman"/>
                      <w:b/>
                      <w:bCs/>
                      <w:color w:val="auto"/>
                      <w:kern w:val="0"/>
                      <w:sz w:val="21"/>
                      <w:szCs w:val="20"/>
                      <w:highlight w:val="none"/>
                      <w:vertAlign w:val="subscript"/>
                      <w:lang w:val="en-US" w:eastAsia="zh-CN" w:bidi="ar-SA"/>
                    </w:rPr>
                    <w:t>cr</w:t>
                  </w:r>
                </w:p>
              </w:tc>
              <w:tc>
                <w:tcPr>
                  <w:tcW w:w="1166" w:type="dxa"/>
                  <w:tcBorders>
                    <w:tl2br w:val="nil"/>
                    <w:tr2bl w:val="nil"/>
                  </w:tcBorders>
                  <w:noWrap w:val="0"/>
                  <w:vAlign w:val="center"/>
                </w:tcPr>
                <w:p w14:paraId="36E591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BOD</w:t>
                  </w:r>
                  <w:r>
                    <w:rPr>
                      <w:rFonts w:hint="default" w:ascii="Times New Roman" w:hAnsi="Times New Roman" w:eastAsia="宋体" w:cs="Times New Roman"/>
                      <w:b/>
                      <w:bCs/>
                      <w:color w:val="auto"/>
                      <w:kern w:val="0"/>
                      <w:sz w:val="21"/>
                      <w:szCs w:val="20"/>
                      <w:highlight w:val="none"/>
                      <w:vertAlign w:val="subscript"/>
                      <w:lang w:val="en-US" w:eastAsia="zh-CN" w:bidi="ar-SA"/>
                    </w:rPr>
                    <w:t>5</w:t>
                  </w:r>
                </w:p>
              </w:tc>
              <w:tc>
                <w:tcPr>
                  <w:tcW w:w="1167" w:type="dxa"/>
                  <w:tcBorders>
                    <w:tl2br w:val="nil"/>
                    <w:tr2bl w:val="nil"/>
                  </w:tcBorders>
                  <w:noWrap w:val="0"/>
                  <w:vAlign w:val="center"/>
                </w:tcPr>
                <w:p w14:paraId="03D1C07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SS</w:t>
                  </w:r>
                </w:p>
              </w:tc>
              <w:tc>
                <w:tcPr>
                  <w:tcW w:w="1167" w:type="dxa"/>
                  <w:tcBorders>
                    <w:tl2br w:val="nil"/>
                    <w:tr2bl w:val="nil"/>
                  </w:tcBorders>
                  <w:noWrap w:val="0"/>
                  <w:vAlign w:val="center"/>
                </w:tcPr>
                <w:p w14:paraId="4325E5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default" w:ascii="Times New Roman" w:hAnsi="Times New Roman" w:eastAsia="宋体" w:cs="Times New Roman"/>
                      <w:b/>
                      <w:bCs/>
                      <w:color w:val="auto"/>
                      <w:kern w:val="0"/>
                      <w:sz w:val="21"/>
                      <w:szCs w:val="20"/>
                      <w:highlight w:val="none"/>
                      <w:lang w:val="en-US" w:eastAsia="zh-CN" w:bidi="ar-SA"/>
                    </w:rPr>
                    <w:t>NH</w:t>
                  </w:r>
                  <w:r>
                    <w:rPr>
                      <w:rFonts w:hint="default" w:ascii="Times New Roman" w:hAnsi="Times New Roman" w:eastAsia="宋体" w:cs="Times New Roman"/>
                      <w:b/>
                      <w:bCs/>
                      <w:color w:val="auto"/>
                      <w:kern w:val="0"/>
                      <w:sz w:val="21"/>
                      <w:szCs w:val="20"/>
                      <w:highlight w:val="none"/>
                      <w:vertAlign w:val="subscript"/>
                      <w:lang w:val="en-US" w:eastAsia="zh-CN" w:bidi="ar-SA"/>
                    </w:rPr>
                    <w:t>3</w:t>
                  </w:r>
                  <w:r>
                    <w:rPr>
                      <w:rFonts w:hint="default" w:ascii="Times New Roman" w:hAnsi="Times New Roman" w:eastAsia="宋体" w:cs="Times New Roman"/>
                      <w:b/>
                      <w:bCs/>
                      <w:color w:val="auto"/>
                      <w:kern w:val="0"/>
                      <w:sz w:val="21"/>
                      <w:szCs w:val="20"/>
                      <w:highlight w:val="none"/>
                      <w:lang w:val="en-US" w:eastAsia="zh-CN" w:bidi="ar-SA"/>
                    </w:rPr>
                    <w:t>-N</w:t>
                  </w:r>
                </w:p>
              </w:tc>
              <w:tc>
                <w:tcPr>
                  <w:tcW w:w="1167" w:type="dxa"/>
                  <w:tcBorders>
                    <w:tl2br w:val="nil"/>
                    <w:tr2bl w:val="nil"/>
                  </w:tcBorders>
                  <w:noWrap w:val="0"/>
                  <w:vAlign w:val="center"/>
                </w:tcPr>
                <w:p w14:paraId="1CB0F9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highlight w:val="none"/>
                      <w:lang w:val="en-US" w:eastAsia="zh-CN" w:bidi="ar-SA"/>
                    </w:rPr>
                  </w:pPr>
                  <w:r>
                    <w:rPr>
                      <w:rFonts w:hint="eastAsia" w:cs="Times New Roman"/>
                      <w:b/>
                      <w:bCs/>
                      <w:color w:val="auto"/>
                      <w:kern w:val="0"/>
                      <w:sz w:val="21"/>
                      <w:szCs w:val="20"/>
                      <w:highlight w:val="none"/>
                      <w:lang w:val="en-US" w:eastAsia="zh-CN" w:bidi="ar-SA"/>
                    </w:rPr>
                    <w:t>LAS</w:t>
                  </w:r>
                </w:p>
              </w:tc>
            </w:tr>
            <w:tr w14:paraId="2F30D3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29" w:type="dxa"/>
                  <w:vMerge w:val="restart"/>
                  <w:tcBorders>
                    <w:tl2br w:val="nil"/>
                    <w:tr2bl w:val="nil"/>
                  </w:tcBorders>
                  <w:noWrap w:val="0"/>
                  <w:vAlign w:val="center"/>
                </w:tcPr>
                <w:p w14:paraId="0FECDE9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highlight w:val="none"/>
                      <w:lang w:val="en-US" w:eastAsia="zh-CN"/>
                    </w:rPr>
                  </w:pPr>
                  <w:r>
                    <w:rPr>
                      <w:rFonts w:hint="eastAsia"/>
                      <w:color w:val="auto"/>
                      <w:highlight w:val="none"/>
                      <w:lang w:val="en-US" w:eastAsia="zh-CN"/>
                    </w:rPr>
                    <w:t>5778.16t/a</w:t>
                  </w:r>
                </w:p>
              </w:tc>
              <w:tc>
                <w:tcPr>
                  <w:tcW w:w="1303" w:type="dxa"/>
                  <w:tcBorders>
                    <w:tl2br w:val="nil"/>
                    <w:tr2bl w:val="nil"/>
                  </w:tcBorders>
                  <w:noWrap w:val="0"/>
                  <w:vAlign w:val="center"/>
                </w:tcPr>
                <w:p w14:paraId="2EB1D71D">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kern w:val="0"/>
                      <w:sz w:val="21"/>
                      <w:szCs w:val="20"/>
                      <w:highlight w:val="none"/>
                      <w:lang w:val="en-US" w:eastAsia="zh-CN" w:bidi="ar-SA"/>
                    </w:rPr>
                  </w:pPr>
                  <w:r>
                    <w:rPr>
                      <w:rFonts w:hint="eastAsia"/>
                      <w:color w:val="auto"/>
                      <w:highlight w:val="none"/>
                      <w:lang w:val="en-US" w:eastAsia="zh-CN"/>
                    </w:rPr>
                    <w:t>污染物排放量（t/a）</w:t>
                  </w:r>
                </w:p>
              </w:tc>
              <w:tc>
                <w:tcPr>
                  <w:tcW w:w="1166" w:type="dxa"/>
                  <w:tcBorders>
                    <w:tl2br w:val="nil"/>
                    <w:tr2bl w:val="nil"/>
                  </w:tcBorders>
                  <w:noWrap w:val="0"/>
                  <w:vAlign w:val="center"/>
                </w:tcPr>
                <w:p w14:paraId="2BCAE195">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kern w:val="0"/>
                      <w:sz w:val="21"/>
                      <w:szCs w:val="20"/>
                      <w:highlight w:val="none"/>
                      <w:lang w:val="en-US" w:eastAsia="zh-CN" w:bidi="ar-SA"/>
                    </w:rPr>
                  </w:pPr>
                  <w:r>
                    <w:rPr>
                      <w:rFonts w:hint="eastAsia"/>
                      <w:color w:val="auto"/>
                      <w:kern w:val="0"/>
                      <w:sz w:val="21"/>
                      <w:szCs w:val="20"/>
                      <w:highlight w:val="none"/>
                      <w:lang w:val="en-US" w:eastAsia="zh-CN" w:bidi="ar-SA"/>
                    </w:rPr>
                    <w:t>0.7048</w:t>
                  </w:r>
                </w:p>
              </w:tc>
              <w:tc>
                <w:tcPr>
                  <w:tcW w:w="1166" w:type="dxa"/>
                  <w:tcBorders>
                    <w:tl2br w:val="nil"/>
                    <w:tr2bl w:val="nil"/>
                  </w:tcBorders>
                  <w:noWrap w:val="0"/>
                  <w:vAlign w:val="center"/>
                </w:tcPr>
                <w:p w14:paraId="016FC348">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kern w:val="0"/>
                      <w:sz w:val="21"/>
                      <w:szCs w:val="20"/>
                      <w:highlight w:val="none"/>
                      <w:lang w:val="en-US" w:eastAsia="zh-CN" w:bidi="ar-SA"/>
                    </w:rPr>
                  </w:pPr>
                  <w:r>
                    <w:rPr>
                      <w:rFonts w:hint="eastAsia"/>
                      <w:color w:val="auto"/>
                      <w:kern w:val="0"/>
                      <w:sz w:val="21"/>
                      <w:szCs w:val="20"/>
                      <w:highlight w:val="none"/>
                      <w:lang w:val="en-US" w:eastAsia="zh-CN" w:bidi="ar-SA"/>
                    </w:rPr>
                    <w:t>0.126</w:t>
                  </w:r>
                </w:p>
              </w:tc>
              <w:tc>
                <w:tcPr>
                  <w:tcW w:w="1167" w:type="dxa"/>
                  <w:tcBorders>
                    <w:tl2br w:val="nil"/>
                    <w:tr2bl w:val="nil"/>
                  </w:tcBorders>
                  <w:noWrap w:val="0"/>
                  <w:vAlign w:val="center"/>
                </w:tcPr>
                <w:p w14:paraId="4AA408EF">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kern w:val="0"/>
                      <w:sz w:val="21"/>
                      <w:szCs w:val="20"/>
                      <w:highlight w:val="none"/>
                      <w:lang w:val="en-US" w:eastAsia="zh-CN" w:bidi="ar-SA"/>
                    </w:rPr>
                  </w:pPr>
                  <w:r>
                    <w:rPr>
                      <w:rFonts w:hint="eastAsia"/>
                      <w:color w:val="auto"/>
                      <w:kern w:val="0"/>
                      <w:sz w:val="21"/>
                      <w:szCs w:val="20"/>
                      <w:highlight w:val="none"/>
                      <w:lang w:val="en-US" w:eastAsia="zh-CN" w:bidi="ar-SA"/>
                    </w:rPr>
                    <w:t>0.3203</w:t>
                  </w:r>
                </w:p>
              </w:tc>
              <w:tc>
                <w:tcPr>
                  <w:tcW w:w="1167" w:type="dxa"/>
                  <w:tcBorders>
                    <w:tl2br w:val="nil"/>
                    <w:tr2bl w:val="nil"/>
                  </w:tcBorders>
                  <w:noWrap w:val="0"/>
                  <w:vAlign w:val="center"/>
                </w:tcPr>
                <w:p w14:paraId="4377206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kern w:val="0"/>
                      <w:sz w:val="21"/>
                      <w:szCs w:val="20"/>
                      <w:highlight w:val="none"/>
                      <w:lang w:val="en-US" w:eastAsia="zh-CN" w:bidi="ar-SA"/>
                    </w:rPr>
                  </w:pPr>
                  <w:r>
                    <w:rPr>
                      <w:rFonts w:hint="eastAsia"/>
                      <w:color w:val="auto"/>
                      <w:kern w:val="0"/>
                      <w:sz w:val="21"/>
                      <w:szCs w:val="20"/>
                      <w:highlight w:val="none"/>
                      <w:lang w:val="en-US" w:eastAsia="zh-CN" w:bidi="ar-SA"/>
                    </w:rPr>
                    <w:t>0.0288</w:t>
                  </w:r>
                </w:p>
              </w:tc>
              <w:tc>
                <w:tcPr>
                  <w:tcW w:w="1167" w:type="dxa"/>
                  <w:tcBorders>
                    <w:tl2br w:val="nil"/>
                    <w:tr2bl w:val="nil"/>
                  </w:tcBorders>
                  <w:noWrap w:val="0"/>
                  <w:vAlign w:val="center"/>
                </w:tcPr>
                <w:p w14:paraId="763DFABF">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kern w:val="0"/>
                      <w:sz w:val="21"/>
                      <w:szCs w:val="20"/>
                      <w:highlight w:val="none"/>
                      <w:lang w:val="en-US" w:eastAsia="zh-CN" w:bidi="ar-SA"/>
                    </w:rPr>
                  </w:pPr>
                  <w:r>
                    <w:rPr>
                      <w:rFonts w:hint="eastAsia"/>
                      <w:color w:val="auto"/>
                      <w:kern w:val="0"/>
                      <w:sz w:val="21"/>
                      <w:szCs w:val="20"/>
                      <w:highlight w:val="none"/>
                      <w:lang w:val="en-US" w:eastAsia="zh-CN" w:bidi="ar-SA"/>
                    </w:rPr>
                    <w:t>0.0668</w:t>
                  </w:r>
                </w:p>
              </w:tc>
            </w:tr>
            <w:tr w14:paraId="3CB672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29" w:type="dxa"/>
                  <w:vMerge w:val="continue"/>
                  <w:tcBorders>
                    <w:tl2br w:val="nil"/>
                    <w:tr2bl w:val="nil"/>
                  </w:tcBorders>
                  <w:noWrap w:val="0"/>
                  <w:vAlign w:val="center"/>
                </w:tcPr>
                <w:p w14:paraId="5D3F0892">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highlight w:val="none"/>
                      <w:lang w:val="en-US" w:eastAsia="zh-CN"/>
                    </w:rPr>
                  </w:pPr>
                </w:p>
              </w:tc>
              <w:tc>
                <w:tcPr>
                  <w:tcW w:w="1303" w:type="dxa"/>
                  <w:tcBorders>
                    <w:tl2br w:val="nil"/>
                    <w:tr2bl w:val="nil"/>
                  </w:tcBorders>
                  <w:noWrap w:val="0"/>
                  <w:vAlign w:val="center"/>
                </w:tcPr>
                <w:p w14:paraId="53E53F81">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kern w:val="0"/>
                      <w:sz w:val="21"/>
                      <w:szCs w:val="20"/>
                      <w:highlight w:val="none"/>
                      <w:lang w:val="en-US" w:eastAsia="zh-CN" w:bidi="ar-SA"/>
                    </w:rPr>
                  </w:pPr>
                  <w:r>
                    <w:rPr>
                      <w:rFonts w:hint="eastAsia"/>
                      <w:color w:val="auto"/>
                      <w:highlight w:val="none"/>
                      <w:lang w:val="en-US" w:eastAsia="zh-CN"/>
                    </w:rPr>
                    <w:t>污染物排放浓度（mg/L）</w:t>
                  </w:r>
                </w:p>
              </w:tc>
              <w:tc>
                <w:tcPr>
                  <w:tcW w:w="1166" w:type="dxa"/>
                  <w:tcBorders>
                    <w:tl2br w:val="nil"/>
                    <w:tr2bl w:val="nil"/>
                  </w:tcBorders>
                  <w:noWrap w:val="0"/>
                  <w:vAlign w:val="center"/>
                </w:tcPr>
                <w:p w14:paraId="02D6B387">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highlight w:val="none"/>
                      <w:lang w:val="en-US" w:eastAsia="zh-CN"/>
                    </w:rPr>
                  </w:pPr>
                  <w:r>
                    <w:rPr>
                      <w:rFonts w:hint="eastAsia"/>
                      <w:color w:val="auto"/>
                      <w:highlight w:val="none"/>
                      <w:lang w:val="en-US" w:eastAsia="zh-CN"/>
                    </w:rPr>
                    <w:t>121.98</w:t>
                  </w:r>
                </w:p>
              </w:tc>
              <w:tc>
                <w:tcPr>
                  <w:tcW w:w="1166" w:type="dxa"/>
                  <w:tcBorders>
                    <w:tl2br w:val="nil"/>
                    <w:tr2bl w:val="nil"/>
                  </w:tcBorders>
                  <w:noWrap w:val="0"/>
                  <w:vAlign w:val="center"/>
                </w:tcPr>
                <w:p w14:paraId="6D7D519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highlight w:val="none"/>
                      <w:lang w:val="en-US" w:eastAsia="zh-CN"/>
                    </w:rPr>
                  </w:pPr>
                  <w:r>
                    <w:rPr>
                      <w:rFonts w:hint="eastAsia"/>
                      <w:color w:val="auto"/>
                      <w:highlight w:val="none"/>
                      <w:lang w:val="en-US" w:eastAsia="zh-CN"/>
                    </w:rPr>
                    <w:t>21.81</w:t>
                  </w:r>
                </w:p>
              </w:tc>
              <w:tc>
                <w:tcPr>
                  <w:tcW w:w="1167" w:type="dxa"/>
                  <w:tcBorders>
                    <w:tl2br w:val="nil"/>
                    <w:tr2bl w:val="nil"/>
                  </w:tcBorders>
                  <w:noWrap w:val="0"/>
                  <w:vAlign w:val="center"/>
                </w:tcPr>
                <w:p w14:paraId="1B666A5C">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highlight w:val="none"/>
                      <w:lang w:val="en-US" w:eastAsia="zh-CN"/>
                    </w:rPr>
                  </w:pPr>
                  <w:r>
                    <w:rPr>
                      <w:rFonts w:hint="eastAsia"/>
                      <w:color w:val="auto"/>
                      <w:highlight w:val="none"/>
                      <w:lang w:val="en-US" w:eastAsia="zh-CN"/>
                    </w:rPr>
                    <w:t>55.43</w:t>
                  </w:r>
                </w:p>
              </w:tc>
              <w:tc>
                <w:tcPr>
                  <w:tcW w:w="1167" w:type="dxa"/>
                  <w:tcBorders>
                    <w:tl2br w:val="nil"/>
                    <w:tr2bl w:val="nil"/>
                  </w:tcBorders>
                  <w:noWrap w:val="0"/>
                  <w:vAlign w:val="center"/>
                </w:tcPr>
                <w:p w14:paraId="7276DB34">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highlight w:val="none"/>
                      <w:lang w:val="en-US" w:eastAsia="zh-CN"/>
                    </w:rPr>
                  </w:pPr>
                  <w:r>
                    <w:rPr>
                      <w:rFonts w:hint="eastAsia"/>
                      <w:color w:val="auto"/>
                      <w:highlight w:val="none"/>
                      <w:lang w:val="en-US" w:eastAsia="zh-CN"/>
                    </w:rPr>
                    <w:t>4.98</w:t>
                  </w:r>
                </w:p>
              </w:tc>
              <w:tc>
                <w:tcPr>
                  <w:tcW w:w="1167" w:type="dxa"/>
                  <w:tcBorders>
                    <w:tl2br w:val="nil"/>
                    <w:tr2bl w:val="nil"/>
                  </w:tcBorders>
                  <w:noWrap w:val="0"/>
                  <w:vAlign w:val="center"/>
                </w:tcPr>
                <w:p w14:paraId="3D6553B6">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color w:val="auto"/>
                      <w:highlight w:val="none"/>
                      <w:lang w:val="en-US" w:eastAsia="zh-CN"/>
                    </w:rPr>
                  </w:pPr>
                  <w:r>
                    <w:rPr>
                      <w:rFonts w:hint="eastAsia"/>
                      <w:color w:val="auto"/>
                      <w:highlight w:val="none"/>
                      <w:lang w:val="en-US" w:eastAsia="zh-CN"/>
                    </w:rPr>
                    <w:t>1.16</w:t>
                  </w:r>
                </w:p>
              </w:tc>
            </w:tr>
          </w:tbl>
          <w:p w14:paraId="0C2C8B09">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78" w:name="_Toc25625"/>
            <w:r>
              <w:rPr>
                <w:rFonts w:hint="eastAsia" w:ascii="Times New Roman" w:hAnsi="Times New Roman" w:eastAsia="宋体" w:cs="Times New Roman"/>
                <w:b/>
                <w:color w:val="auto"/>
                <w:kern w:val="2"/>
                <w:sz w:val="24"/>
                <w:szCs w:val="24"/>
                <w:lang w:val="en-US" w:eastAsia="zh-CN" w:bidi="ar-SA"/>
              </w:rPr>
              <w:t>4.1.2运营期水环境影响及污染防治措施可行性分析</w:t>
            </w:r>
            <w:bookmarkEnd w:id="78"/>
          </w:p>
          <w:p w14:paraId="0598299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（1）化粪池治理措施可行性分析</w:t>
            </w:r>
          </w:p>
          <w:p w14:paraId="24E29B2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三级化粪池是化粪池的一种，由一级池中部通过管道上弯转入下一级池中进行二次净化，再由二次净化后的粪水再</w:t>
            </w:r>
            <w:r>
              <w:rPr>
                <w:rFonts w:hint="eastAsia" w:cs="宋体"/>
                <w:color w:val="auto"/>
                <w:kern w:val="2"/>
                <w:sz w:val="24"/>
                <w:szCs w:val="24"/>
                <w:lang w:val="en-US" w:eastAsia="zh-CN" w:bidi="ar-SA"/>
              </w:rPr>
              <w:t>倒入</w:t>
            </w:r>
            <w:r>
              <w:rPr>
                <w:rFonts w:hint="default" w:ascii="Times New Roman" w:hAnsi="Times New Roman" w:eastAsia="宋体" w:cs="宋体"/>
                <w:color w:val="auto"/>
                <w:kern w:val="2"/>
                <w:sz w:val="24"/>
                <w:szCs w:val="24"/>
                <w:lang w:val="en-US" w:eastAsia="zh-CN" w:bidi="ar-SA"/>
              </w:rPr>
              <w:t>下一级再次净化，这样经过三次</w:t>
            </w:r>
            <w:r>
              <w:rPr>
                <w:rFonts w:hint="eastAsia" w:cs="宋体"/>
                <w:color w:val="auto"/>
                <w:kern w:val="2"/>
                <w:sz w:val="24"/>
                <w:szCs w:val="24"/>
                <w:lang w:val="en-US" w:eastAsia="zh-CN" w:bidi="ar-SA"/>
              </w:rPr>
              <w:t>净化</w:t>
            </w:r>
            <w:r>
              <w:rPr>
                <w:rFonts w:hint="default" w:ascii="Times New Roman" w:hAnsi="Times New Roman" w:eastAsia="宋体" w:cs="宋体"/>
                <w:color w:val="auto"/>
                <w:kern w:val="2"/>
                <w:sz w:val="24"/>
                <w:szCs w:val="24"/>
                <w:lang w:val="en-US" w:eastAsia="zh-CN" w:bidi="ar-SA"/>
              </w:rPr>
              <w:t>后就</w:t>
            </w:r>
            <w:r>
              <w:rPr>
                <w:rFonts w:hint="eastAsia" w:cs="宋体"/>
                <w:color w:val="auto"/>
                <w:kern w:val="2"/>
                <w:sz w:val="24"/>
                <w:szCs w:val="24"/>
                <w:lang w:val="en-US" w:eastAsia="zh-CN" w:bidi="ar-SA"/>
              </w:rPr>
              <w:t>已</w:t>
            </w:r>
            <w:r>
              <w:rPr>
                <w:rFonts w:hint="default" w:ascii="Times New Roman" w:hAnsi="Times New Roman" w:eastAsia="宋体" w:cs="宋体"/>
                <w:color w:val="auto"/>
                <w:kern w:val="2"/>
                <w:sz w:val="24"/>
                <w:szCs w:val="24"/>
                <w:lang w:val="en-US" w:eastAsia="zh-CN" w:bidi="ar-SA"/>
              </w:rPr>
              <w:t>全部化尽为水。</w:t>
            </w:r>
          </w:p>
          <w:p w14:paraId="01A675D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三级化粪池原理：新鲜粪便由进粪口进入第一池，池内粪便开始发酵分解、因比重不同粪液可自然分为三层，上层为糊状粪皮，下层为块状或颗状粪渣，中层为比较澄清的粪液。在上层粪皮和下层粪渣中含细菌和寄生虫卵最多，中层含虫卵最少，初步发酵的中层粪液经过粪管溢流至第二池，而将大部分未经充分发酵的粪皮和粪渣阻留在第一池内继续发酵。流入第二池的粪液进一步发酵分解，虫卵继续下沉，病原体逐渐死亡，粪液得到进一步无害化，产生的粪皮和粪厚度比第一池显著减少。流入第三池的粪液一般已经腐熟，其中病菌和寄生虫卵已基本杀灭。第三池功能主要起储存已基本无害化的粪液作用。</w:t>
            </w:r>
          </w:p>
          <w:p w14:paraId="2B67F6A2">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（2）废水处理设施可行性分析</w:t>
            </w:r>
          </w:p>
          <w:p w14:paraId="6E6B51C4">
            <w:pPr>
              <w:widowControl/>
              <w:spacing w:line="360" w:lineRule="auto"/>
              <w:ind w:firstLine="480" w:firstLineChars="200"/>
              <w:jc w:val="left"/>
              <w:rPr>
                <w:color w:val="auto"/>
                <w:sz w:val="24"/>
                <w:szCs w:val="22"/>
              </w:rPr>
            </w:pPr>
            <w:r>
              <w:rPr>
                <w:rFonts w:hint="eastAsia"/>
                <w:color w:val="auto"/>
                <w:sz w:val="24"/>
                <w:szCs w:val="22"/>
              </w:rPr>
              <w:t>①</w:t>
            </w:r>
            <w:r>
              <w:rPr>
                <w:rFonts w:hint="eastAsia"/>
                <w:color w:val="auto"/>
                <w:sz w:val="24"/>
                <w:szCs w:val="22"/>
                <w:lang w:val="en-US" w:eastAsia="zh-CN"/>
              </w:rPr>
              <w:t>三级</w:t>
            </w:r>
            <w:r>
              <w:rPr>
                <w:rFonts w:hint="eastAsia"/>
                <w:color w:val="auto"/>
                <w:sz w:val="24"/>
                <w:szCs w:val="22"/>
                <w:lang w:eastAsia="zh-CN"/>
              </w:rPr>
              <w:t>沉淀池</w:t>
            </w:r>
            <w:r>
              <w:rPr>
                <w:rFonts w:hint="eastAsia"/>
                <w:color w:val="auto"/>
                <w:sz w:val="24"/>
                <w:szCs w:val="22"/>
              </w:rPr>
              <w:t>的工作原理</w:t>
            </w:r>
          </w:p>
          <w:p w14:paraId="76D408FA">
            <w:pPr>
              <w:widowControl w:val="0"/>
              <w:bidi w:val="0"/>
              <w:spacing w:line="360" w:lineRule="auto"/>
              <w:ind w:firstLine="480" w:firstLineChars="200"/>
              <w:jc w:val="both"/>
              <w:rPr>
                <w:color w:val="auto"/>
                <w:sz w:val="24"/>
                <w:szCs w:val="22"/>
              </w:rPr>
            </w:pPr>
            <w:r>
              <w:rPr>
                <w:rFonts w:hint="eastAsia" w:ascii="Times New Roman" w:hAnsi="Times New Roman" w:eastAsia="宋体" w:cs="宋体"/>
                <w:color w:val="auto"/>
                <w:kern w:val="2"/>
                <w:sz w:val="24"/>
                <w:szCs w:val="24"/>
                <w:lang w:val="en-US" w:eastAsia="zh-CN" w:bidi="ar-SA"/>
              </w:rPr>
              <w:t>三</w:t>
            </w:r>
            <w:r>
              <w:rPr>
                <w:rFonts w:hint="default" w:ascii="Times New Roman" w:hAnsi="Times New Roman" w:eastAsia="宋体" w:cs="宋体"/>
                <w:color w:val="auto"/>
                <w:kern w:val="2"/>
                <w:sz w:val="24"/>
                <w:szCs w:val="24"/>
                <w:lang w:val="en-US" w:eastAsia="zh-CN" w:bidi="ar-SA"/>
              </w:rPr>
              <w:t>级沉淀池属于重力自然沉淀工艺，利用污水中悬浮颗粒物密度大于水的特性，通过逐级降低流速、延长停留时间，使泥沙、悬浮物、胶体颗粒分层沉降，实现固液分离。</w:t>
            </w:r>
            <w:r>
              <w:rPr>
                <w:rFonts w:hint="eastAsia" w:cs="宋体"/>
                <w:color w:val="auto"/>
                <w:kern w:val="2"/>
                <w:sz w:val="24"/>
                <w:szCs w:val="24"/>
                <w:lang w:val="en-US" w:eastAsia="zh-CN" w:bidi="ar-SA"/>
              </w:rPr>
              <w:t>沉</w:t>
            </w:r>
            <w:r>
              <w:rPr>
                <w:rFonts w:hint="eastAsia"/>
                <w:color w:val="auto"/>
                <w:sz w:val="24"/>
                <w:szCs w:val="22"/>
                <w:lang w:eastAsia="zh-CN"/>
              </w:rPr>
              <w:t>淀池</w:t>
            </w:r>
            <w:r>
              <w:rPr>
                <w:rFonts w:hint="eastAsia"/>
                <w:color w:val="auto"/>
                <w:sz w:val="24"/>
                <w:szCs w:val="22"/>
              </w:rPr>
              <w:t>的溶解性物质净化原理是，利用投加的化学剂将水中的污染物在反应的催化下转化为离子，从而使这些污染物溶解在水中，而离子在水中的移动受沉淀力的控制，污染物最终会沉淀到池底或池中。这样能够有效地净化水中的污染物。</w:t>
            </w:r>
            <w:r>
              <w:rPr>
                <w:rFonts w:hint="eastAsia"/>
                <w:color w:val="auto"/>
                <w:sz w:val="24"/>
                <w:szCs w:val="22"/>
                <w:lang w:eastAsia="zh-CN"/>
              </w:rPr>
              <w:t>沉淀池</w:t>
            </w:r>
            <w:r>
              <w:rPr>
                <w:rFonts w:hint="eastAsia"/>
                <w:color w:val="auto"/>
                <w:sz w:val="24"/>
                <w:szCs w:val="22"/>
              </w:rPr>
              <w:t>的颗粒性物质净化原理是，污水中的溶解性有机物和颗粒性物质会往下沉，而在池底和池中的液面上形成浮渣，当这些污染物在水中的浓度达到一定程度时，这些污染物会被过滤出来，最终在池底或池中沉淀。三级沉淀池的设计通常有三层，第一层是溶解性物质净化层，第二层是颗粒性物质净化层，第三层是收集污泥层。三层沉淀池在处理污水时充分利用了自重和活性物质的作用，去除了水中的悬浮物（包括胶体物、溶解物），减少对水体周边环境的污染。</w:t>
            </w:r>
          </w:p>
          <w:p w14:paraId="7F335590">
            <w:pPr>
              <w:widowControl/>
              <w:spacing w:line="360" w:lineRule="auto"/>
              <w:ind w:firstLine="480" w:firstLineChars="200"/>
              <w:jc w:val="left"/>
              <w:rPr>
                <w:color w:val="auto"/>
                <w:sz w:val="24"/>
                <w:szCs w:val="22"/>
              </w:rPr>
            </w:pPr>
            <w:r>
              <w:rPr>
                <w:rFonts w:hint="eastAsia"/>
                <w:color w:val="auto"/>
                <w:sz w:val="24"/>
                <w:szCs w:val="22"/>
              </w:rPr>
              <w:t>②</w:t>
            </w:r>
            <w:r>
              <w:rPr>
                <w:rFonts w:hint="eastAsia"/>
                <w:color w:val="auto"/>
                <w:sz w:val="24"/>
                <w:szCs w:val="22"/>
                <w:lang w:eastAsia="zh-CN"/>
              </w:rPr>
              <w:t>沉淀池</w:t>
            </w:r>
            <w:r>
              <w:rPr>
                <w:rFonts w:hint="eastAsia"/>
                <w:color w:val="auto"/>
                <w:sz w:val="24"/>
                <w:szCs w:val="22"/>
              </w:rPr>
              <w:t>的经济技术可行性</w:t>
            </w:r>
          </w:p>
          <w:p w14:paraId="325CB319">
            <w:pPr>
              <w:widowControl/>
              <w:spacing w:line="360" w:lineRule="auto"/>
              <w:ind w:firstLine="480" w:firstLineChars="200"/>
              <w:jc w:val="left"/>
              <w:rPr>
                <w:color w:val="auto"/>
                <w:sz w:val="24"/>
                <w:szCs w:val="22"/>
              </w:rPr>
            </w:pPr>
            <w:r>
              <w:rPr>
                <w:color w:val="auto"/>
                <w:sz w:val="24"/>
                <w:szCs w:val="22"/>
              </w:rPr>
              <w:t>A</w:t>
            </w:r>
            <w:r>
              <w:rPr>
                <w:rFonts w:hint="eastAsia"/>
                <w:color w:val="auto"/>
                <w:sz w:val="24"/>
                <w:szCs w:val="22"/>
                <w:lang w:eastAsia="zh-CN"/>
              </w:rPr>
              <w:t>.</w:t>
            </w:r>
            <w:r>
              <w:rPr>
                <w:rFonts w:hint="eastAsia"/>
                <w:color w:val="auto"/>
                <w:sz w:val="24"/>
                <w:szCs w:val="22"/>
              </w:rPr>
              <w:t>沉淀池容纳可行性</w:t>
            </w:r>
          </w:p>
          <w:p w14:paraId="462B8F6F">
            <w:pPr>
              <w:widowControl/>
              <w:spacing w:line="360" w:lineRule="auto"/>
              <w:ind w:firstLine="480" w:firstLineChars="200"/>
              <w:jc w:val="left"/>
              <w:rPr>
                <w:color w:val="auto"/>
                <w:sz w:val="24"/>
                <w:szCs w:val="22"/>
              </w:rPr>
            </w:pPr>
            <w:r>
              <w:rPr>
                <w:rFonts w:hint="eastAsia"/>
                <w:color w:val="auto"/>
                <w:sz w:val="24"/>
                <w:szCs w:val="22"/>
              </w:rPr>
              <w:t>本项目</w:t>
            </w:r>
            <w:r>
              <w:rPr>
                <w:rFonts w:hint="eastAsia"/>
                <w:color w:val="auto"/>
                <w:sz w:val="24"/>
                <w:szCs w:val="22"/>
                <w:lang w:val="en-US" w:eastAsia="zh-CN"/>
              </w:rPr>
              <w:t>流入沉淀池</w:t>
            </w:r>
            <w:r>
              <w:rPr>
                <w:rFonts w:hint="eastAsia"/>
                <w:color w:val="auto"/>
                <w:sz w:val="24"/>
                <w:szCs w:val="22"/>
              </w:rPr>
              <w:t>废水</w:t>
            </w:r>
            <w:r>
              <w:rPr>
                <w:rFonts w:hint="eastAsia"/>
                <w:color w:val="auto"/>
                <w:sz w:val="24"/>
                <w:szCs w:val="22"/>
                <w:lang w:val="en-US" w:eastAsia="zh-CN"/>
              </w:rPr>
              <w:t>量</w:t>
            </w:r>
            <w:r>
              <w:rPr>
                <w:rFonts w:hint="eastAsia"/>
                <w:color w:val="auto"/>
                <w:sz w:val="24"/>
                <w:szCs w:val="22"/>
              </w:rPr>
              <w:t>为</w:t>
            </w:r>
            <w:r>
              <w:rPr>
                <w:rFonts w:hint="eastAsia"/>
                <w:color w:val="auto"/>
                <w:sz w:val="24"/>
                <w:szCs w:val="22"/>
                <w:lang w:val="en-US" w:eastAsia="zh-CN"/>
              </w:rPr>
              <w:t>2818.6</w:t>
            </w:r>
            <w:r>
              <w:rPr>
                <w:color w:val="auto"/>
                <w:sz w:val="24"/>
                <w:szCs w:val="22"/>
              </w:rPr>
              <w:t>t/a</w:t>
            </w:r>
            <w:r>
              <w:rPr>
                <w:rFonts w:hint="eastAsia"/>
                <w:color w:val="auto"/>
                <w:sz w:val="24"/>
                <w:szCs w:val="22"/>
              </w:rPr>
              <w:t>，换算日排放量为</w:t>
            </w:r>
            <w:r>
              <w:rPr>
                <w:rFonts w:hint="eastAsia"/>
                <w:color w:val="auto"/>
                <w:sz w:val="24"/>
                <w:szCs w:val="22"/>
                <w:lang w:val="en-US" w:eastAsia="zh-CN"/>
              </w:rPr>
              <w:t>9.39</w:t>
            </w:r>
            <w:r>
              <w:rPr>
                <w:color w:val="auto"/>
                <w:sz w:val="24"/>
                <w:szCs w:val="22"/>
              </w:rPr>
              <w:t>t/d</w:t>
            </w:r>
            <w:r>
              <w:rPr>
                <w:rFonts w:hint="eastAsia"/>
                <w:color w:val="auto"/>
                <w:sz w:val="24"/>
                <w:szCs w:val="22"/>
              </w:rPr>
              <w:t>。参考《水处理工程设计计算》（韩洪军、杜茂安主编），取沉淀池内水力停留时间为</w:t>
            </w:r>
            <w:r>
              <w:rPr>
                <w:color w:val="auto"/>
                <w:sz w:val="24"/>
                <w:szCs w:val="22"/>
              </w:rPr>
              <w:t>3h</w:t>
            </w:r>
            <w:r>
              <w:rPr>
                <w:rFonts w:hint="eastAsia"/>
                <w:color w:val="auto"/>
                <w:sz w:val="24"/>
                <w:szCs w:val="22"/>
              </w:rPr>
              <w:t>，则理论上沉淀池容积应不小于</w:t>
            </w:r>
            <w:r>
              <w:rPr>
                <w:rFonts w:hint="eastAsia"/>
                <w:color w:val="auto"/>
                <w:sz w:val="24"/>
                <w:szCs w:val="22"/>
                <w:lang w:val="en-US" w:eastAsia="zh-CN"/>
              </w:rPr>
              <w:t>3.52</w:t>
            </w:r>
            <w:r>
              <w:rPr>
                <w:color w:val="auto"/>
                <w:sz w:val="24"/>
                <w:szCs w:val="22"/>
              </w:rPr>
              <w:t>m</w:t>
            </w:r>
            <w:r>
              <w:rPr>
                <w:rFonts w:hint="eastAsia"/>
                <w:color w:val="auto"/>
                <w:sz w:val="24"/>
                <w:szCs w:val="22"/>
              </w:rPr>
              <w:t>³。因此，为确保沉淀池处理效率，本项目建议</w:t>
            </w:r>
            <w:r>
              <w:rPr>
                <w:rFonts w:hint="eastAsia"/>
                <w:color w:val="auto"/>
                <w:sz w:val="24"/>
                <w:szCs w:val="22"/>
                <w:lang w:eastAsia="zh-CN"/>
              </w:rPr>
              <w:t>沉淀池</w:t>
            </w:r>
            <w:r>
              <w:rPr>
                <w:rFonts w:hint="eastAsia"/>
                <w:color w:val="auto"/>
                <w:sz w:val="24"/>
                <w:szCs w:val="22"/>
              </w:rPr>
              <w:t>容积按</w:t>
            </w:r>
            <w:r>
              <w:rPr>
                <w:rFonts w:hint="eastAsia"/>
                <w:color w:val="auto"/>
                <w:sz w:val="24"/>
                <w:szCs w:val="22"/>
                <w:lang w:val="en-US" w:eastAsia="zh-CN"/>
              </w:rPr>
              <w:t>3.52</w:t>
            </w:r>
            <w:r>
              <w:rPr>
                <w:color w:val="auto"/>
                <w:sz w:val="24"/>
                <w:szCs w:val="22"/>
              </w:rPr>
              <w:t>m</w:t>
            </w:r>
            <w:r>
              <w:rPr>
                <w:rFonts w:hint="eastAsia"/>
                <w:color w:val="auto"/>
                <w:sz w:val="24"/>
                <w:szCs w:val="22"/>
              </w:rPr>
              <w:t>³×</w:t>
            </w:r>
            <w:r>
              <w:rPr>
                <w:color w:val="auto"/>
                <w:sz w:val="24"/>
                <w:szCs w:val="22"/>
              </w:rPr>
              <w:t>3=</w:t>
            </w:r>
            <w:r>
              <w:rPr>
                <w:rFonts w:hint="eastAsia"/>
                <w:color w:val="auto"/>
                <w:sz w:val="24"/>
                <w:szCs w:val="22"/>
                <w:lang w:val="en-US" w:eastAsia="zh-CN"/>
              </w:rPr>
              <w:t>10.57</w:t>
            </w:r>
            <w:r>
              <w:rPr>
                <w:color w:val="auto"/>
                <w:sz w:val="24"/>
                <w:szCs w:val="22"/>
              </w:rPr>
              <w:t>m</w:t>
            </w:r>
            <w:r>
              <w:rPr>
                <w:rFonts w:hint="eastAsia"/>
                <w:color w:val="auto"/>
                <w:sz w:val="24"/>
                <w:szCs w:val="22"/>
              </w:rPr>
              <w:t>³设计，可使每天的生产废水得到充分地静置沉淀，措施可行。</w:t>
            </w:r>
          </w:p>
          <w:p w14:paraId="63FB697C">
            <w:pPr>
              <w:widowControl/>
              <w:spacing w:line="360" w:lineRule="auto"/>
              <w:ind w:firstLine="480" w:firstLineChars="200"/>
              <w:jc w:val="left"/>
              <w:rPr>
                <w:color w:val="auto"/>
                <w:sz w:val="24"/>
                <w:szCs w:val="22"/>
              </w:rPr>
            </w:pPr>
            <w:r>
              <w:rPr>
                <w:rFonts w:hint="eastAsia"/>
                <w:color w:val="auto"/>
                <w:sz w:val="24"/>
                <w:szCs w:val="22"/>
              </w:rPr>
              <w:t>C</w:t>
            </w:r>
            <w:r>
              <w:rPr>
                <w:color w:val="auto"/>
                <w:sz w:val="24"/>
                <w:szCs w:val="22"/>
              </w:rPr>
              <w:t>.</w:t>
            </w:r>
            <w:r>
              <w:rPr>
                <w:rFonts w:hint="eastAsia"/>
                <w:color w:val="auto"/>
                <w:sz w:val="24"/>
                <w:szCs w:val="22"/>
              </w:rPr>
              <w:t>建议</w:t>
            </w:r>
          </w:p>
          <w:p w14:paraId="2F538850">
            <w:pPr>
              <w:widowControl/>
              <w:spacing w:line="360" w:lineRule="auto"/>
              <w:ind w:firstLine="480" w:firstLineChars="200"/>
              <w:jc w:val="left"/>
              <w:rPr>
                <w:rFonts w:hint="default" w:ascii="Times New Roman" w:hAnsi="Times New Roman" w:eastAsia="宋体" w:cs="宋体"/>
                <w:color w:val="auto"/>
                <w:kern w:val="2"/>
                <w:sz w:val="24"/>
                <w:szCs w:val="24"/>
                <w:lang w:val="en-US" w:eastAsia="zh-CN" w:bidi="ar-SA"/>
              </w:rPr>
            </w:pPr>
            <w:r>
              <w:rPr>
                <w:rFonts w:hint="eastAsia"/>
                <w:color w:val="auto"/>
                <w:sz w:val="24"/>
                <w:szCs w:val="22"/>
              </w:rPr>
              <w:t>由于研磨、抛光工序产生的微粉末粒径较细小，在进入废水中容易悬浮。后续需要对沉淀池污泥进行打捞清理，为尽量减少沉淀池污泥量，建议企业优化</w:t>
            </w:r>
            <w:r>
              <w:rPr>
                <w:rFonts w:hint="eastAsia"/>
                <w:color w:val="auto"/>
                <w:sz w:val="24"/>
                <w:szCs w:val="22"/>
                <w:lang w:eastAsia="zh-CN"/>
              </w:rPr>
              <w:t>沉淀池</w:t>
            </w:r>
            <w:r>
              <w:rPr>
                <w:rFonts w:hint="eastAsia"/>
                <w:color w:val="auto"/>
                <w:sz w:val="24"/>
                <w:szCs w:val="22"/>
              </w:rPr>
              <w:t>设计参数，配套污泥压榨设施。</w:t>
            </w:r>
          </w:p>
          <w:p w14:paraId="009EAADF">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（3）</w:t>
            </w:r>
            <w:r>
              <w:rPr>
                <w:rFonts w:hint="eastAsia" w:cs="宋体"/>
                <w:color w:val="auto"/>
                <w:kern w:val="2"/>
                <w:sz w:val="24"/>
                <w:szCs w:val="24"/>
                <w:lang w:val="en-US" w:eastAsia="zh-CN" w:bidi="ar-SA"/>
              </w:rPr>
              <w:t>废除油剂作为危险废物</w:t>
            </w:r>
            <w:r>
              <w:rPr>
                <w:rFonts w:hint="eastAsia" w:ascii="Times New Roman" w:hAnsi="Times New Roman" w:eastAsia="宋体" w:cs="宋体"/>
                <w:color w:val="auto"/>
                <w:kern w:val="2"/>
                <w:sz w:val="24"/>
                <w:szCs w:val="24"/>
                <w:lang w:val="en-US" w:eastAsia="zh-CN" w:bidi="ar-SA"/>
              </w:rPr>
              <w:t>处理必要可行性分析</w:t>
            </w:r>
          </w:p>
          <w:p w14:paraId="6BF7762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ascii="Times New Roman" w:hAnsi="Times New Roman" w:eastAsia="宋体" w:cs="宋体"/>
                <w:color w:val="auto"/>
                <w:sz w:val="24"/>
                <w:szCs w:val="24"/>
              </w:rPr>
              <w:t>本项目产生的废除油剂含COD、石油类、氨氮、总磷、总氮等污染因子，属于危险废物。因现有废水处理设施对石油类、总磷、总氮去除效率有限，废除油剂不进入厂区综合废水处理系统，采用密闭专用容器分区单独收集，全程独立收集、暂存，定期委托具备危险废物处置资质的单位转运处置。选用防渗、耐酸碱、密闭式塑料危废收集桶，设置专用标识（危险废物标签、废物类别、产生工序、日期），严禁与其他废水、固废混装。容器底部做防渗处理，放置于除油工位就近区域。结合废除油剂产生量</w:t>
            </w:r>
            <w:r>
              <w:rPr>
                <w:rFonts w:hint="eastAsia" w:cs="宋体"/>
                <w:color w:val="auto"/>
                <w:sz w:val="24"/>
                <w:szCs w:val="24"/>
                <w:lang w:eastAsia="zh-CN"/>
              </w:rPr>
              <w:t>1.2</w:t>
            </w:r>
            <w:r>
              <w:rPr>
                <w:rFonts w:ascii="Times New Roman" w:hAnsi="Times New Roman" w:eastAsia="宋体" w:cs="宋体"/>
                <w:color w:val="auto"/>
                <w:sz w:val="24"/>
                <w:szCs w:val="24"/>
              </w:rPr>
              <w:t>t/a、产生频次，配置小型密闭收集桶即可，满足日常储存、不外溢、无洒落要求</w:t>
            </w:r>
            <w:r>
              <w:rPr>
                <w:rFonts w:ascii="Times New Roman" w:hAnsi="Times New Roman" w:eastAsia="宋体"/>
                <w:color w:val="auto"/>
                <w:sz w:val="24"/>
                <w:szCs w:val="24"/>
              </w:rPr>
              <w:t>。</w:t>
            </w:r>
          </w:p>
          <w:p w14:paraId="26EEA4D1">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 xml:space="preserve">（4）项目废水经处理达标后排入市政污水管网，送往大学城污水处理厂集中处理，属于间接排放，根据《建设项目环境影响报告表编制技术指南（污染影响类）（试行）》（环办环评〔2020〕33号）要求，废水间接排放的建设项目应从处理能力、处理工艺、设计进出水水质等方面，分析依托集中污水处理厂的可行性。 </w:t>
            </w:r>
          </w:p>
          <w:p w14:paraId="26820478">
            <w:pPr>
              <w:pStyle w:val="5"/>
              <w:bidi w:val="0"/>
              <w:rPr>
                <w:rFonts w:hint="eastAsia" w:ascii="Times New Roman" w:hAnsi="Times New Roman"/>
                <w:color w:val="auto"/>
                <w:lang w:val="en-US" w:eastAsia="zh-CN"/>
              </w:rPr>
            </w:pPr>
            <w:r>
              <w:rPr>
                <w:rFonts w:hint="eastAsia" w:ascii="Times New Roman" w:hAnsi="Times New Roman"/>
                <w:color w:val="auto"/>
                <w:lang w:val="en-US" w:eastAsia="zh-CN"/>
              </w:rPr>
              <w:t>①大学城污水处理厂基本情况</w:t>
            </w:r>
          </w:p>
          <w:p w14:paraId="415894C5">
            <w:pPr>
              <w:pStyle w:val="5"/>
              <w:bidi w:val="0"/>
              <w:rPr>
                <w:rFonts w:hint="eastAsia" w:ascii="Times New Roman" w:hAnsi="Times New Roman"/>
                <w:color w:val="auto"/>
                <w:lang w:val="en-US" w:eastAsia="zh-CN"/>
              </w:rPr>
            </w:pPr>
            <w:r>
              <w:rPr>
                <w:rFonts w:hint="eastAsia" w:ascii="Times New Roman" w:hAnsi="Times New Roman"/>
                <w:color w:val="auto"/>
                <w:lang w:val="en-US" w:eastAsia="zh-CN"/>
              </w:rPr>
              <w:t>I</w:t>
            </w:r>
            <w:r>
              <w:rPr>
                <w:rFonts w:hint="eastAsia"/>
                <w:color w:val="auto"/>
                <w:lang w:val="en-US" w:eastAsia="zh-CN"/>
              </w:rPr>
              <w:t>.</w:t>
            </w:r>
            <w:r>
              <w:rPr>
                <w:rFonts w:hint="eastAsia" w:ascii="Times New Roman" w:hAnsi="Times New Roman"/>
                <w:color w:val="auto"/>
                <w:lang w:val="en-US" w:eastAsia="zh-CN"/>
              </w:rPr>
              <w:t>设计进出水水质</w:t>
            </w:r>
          </w:p>
          <w:p w14:paraId="19E177D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根据《福州市闽侯县大学城污水处理厂四期工程（厂内工程第一阶段）项目》可知，大学城污水处理厂进出水水质见表4.1-</w:t>
            </w:r>
            <w:r>
              <w:rPr>
                <w:rFonts w:hint="eastAsia" w:cs="宋体"/>
                <w:color w:val="auto"/>
                <w:kern w:val="2"/>
                <w:sz w:val="24"/>
                <w:szCs w:val="24"/>
                <w:lang w:val="en-US" w:eastAsia="zh-CN" w:bidi="ar-SA"/>
              </w:rPr>
              <w:t>4</w:t>
            </w:r>
            <w:r>
              <w:rPr>
                <w:rFonts w:hint="eastAsia" w:ascii="Times New Roman" w:hAnsi="Times New Roman" w:eastAsia="宋体" w:cs="宋体"/>
                <w:color w:val="auto"/>
                <w:kern w:val="2"/>
                <w:sz w:val="24"/>
                <w:szCs w:val="24"/>
                <w:lang w:val="en-US" w:eastAsia="zh-CN" w:bidi="ar-SA"/>
              </w:rPr>
              <w:t>。</w:t>
            </w:r>
          </w:p>
          <w:p w14:paraId="08BD88FA">
            <w:pPr>
              <w:pStyle w:val="27"/>
              <w:bidi w:val="0"/>
              <w:rPr>
                <w:rFonts w:hint="eastAsia" w:ascii="Times New Roman" w:hAnsi="Times New Roman"/>
                <w:color w:val="auto"/>
                <w:lang w:val="en-US" w:eastAsia="zh-CN"/>
              </w:rPr>
            </w:pPr>
            <w:r>
              <w:rPr>
                <w:rFonts w:hint="eastAsia" w:ascii="Times New Roman" w:hAnsi="Times New Roman"/>
                <w:color w:val="auto"/>
                <w:lang w:val="en-US" w:eastAsia="zh-CN"/>
              </w:rPr>
              <w:t>表4.1-</w:t>
            </w:r>
            <w:r>
              <w:rPr>
                <w:rFonts w:hint="eastAsia"/>
                <w:color w:val="auto"/>
                <w:lang w:val="en-US" w:eastAsia="zh-CN"/>
              </w:rPr>
              <w:t xml:space="preserve">4  </w:t>
            </w:r>
            <w:r>
              <w:rPr>
                <w:rFonts w:hint="eastAsia" w:ascii="Times New Roman" w:hAnsi="Times New Roman"/>
                <w:color w:val="auto"/>
                <w:lang w:val="en-US" w:eastAsia="zh-CN"/>
              </w:rPr>
              <w:t>大学城污水处理厂进水水质标准（单位：mg/L，pH值除外）</w:t>
            </w:r>
          </w:p>
          <w:tbl>
            <w:tblPr>
              <w:tblStyle w:val="19"/>
              <w:tblW w:w="8168"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820"/>
              <w:gridCol w:w="1003"/>
              <w:gridCol w:w="786"/>
              <w:gridCol w:w="965"/>
              <w:gridCol w:w="965"/>
              <w:gridCol w:w="881"/>
              <w:gridCol w:w="881"/>
              <w:gridCol w:w="934"/>
              <w:gridCol w:w="933"/>
            </w:tblGrid>
            <w:tr w14:paraId="18CDB4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97" w:hRule="atLeast"/>
              </w:trPr>
              <w:tc>
                <w:tcPr>
                  <w:tcW w:w="502" w:type="pct"/>
                  <w:tcBorders>
                    <w:tl2br w:val="nil"/>
                    <w:tr2bl w:val="nil"/>
                  </w:tcBorders>
                  <w:noWrap w:val="0"/>
                  <w:vAlign w:val="center"/>
                </w:tcPr>
                <w:p w14:paraId="77EDFF03">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lang w:val="en-US" w:eastAsia="zh-CN"/>
                    </w:rPr>
                  </w:pPr>
                  <w:r>
                    <w:rPr>
                      <w:rFonts w:hint="default" w:ascii="Times New Roman" w:hAnsi="Times New Roman"/>
                      <w:b/>
                      <w:bCs/>
                      <w:color w:val="auto"/>
                      <w:lang w:val="en-US" w:eastAsia="zh-CN"/>
                    </w:rPr>
                    <w:t>水质指标</w:t>
                  </w:r>
                </w:p>
              </w:tc>
              <w:tc>
                <w:tcPr>
                  <w:tcW w:w="614" w:type="pct"/>
                  <w:tcBorders>
                    <w:tl2br w:val="nil"/>
                    <w:tr2bl w:val="nil"/>
                  </w:tcBorders>
                  <w:noWrap w:val="0"/>
                  <w:vAlign w:val="center"/>
                </w:tcPr>
                <w:p w14:paraId="052CA42F">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lang w:val="en-US" w:eastAsia="zh-CN"/>
                    </w:rPr>
                  </w:pPr>
                  <w:r>
                    <w:rPr>
                      <w:rFonts w:hint="default" w:ascii="Times New Roman" w:hAnsi="Times New Roman"/>
                      <w:b/>
                      <w:bCs/>
                      <w:color w:val="auto"/>
                      <w:lang w:val="en-US" w:eastAsia="zh-CN"/>
                    </w:rPr>
                    <w:t>pH</w:t>
                  </w:r>
                </w:p>
              </w:tc>
              <w:tc>
                <w:tcPr>
                  <w:tcW w:w="481" w:type="pct"/>
                  <w:tcBorders>
                    <w:tl2br w:val="nil"/>
                    <w:tr2bl w:val="nil"/>
                  </w:tcBorders>
                  <w:noWrap w:val="0"/>
                  <w:vAlign w:val="center"/>
                </w:tcPr>
                <w:p w14:paraId="45238DB2">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lang w:val="en-US" w:eastAsia="zh-CN"/>
                    </w:rPr>
                  </w:pPr>
                  <w:r>
                    <w:rPr>
                      <w:rFonts w:hint="default" w:ascii="Times New Roman" w:hAnsi="Times New Roman"/>
                      <w:b/>
                      <w:bCs/>
                      <w:color w:val="auto"/>
                      <w:lang w:val="en-US" w:eastAsia="zh-CN"/>
                    </w:rPr>
                    <w:t>COD</w:t>
                  </w:r>
                </w:p>
              </w:tc>
              <w:tc>
                <w:tcPr>
                  <w:tcW w:w="591" w:type="pct"/>
                  <w:tcBorders>
                    <w:tl2br w:val="nil"/>
                    <w:tr2bl w:val="nil"/>
                  </w:tcBorders>
                  <w:noWrap w:val="0"/>
                  <w:vAlign w:val="center"/>
                </w:tcPr>
                <w:p w14:paraId="162149F2">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rPr>
                  </w:pPr>
                  <w:r>
                    <w:rPr>
                      <w:rFonts w:hint="default" w:ascii="Times New Roman" w:hAnsi="Times New Roman"/>
                      <w:b/>
                      <w:bCs/>
                      <w:color w:val="auto"/>
                      <w:lang w:val="en-US" w:eastAsia="zh-CN"/>
                    </w:rPr>
                    <w:t>BOD</w:t>
                  </w:r>
                  <w:r>
                    <w:rPr>
                      <w:rFonts w:hint="default" w:ascii="Times New Roman" w:hAnsi="Times New Roman"/>
                      <w:b/>
                      <w:bCs/>
                      <w:color w:val="auto"/>
                      <w:vertAlign w:val="subscript"/>
                      <w:lang w:val="en-US" w:eastAsia="zh-CN"/>
                    </w:rPr>
                    <w:t>5</w:t>
                  </w:r>
                </w:p>
              </w:tc>
              <w:tc>
                <w:tcPr>
                  <w:tcW w:w="591" w:type="pct"/>
                  <w:tcBorders>
                    <w:tl2br w:val="nil"/>
                    <w:tr2bl w:val="nil"/>
                  </w:tcBorders>
                  <w:noWrap w:val="0"/>
                  <w:vAlign w:val="center"/>
                </w:tcPr>
                <w:p w14:paraId="15DECC7A">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rPr>
                  </w:pPr>
                  <w:r>
                    <w:rPr>
                      <w:rFonts w:hint="default" w:ascii="Times New Roman" w:hAnsi="Times New Roman"/>
                      <w:b/>
                      <w:bCs/>
                      <w:color w:val="auto"/>
                      <w:lang w:val="en-US" w:eastAsia="zh-CN"/>
                    </w:rPr>
                    <w:t>SS</w:t>
                  </w:r>
                </w:p>
              </w:tc>
              <w:tc>
                <w:tcPr>
                  <w:tcW w:w="539" w:type="pct"/>
                  <w:tcBorders>
                    <w:tl2br w:val="nil"/>
                    <w:tr2bl w:val="nil"/>
                  </w:tcBorders>
                  <w:noWrap w:val="0"/>
                  <w:vAlign w:val="center"/>
                </w:tcPr>
                <w:p w14:paraId="4D3C1989">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rPr>
                  </w:pPr>
                  <w:r>
                    <w:rPr>
                      <w:rFonts w:hint="default" w:ascii="Times New Roman" w:hAnsi="Times New Roman"/>
                      <w:b/>
                      <w:bCs/>
                      <w:color w:val="auto"/>
                      <w:lang w:val="en-US" w:eastAsia="zh-CN"/>
                    </w:rPr>
                    <w:t>NH</w:t>
                  </w:r>
                  <w:r>
                    <w:rPr>
                      <w:rFonts w:hint="default" w:ascii="Times New Roman" w:hAnsi="Times New Roman"/>
                      <w:b/>
                      <w:bCs/>
                      <w:color w:val="auto"/>
                      <w:vertAlign w:val="subscript"/>
                      <w:lang w:val="en-US" w:eastAsia="zh-CN"/>
                    </w:rPr>
                    <w:t>3</w:t>
                  </w:r>
                  <w:r>
                    <w:rPr>
                      <w:rFonts w:hint="default" w:ascii="Times New Roman" w:hAnsi="Times New Roman"/>
                      <w:b/>
                      <w:bCs/>
                      <w:color w:val="auto"/>
                      <w:lang w:val="en-US" w:eastAsia="zh-CN"/>
                    </w:rPr>
                    <w:t>-N</w:t>
                  </w:r>
                </w:p>
              </w:tc>
              <w:tc>
                <w:tcPr>
                  <w:tcW w:w="539" w:type="pct"/>
                  <w:tcBorders>
                    <w:tl2br w:val="nil"/>
                    <w:tr2bl w:val="nil"/>
                  </w:tcBorders>
                  <w:noWrap w:val="0"/>
                  <w:vAlign w:val="center"/>
                </w:tcPr>
                <w:p w14:paraId="22C3E47F">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lang w:val="en-US" w:eastAsia="zh-CN"/>
                    </w:rPr>
                  </w:pPr>
                  <w:r>
                    <w:rPr>
                      <w:rFonts w:hint="default" w:ascii="Times New Roman" w:hAnsi="Times New Roman"/>
                      <w:b/>
                      <w:bCs/>
                      <w:color w:val="auto"/>
                      <w:lang w:val="en-US" w:eastAsia="zh-CN"/>
                    </w:rPr>
                    <w:t>TN</w:t>
                  </w:r>
                </w:p>
              </w:tc>
              <w:tc>
                <w:tcPr>
                  <w:tcW w:w="572" w:type="pct"/>
                  <w:tcBorders>
                    <w:tl2br w:val="nil"/>
                    <w:tr2bl w:val="nil"/>
                  </w:tcBorders>
                  <w:noWrap w:val="0"/>
                  <w:vAlign w:val="center"/>
                </w:tcPr>
                <w:p w14:paraId="1020DE43">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lang w:val="en-US" w:eastAsia="zh-CN"/>
                    </w:rPr>
                  </w:pPr>
                  <w:r>
                    <w:rPr>
                      <w:rFonts w:hint="default" w:ascii="Times New Roman" w:hAnsi="Times New Roman"/>
                      <w:b/>
                      <w:bCs/>
                      <w:color w:val="auto"/>
                      <w:lang w:val="en-US" w:eastAsia="zh-CN"/>
                    </w:rPr>
                    <w:t>TP</w:t>
                  </w:r>
                </w:p>
              </w:tc>
              <w:tc>
                <w:tcPr>
                  <w:tcW w:w="568" w:type="pct"/>
                  <w:tcBorders>
                    <w:tl2br w:val="nil"/>
                    <w:tr2bl w:val="nil"/>
                  </w:tcBorders>
                  <w:noWrap w:val="0"/>
                  <w:vAlign w:val="center"/>
                </w:tcPr>
                <w:p w14:paraId="3F12129F">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b/>
                      <w:bCs/>
                      <w:color w:val="auto"/>
                      <w:lang w:val="en-US" w:eastAsia="zh-CN"/>
                    </w:rPr>
                  </w:pPr>
                  <w:r>
                    <w:rPr>
                      <w:rFonts w:hint="eastAsia"/>
                      <w:b/>
                      <w:bCs/>
                      <w:color w:val="auto"/>
                      <w:lang w:val="en-US" w:eastAsia="zh-CN"/>
                    </w:rPr>
                    <w:t>阴离子表面活性剂</w:t>
                  </w:r>
                </w:p>
              </w:tc>
            </w:tr>
            <w:tr w14:paraId="431345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02" w:type="pct"/>
                  <w:tcBorders>
                    <w:tl2br w:val="nil"/>
                    <w:tr2bl w:val="nil"/>
                  </w:tcBorders>
                  <w:noWrap w:val="0"/>
                  <w:vAlign w:val="center"/>
                </w:tcPr>
                <w:p w14:paraId="371B76BF">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default" w:ascii="Times New Roman" w:hAnsi="Times New Roman"/>
                      <w:color w:val="auto"/>
                      <w:lang w:val="en-US" w:eastAsia="zh-CN"/>
                    </w:rPr>
                    <w:t>进水水质</w:t>
                  </w:r>
                </w:p>
              </w:tc>
              <w:tc>
                <w:tcPr>
                  <w:tcW w:w="614" w:type="pct"/>
                  <w:tcBorders>
                    <w:tl2br w:val="nil"/>
                    <w:tr2bl w:val="nil"/>
                  </w:tcBorders>
                  <w:noWrap w:val="0"/>
                  <w:vAlign w:val="center"/>
                </w:tcPr>
                <w:p w14:paraId="2FFDC9F9">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default" w:ascii="Times New Roman" w:hAnsi="Times New Roman"/>
                      <w:color w:val="auto"/>
                      <w:lang w:val="en-US" w:eastAsia="zh-CN"/>
                    </w:rPr>
                    <w:t>6~9</w:t>
                  </w:r>
                  <w:r>
                    <w:rPr>
                      <w:rFonts w:hint="eastAsia" w:ascii="Times New Roman" w:hAnsi="Times New Roman"/>
                      <w:color w:val="auto"/>
                      <w:lang w:val="en-US" w:eastAsia="zh-CN"/>
                    </w:rPr>
                    <w:t>（</w:t>
                  </w:r>
                  <w:r>
                    <w:rPr>
                      <w:rFonts w:hint="default" w:ascii="Times New Roman" w:hAnsi="Times New Roman"/>
                      <w:color w:val="auto"/>
                      <w:lang w:val="en-US" w:eastAsia="zh-CN"/>
                    </w:rPr>
                    <w:t>无量纲</w:t>
                  </w:r>
                  <w:r>
                    <w:rPr>
                      <w:rFonts w:hint="eastAsia" w:ascii="Times New Roman" w:hAnsi="Times New Roman"/>
                      <w:color w:val="auto"/>
                      <w:lang w:val="en-US" w:eastAsia="zh-CN"/>
                    </w:rPr>
                    <w:t>）</w:t>
                  </w:r>
                </w:p>
              </w:tc>
              <w:tc>
                <w:tcPr>
                  <w:tcW w:w="481" w:type="pct"/>
                  <w:tcBorders>
                    <w:tl2br w:val="nil"/>
                    <w:tr2bl w:val="nil"/>
                  </w:tcBorders>
                  <w:noWrap w:val="0"/>
                  <w:vAlign w:val="center"/>
                </w:tcPr>
                <w:p w14:paraId="5EB445C3">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24</w:t>
                  </w:r>
                  <w:r>
                    <w:rPr>
                      <w:rFonts w:hint="default" w:ascii="Times New Roman" w:hAnsi="Times New Roman"/>
                      <w:color w:val="auto"/>
                      <w:lang w:val="en-US" w:eastAsia="zh-CN"/>
                    </w:rPr>
                    <w:t>0</w:t>
                  </w:r>
                </w:p>
              </w:tc>
              <w:tc>
                <w:tcPr>
                  <w:tcW w:w="591" w:type="pct"/>
                  <w:tcBorders>
                    <w:tl2br w:val="nil"/>
                    <w:tr2bl w:val="nil"/>
                  </w:tcBorders>
                  <w:noWrap w:val="0"/>
                  <w:vAlign w:val="center"/>
                </w:tcPr>
                <w:p w14:paraId="559D3BFA">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default" w:ascii="Times New Roman" w:hAnsi="Times New Roman"/>
                      <w:color w:val="auto"/>
                      <w:lang w:val="en-US" w:eastAsia="zh-CN"/>
                    </w:rPr>
                    <w:t>1</w:t>
                  </w:r>
                  <w:r>
                    <w:rPr>
                      <w:rFonts w:hint="eastAsia" w:ascii="Times New Roman" w:hAnsi="Times New Roman"/>
                      <w:color w:val="auto"/>
                      <w:lang w:val="en-US" w:eastAsia="zh-CN"/>
                    </w:rPr>
                    <w:t>2</w:t>
                  </w:r>
                  <w:r>
                    <w:rPr>
                      <w:rFonts w:hint="default" w:ascii="Times New Roman" w:hAnsi="Times New Roman"/>
                      <w:color w:val="auto"/>
                      <w:lang w:val="en-US" w:eastAsia="zh-CN"/>
                    </w:rPr>
                    <w:t>0</w:t>
                  </w:r>
                </w:p>
              </w:tc>
              <w:tc>
                <w:tcPr>
                  <w:tcW w:w="591" w:type="pct"/>
                  <w:tcBorders>
                    <w:tl2br w:val="nil"/>
                    <w:tr2bl w:val="nil"/>
                  </w:tcBorders>
                  <w:noWrap w:val="0"/>
                  <w:vAlign w:val="center"/>
                </w:tcPr>
                <w:p w14:paraId="71D911F6">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18</w:t>
                  </w:r>
                  <w:r>
                    <w:rPr>
                      <w:rFonts w:hint="default" w:ascii="Times New Roman" w:hAnsi="Times New Roman"/>
                      <w:color w:val="auto"/>
                      <w:lang w:val="en-US" w:eastAsia="zh-CN"/>
                    </w:rPr>
                    <w:t>0</w:t>
                  </w:r>
                </w:p>
              </w:tc>
              <w:tc>
                <w:tcPr>
                  <w:tcW w:w="539" w:type="pct"/>
                  <w:tcBorders>
                    <w:tl2br w:val="nil"/>
                    <w:tr2bl w:val="nil"/>
                  </w:tcBorders>
                  <w:noWrap w:val="0"/>
                  <w:vAlign w:val="center"/>
                </w:tcPr>
                <w:p w14:paraId="2A0E5F25">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30</w:t>
                  </w:r>
                </w:p>
              </w:tc>
              <w:tc>
                <w:tcPr>
                  <w:tcW w:w="539" w:type="pct"/>
                  <w:tcBorders>
                    <w:tl2br w:val="nil"/>
                    <w:tr2bl w:val="nil"/>
                  </w:tcBorders>
                  <w:noWrap w:val="0"/>
                  <w:vAlign w:val="center"/>
                </w:tcPr>
                <w:p w14:paraId="193E952D">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default" w:ascii="Times New Roman" w:hAnsi="Times New Roman"/>
                      <w:color w:val="auto"/>
                      <w:lang w:val="en-US" w:eastAsia="zh-CN"/>
                    </w:rPr>
                    <w:t>40</w:t>
                  </w:r>
                </w:p>
              </w:tc>
              <w:tc>
                <w:tcPr>
                  <w:tcW w:w="572" w:type="pct"/>
                  <w:tcBorders>
                    <w:tl2br w:val="nil"/>
                    <w:tr2bl w:val="nil"/>
                  </w:tcBorders>
                  <w:noWrap w:val="0"/>
                  <w:vAlign w:val="center"/>
                </w:tcPr>
                <w:p w14:paraId="72276884">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4</w:t>
                  </w:r>
                </w:p>
              </w:tc>
              <w:tc>
                <w:tcPr>
                  <w:tcW w:w="568" w:type="pct"/>
                  <w:tcBorders>
                    <w:tl2br w:val="nil"/>
                    <w:tr2bl w:val="nil"/>
                  </w:tcBorders>
                  <w:noWrap w:val="0"/>
                  <w:vAlign w:val="center"/>
                </w:tcPr>
                <w:p w14:paraId="660273CB">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color w:val="auto"/>
                      <w:lang w:val="en-US" w:eastAsia="zh-CN"/>
                    </w:rPr>
                    <w:t>-</w:t>
                  </w:r>
                </w:p>
              </w:tc>
            </w:tr>
            <w:tr w14:paraId="3F36C4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02" w:type="pct"/>
                  <w:tcBorders>
                    <w:tl2br w:val="nil"/>
                    <w:tr2bl w:val="nil"/>
                  </w:tcBorders>
                  <w:noWrap w:val="0"/>
                  <w:vAlign w:val="center"/>
                </w:tcPr>
                <w:p w14:paraId="431E5986">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default" w:ascii="Times New Roman" w:hAnsi="Times New Roman"/>
                      <w:color w:val="auto"/>
                      <w:lang w:val="en-US" w:eastAsia="zh-CN"/>
                    </w:rPr>
                    <w:t>出水标准</w:t>
                  </w:r>
                </w:p>
              </w:tc>
              <w:tc>
                <w:tcPr>
                  <w:tcW w:w="614" w:type="pct"/>
                  <w:tcBorders>
                    <w:tl2br w:val="nil"/>
                    <w:tr2bl w:val="nil"/>
                  </w:tcBorders>
                  <w:noWrap w:val="0"/>
                  <w:vAlign w:val="center"/>
                </w:tcPr>
                <w:p w14:paraId="7365B3A5">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default" w:ascii="Times New Roman" w:hAnsi="Times New Roman"/>
                      <w:color w:val="auto"/>
                      <w:lang w:val="en-US" w:eastAsia="zh-CN"/>
                    </w:rPr>
                    <w:t>6~9</w:t>
                  </w:r>
                  <w:r>
                    <w:rPr>
                      <w:rFonts w:hint="eastAsia" w:ascii="Times New Roman" w:hAnsi="Times New Roman"/>
                      <w:color w:val="auto"/>
                      <w:lang w:val="en-US" w:eastAsia="zh-CN"/>
                    </w:rPr>
                    <w:t>（</w:t>
                  </w:r>
                  <w:r>
                    <w:rPr>
                      <w:rFonts w:hint="default" w:ascii="Times New Roman" w:hAnsi="Times New Roman"/>
                      <w:color w:val="auto"/>
                      <w:lang w:val="en-US" w:eastAsia="zh-CN"/>
                    </w:rPr>
                    <w:t>无量纲</w:t>
                  </w:r>
                  <w:r>
                    <w:rPr>
                      <w:rFonts w:hint="eastAsia" w:ascii="Times New Roman" w:hAnsi="Times New Roman"/>
                      <w:color w:val="auto"/>
                      <w:lang w:val="en-US" w:eastAsia="zh-CN"/>
                    </w:rPr>
                    <w:t>）</w:t>
                  </w:r>
                </w:p>
              </w:tc>
              <w:tc>
                <w:tcPr>
                  <w:tcW w:w="481" w:type="pct"/>
                  <w:tcBorders>
                    <w:tl2br w:val="nil"/>
                    <w:tr2bl w:val="nil"/>
                  </w:tcBorders>
                  <w:noWrap w:val="0"/>
                  <w:vAlign w:val="center"/>
                </w:tcPr>
                <w:p w14:paraId="541F08DF">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5</w:t>
                  </w:r>
                  <w:r>
                    <w:rPr>
                      <w:rFonts w:hint="default" w:ascii="Times New Roman" w:hAnsi="Times New Roman"/>
                      <w:color w:val="auto"/>
                      <w:lang w:val="en-US" w:eastAsia="zh-CN"/>
                    </w:rPr>
                    <w:t>0</w:t>
                  </w:r>
                </w:p>
              </w:tc>
              <w:tc>
                <w:tcPr>
                  <w:tcW w:w="591" w:type="pct"/>
                  <w:tcBorders>
                    <w:tl2br w:val="nil"/>
                    <w:tr2bl w:val="nil"/>
                  </w:tcBorders>
                  <w:noWrap w:val="0"/>
                  <w:vAlign w:val="center"/>
                </w:tcPr>
                <w:p w14:paraId="23900488">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1</w:t>
                  </w:r>
                  <w:r>
                    <w:rPr>
                      <w:rFonts w:hint="default" w:ascii="Times New Roman" w:hAnsi="Times New Roman"/>
                      <w:color w:val="auto"/>
                      <w:lang w:val="en-US" w:eastAsia="zh-CN"/>
                    </w:rPr>
                    <w:t>0</w:t>
                  </w:r>
                </w:p>
              </w:tc>
              <w:tc>
                <w:tcPr>
                  <w:tcW w:w="591" w:type="pct"/>
                  <w:tcBorders>
                    <w:tl2br w:val="nil"/>
                    <w:tr2bl w:val="nil"/>
                  </w:tcBorders>
                  <w:noWrap w:val="0"/>
                  <w:vAlign w:val="center"/>
                </w:tcPr>
                <w:p w14:paraId="29C45B1E">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1</w:t>
                  </w:r>
                  <w:r>
                    <w:rPr>
                      <w:rFonts w:hint="default" w:ascii="Times New Roman" w:hAnsi="Times New Roman"/>
                      <w:color w:val="auto"/>
                      <w:lang w:val="en-US" w:eastAsia="zh-CN"/>
                    </w:rPr>
                    <w:t>0</w:t>
                  </w:r>
                </w:p>
              </w:tc>
              <w:tc>
                <w:tcPr>
                  <w:tcW w:w="539" w:type="pct"/>
                  <w:tcBorders>
                    <w:tl2br w:val="nil"/>
                    <w:tr2bl w:val="nil"/>
                  </w:tcBorders>
                  <w:noWrap w:val="0"/>
                  <w:vAlign w:val="center"/>
                </w:tcPr>
                <w:p w14:paraId="6F767D16">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5</w:t>
                  </w:r>
                  <w:r>
                    <w:rPr>
                      <w:rFonts w:hint="eastAsia"/>
                      <w:color w:val="auto"/>
                      <w:lang w:val="en-US" w:eastAsia="zh-CN"/>
                    </w:rPr>
                    <w:t>(</w:t>
                  </w:r>
                  <w:r>
                    <w:rPr>
                      <w:rFonts w:hint="eastAsia" w:ascii="Times New Roman" w:hAnsi="Times New Roman"/>
                      <w:color w:val="auto"/>
                      <w:lang w:val="en-US" w:eastAsia="zh-CN"/>
                    </w:rPr>
                    <w:t>8</w:t>
                  </w:r>
                  <w:r>
                    <w:rPr>
                      <w:rFonts w:hint="eastAsia"/>
                      <w:color w:val="auto"/>
                      <w:lang w:val="en-US" w:eastAsia="zh-CN"/>
                    </w:rPr>
                    <w:t>)</w:t>
                  </w:r>
                </w:p>
              </w:tc>
              <w:tc>
                <w:tcPr>
                  <w:tcW w:w="539" w:type="pct"/>
                  <w:tcBorders>
                    <w:tl2br w:val="nil"/>
                    <w:tr2bl w:val="nil"/>
                  </w:tcBorders>
                  <w:noWrap w:val="0"/>
                  <w:vAlign w:val="center"/>
                </w:tcPr>
                <w:p w14:paraId="227C9861">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15</w:t>
                  </w:r>
                </w:p>
              </w:tc>
              <w:tc>
                <w:tcPr>
                  <w:tcW w:w="572" w:type="pct"/>
                  <w:tcBorders>
                    <w:tl2br w:val="nil"/>
                    <w:tr2bl w:val="nil"/>
                  </w:tcBorders>
                  <w:noWrap w:val="0"/>
                  <w:vAlign w:val="center"/>
                </w:tcPr>
                <w:p w14:paraId="5B9B82CE">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ascii="Times New Roman" w:hAnsi="Times New Roman"/>
                      <w:color w:val="auto"/>
                      <w:lang w:val="en-US" w:eastAsia="zh-CN"/>
                    </w:rPr>
                    <w:t>0.5</w:t>
                  </w:r>
                </w:p>
              </w:tc>
              <w:tc>
                <w:tcPr>
                  <w:tcW w:w="568" w:type="pct"/>
                  <w:tcBorders>
                    <w:tl2br w:val="nil"/>
                    <w:tr2bl w:val="nil"/>
                  </w:tcBorders>
                  <w:noWrap w:val="0"/>
                  <w:vAlign w:val="center"/>
                </w:tcPr>
                <w:p w14:paraId="76101BB9">
                  <w:pPr>
                    <w:pStyle w:val="30"/>
                    <w:keepNext w:val="0"/>
                    <w:keepLines w:val="0"/>
                    <w:pageBreakBefore w:val="0"/>
                    <w:kinsoku/>
                    <w:wordWrap/>
                    <w:overflowPunct/>
                    <w:topLinePunct w:val="0"/>
                    <w:autoSpaceDE/>
                    <w:autoSpaceDN/>
                    <w:bidi w:val="0"/>
                    <w:spacing w:before="0" w:beforeLines="0" w:after="0" w:afterLines="0"/>
                    <w:textAlignment w:val="auto"/>
                    <w:rPr>
                      <w:rFonts w:hint="default" w:ascii="Times New Roman" w:hAnsi="Times New Roman"/>
                      <w:color w:val="auto"/>
                      <w:lang w:val="en-US" w:eastAsia="zh-CN"/>
                    </w:rPr>
                  </w:pPr>
                  <w:r>
                    <w:rPr>
                      <w:rFonts w:hint="eastAsia"/>
                      <w:color w:val="auto"/>
                      <w:lang w:val="en-US" w:eastAsia="zh-CN"/>
                    </w:rPr>
                    <w:t>0.5</w:t>
                  </w:r>
                </w:p>
              </w:tc>
            </w:tr>
            <w:tr w14:paraId="36448D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5000" w:type="pct"/>
                  <w:gridSpan w:val="9"/>
                  <w:tcBorders>
                    <w:tl2br w:val="nil"/>
                    <w:tr2bl w:val="nil"/>
                  </w:tcBorders>
                  <w:noWrap w:val="0"/>
                  <w:vAlign w:val="center"/>
                </w:tcPr>
                <w:p w14:paraId="5BAA9701">
                  <w:pPr>
                    <w:keepNext w:val="0"/>
                    <w:keepLines w:val="0"/>
                    <w:pageBreakBefore w:val="0"/>
                    <w:widowControl/>
                    <w:suppressLineNumbers w:val="0"/>
                    <w:kinsoku/>
                    <w:wordWrap/>
                    <w:overflowPunct/>
                    <w:topLinePunct w:val="0"/>
                    <w:autoSpaceDE/>
                    <w:autoSpaceDN/>
                    <w:bidi w:val="0"/>
                    <w:jc w:val="center"/>
                    <w:textAlignment w:val="auto"/>
                    <w:rPr>
                      <w:rFonts w:hint="eastAsia" w:ascii="宋体" w:hAnsi="宋体" w:eastAsia="宋体" w:cs="宋体"/>
                      <w:color w:val="auto"/>
                      <w:kern w:val="0"/>
                      <w:sz w:val="19"/>
                      <w:szCs w:val="19"/>
                      <w:lang w:val="en-US" w:eastAsia="zh-CN" w:bidi="ar"/>
                    </w:rPr>
                  </w:pPr>
                  <w:r>
                    <w:rPr>
                      <w:rFonts w:hint="eastAsia" w:ascii="宋体" w:hAnsi="宋体" w:eastAsia="宋体" w:cs="宋体"/>
                      <w:color w:val="auto"/>
                      <w:kern w:val="0"/>
                      <w:sz w:val="18"/>
                      <w:szCs w:val="18"/>
                      <w:lang w:val="en-US" w:eastAsia="zh-CN" w:bidi="ar"/>
                    </w:rPr>
                    <w:t>注：括号外数值为水温＞</w:t>
                  </w:r>
                  <w:r>
                    <w:rPr>
                      <w:rFonts w:hint="default" w:ascii="Times New Roman" w:hAnsi="Times New Roman" w:eastAsia="宋体" w:cs="Times New Roman"/>
                      <w:color w:val="auto"/>
                      <w:kern w:val="0"/>
                      <w:sz w:val="18"/>
                      <w:szCs w:val="18"/>
                      <w:lang w:val="en-US" w:eastAsia="zh-CN" w:bidi="ar"/>
                    </w:rPr>
                    <w:t>12℃</w:t>
                  </w:r>
                  <w:r>
                    <w:rPr>
                      <w:rFonts w:hint="eastAsia" w:ascii="宋体" w:hAnsi="宋体" w:eastAsia="宋体" w:cs="宋体"/>
                      <w:color w:val="auto"/>
                      <w:kern w:val="0"/>
                      <w:sz w:val="18"/>
                      <w:szCs w:val="18"/>
                      <w:lang w:val="en-US" w:eastAsia="zh-CN" w:bidi="ar"/>
                    </w:rPr>
                    <w:t>时的控制指标，括号内数值为水温</w:t>
                  </w:r>
                  <w:r>
                    <w:rPr>
                      <w:rFonts w:hint="default" w:ascii="Times New Roman" w:hAnsi="Times New Roman" w:eastAsia="宋体" w:cs="Times New Roman"/>
                      <w:color w:val="auto"/>
                      <w:kern w:val="0"/>
                      <w:sz w:val="18"/>
                      <w:szCs w:val="18"/>
                      <w:lang w:val="en-US" w:eastAsia="zh-CN" w:bidi="ar"/>
                    </w:rPr>
                    <w:t>≤12℃</w:t>
                  </w:r>
                  <w:r>
                    <w:rPr>
                      <w:rFonts w:hint="eastAsia" w:ascii="宋体" w:hAnsi="宋体" w:eastAsia="宋体" w:cs="宋体"/>
                      <w:color w:val="auto"/>
                      <w:kern w:val="0"/>
                      <w:sz w:val="18"/>
                      <w:szCs w:val="18"/>
                      <w:lang w:val="en-US" w:eastAsia="zh-CN" w:bidi="ar"/>
                    </w:rPr>
                    <w:t>时的控制指标</w:t>
                  </w:r>
                </w:p>
              </w:tc>
            </w:tr>
          </w:tbl>
          <w:p w14:paraId="7DE16D20">
            <w:pPr>
              <w:pStyle w:val="5"/>
              <w:bidi w:val="0"/>
              <w:rPr>
                <w:rFonts w:hint="eastAsia" w:ascii="Times New Roman" w:hAnsi="Times New Roman"/>
                <w:color w:val="auto"/>
                <w:lang w:val="en-US" w:eastAsia="zh-CN"/>
              </w:rPr>
            </w:pPr>
            <w:r>
              <w:rPr>
                <w:rFonts w:hint="eastAsia"/>
                <w:color w:val="auto"/>
                <w:lang w:val="en-US" w:eastAsia="zh-CN"/>
              </w:rPr>
              <w:t>Ⅱ</w:t>
            </w:r>
            <w:r>
              <w:rPr>
                <w:rFonts w:hint="eastAsia" w:ascii="Times New Roman" w:hAnsi="Times New Roman"/>
                <w:color w:val="auto"/>
                <w:lang w:val="en-US" w:eastAsia="zh-CN"/>
              </w:rPr>
              <w:t>、处理工艺</w:t>
            </w:r>
          </w:p>
          <w:p w14:paraId="3437DFE9">
            <w:pPr>
              <w:pStyle w:val="5"/>
              <w:bidi w:val="0"/>
              <w:rPr>
                <w:rFonts w:hint="default" w:ascii="Times New Roman" w:hAnsi="Times New Roman"/>
                <w:color w:val="auto"/>
                <w:lang w:val="en-US" w:eastAsia="zh-CN"/>
              </w:rPr>
            </w:pPr>
            <w:r>
              <w:rPr>
                <w:rFonts w:hint="eastAsia" w:ascii="Times New Roman" w:hAnsi="Times New Roman"/>
                <w:color w:val="auto"/>
                <w:lang w:val="en-US" w:eastAsia="zh-CN"/>
              </w:rPr>
              <w:t>大学城污水处理厂废水处理工艺采用“污水→粗格栅→进水泵房→细格栅→旋流沉砂池→AAO生物反应池→二沉池→高效沉淀池→滤布滤池→紫外</w:t>
            </w:r>
            <w:r>
              <w:rPr>
                <w:rFonts w:hint="eastAsia"/>
                <w:color w:val="auto"/>
                <w:lang w:val="en-US" w:eastAsia="zh-CN"/>
              </w:rPr>
              <w:t>线</w:t>
            </w:r>
            <w:r>
              <w:rPr>
                <w:rFonts w:hint="eastAsia" w:ascii="Times New Roman" w:hAnsi="Times New Roman"/>
                <w:color w:val="auto"/>
                <w:lang w:val="en-US" w:eastAsia="zh-CN"/>
              </w:rPr>
              <w:t>消毒渠”，项目污水处理工艺流程图详见图4.1-1。</w:t>
            </w:r>
          </w:p>
          <w:p w14:paraId="206C3F1D">
            <w:pPr>
              <w:pStyle w:val="5"/>
              <w:bidi w:val="0"/>
              <w:spacing w:line="240" w:lineRule="auto"/>
              <w:ind w:firstLine="0" w:firstLineChars="0"/>
              <w:rPr>
                <w:rFonts w:hint="default" w:ascii="Times New Roman" w:hAnsi="Times New Roman"/>
                <w:color w:val="auto"/>
                <w:lang w:val="en-US" w:eastAsia="zh-CN"/>
              </w:rPr>
            </w:pPr>
            <w:r>
              <w:rPr>
                <w:rFonts w:hint="default" w:ascii="Times New Roman" w:hAnsi="Times New Roman"/>
                <w:color w:val="auto"/>
                <w:lang w:val="en-US" w:eastAsia="zh-CN"/>
              </w:rPr>
              <w:drawing>
                <wp:inline distT="0" distB="0" distL="114300" distR="114300">
                  <wp:extent cx="5189855" cy="2268855"/>
                  <wp:effectExtent l="0" t="0" r="0" b="0"/>
                  <wp:docPr id="135" name="图片 1" descr="污水处理工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 descr="污水处理工艺"/>
                          <pic:cNvPicPr>
                            <a:picLocks noChangeAspect="1"/>
                          </pic:cNvPicPr>
                        </pic:nvPicPr>
                        <pic:blipFill>
                          <a:blip r:embed="rId14"/>
                          <a:stretch>
                            <a:fillRect/>
                          </a:stretch>
                        </pic:blipFill>
                        <pic:spPr>
                          <a:xfrm>
                            <a:off x="0" y="0"/>
                            <a:ext cx="5189855" cy="2268855"/>
                          </a:xfrm>
                          <a:prstGeom prst="rect">
                            <a:avLst/>
                          </a:prstGeom>
                          <a:noFill/>
                          <a:ln>
                            <a:noFill/>
                          </a:ln>
                        </pic:spPr>
                      </pic:pic>
                    </a:graphicData>
                  </a:graphic>
                </wp:inline>
              </w:drawing>
            </w:r>
          </w:p>
          <w:p w14:paraId="3A7C0509">
            <w:pPr>
              <w:pStyle w:val="27"/>
              <w:bidi w:val="0"/>
              <w:rPr>
                <w:rFonts w:hint="eastAsia" w:ascii="Times New Roman" w:hAnsi="Times New Roman"/>
                <w:color w:val="auto"/>
                <w:lang w:val="en-US" w:eastAsia="zh-CN"/>
              </w:rPr>
            </w:pPr>
            <w:r>
              <w:rPr>
                <w:rFonts w:hint="eastAsia" w:ascii="Times New Roman" w:hAnsi="Times New Roman"/>
                <w:color w:val="auto"/>
                <w:lang w:val="en-US" w:eastAsia="zh-CN"/>
              </w:rPr>
              <w:t>图4.1-1</w:t>
            </w:r>
            <w:r>
              <w:rPr>
                <w:rFonts w:hint="eastAsia"/>
                <w:color w:val="auto"/>
                <w:lang w:val="en-US" w:eastAsia="zh-CN"/>
              </w:rPr>
              <w:t xml:space="preserve">  </w:t>
            </w:r>
            <w:r>
              <w:rPr>
                <w:rFonts w:hint="eastAsia" w:ascii="Times New Roman" w:hAnsi="Times New Roman"/>
                <w:color w:val="auto"/>
                <w:lang w:val="en-US" w:eastAsia="zh-CN"/>
              </w:rPr>
              <w:t>大学城污水处理厂废水处理工艺</w:t>
            </w:r>
          </w:p>
          <w:p w14:paraId="0D3B4496">
            <w:pPr>
              <w:pStyle w:val="5"/>
              <w:bidi w:val="0"/>
              <w:rPr>
                <w:rFonts w:hint="eastAsia" w:ascii="Times New Roman" w:hAnsi="Times New Roman"/>
                <w:color w:val="auto"/>
                <w:lang w:val="en-US" w:eastAsia="zh-CN"/>
              </w:rPr>
            </w:pPr>
            <w:r>
              <w:rPr>
                <w:rFonts w:hint="eastAsia" w:ascii="Times New Roman" w:hAnsi="Times New Roman"/>
                <w:color w:val="auto"/>
                <w:lang w:val="en-US" w:eastAsia="zh-CN"/>
              </w:rPr>
              <w:t>②依托可行性分析</w:t>
            </w:r>
          </w:p>
          <w:p w14:paraId="6F0FC214">
            <w:pPr>
              <w:pStyle w:val="5"/>
              <w:bidi w:val="0"/>
              <w:rPr>
                <w:rFonts w:hint="eastAsia" w:ascii="Times New Roman" w:hAnsi="Times New Roman"/>
                <w:color w:val="auto"/>
                <w:lang w:val="en-US" w:eastAsia="zh-CN"/>
              </w:rPr>
            </w:pPr>
            <w:r>
              <w:rPr>
                <w:rFonts w:hint="eastAsia" w:ascii="Times New Roman" w:hAnsi="Times New Roman"/>
                <w:color w:val="auto"/>
                <w:lang w:val="en-US" w:eastAsia="zh-CN"/>
              </w:rPr>
              <w:t>I</w:t>
            </w:r>
            <w:r>
              <w:rPr>
                <w:rFonts w:hint="eastAsia"/>
                <w:color w:val="auto"/>
                <w:lang w:val="en-US" w:eastAsia="zh-CN"/>
              </w:rPr>
              <w:t>.</w:t>
            </w:r>
            <w:r>
              <w:rPr>
                <w:rFonts w:hint="eastAsia" w:ascii="Times New Roman" w:hAnsi="Times New Roman"/>
                <w:color w:val="auto"/>
                <w:lang w:val="en-US" w:eastAsia="zh-CN"/>
              </w:rPr>
              <w:t>接管可行性</w:t>
            </w:r>
          </w:p>
          <w:p w14:paraId="5F0A6475">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根据《</w:t>
            </w:r>
            <w:r>
              <w:rPr>
                <w:rFonts w:hint="eastAsia"/>
                <w:color w:val="auto"/>
                <w:lang w:val="en-US" w:eastAsia="zh-CN"/>
              </w:rPr>
              <w:t>福州市闽侯县大学城污水处理厂四期工程（厂内工程第一阶段）项目</w:t>
            </w:r>
            <w:r>
              <w:rPr>
                <w:rFonts w:hint="default" w:ascii="Times New Roman" w:hAnsi="Times New Roman"/>
                <w:color w:val="auto"/>
                <w:lang w:val="en-US" w:eastAsia="zh-CN"/>
              </w:rPr>
              <w:t>》可知</w:t>
            </w:r>
            <w:r>
              <w:rPr>
                <w:rFonts w:hint="eastAsia" w:ascii="Times New Roman" w:hAnsi="Times New Roman"/>
                <w:color w:val="auto"/>
                <w:lang w:val="en-US" w:eastAsia="zh-CN"/>
              </w:rPr>
              <w:t>，大学城污水处理厂服务范围包括上街镇区、大学城和南屿片区等，总服务面积为88km</w:t>
            </w:r>
            <w:r>
              <w:rPr>
                <w:rFonts w:hint="eastAsia" w:ascii="Times New Roman" w:hAnsi="Times New Roman"/>
                <w:color w:val="auto"/>
                <w:vertAlign w:val="superscript"/>
                <w:lang w:val="en-US" w:eastAsia="zh-CN"/>
              </w:rPr>
              <w:t>2</w:t>
            </w:r>
            <w:r>
              <w:rPr>
                <w:rFonts w:hint="eastAsia" w:ascii="Times New Roman" w:hAnsi="Times New Roman"/>
                <w:color w:val="auto"/>
                <w:lang w:val="en-US" w:eastAsia="zh-CN"/>
              </w:rPr>
              <w:t>，服务范围内人口预测为近期55万人、远期72万人。本项目位于南屿片区，在大学城污水处理厂的服务范围内，目前项目周边污水管网已经接到项目所在区域，污水汇集后通过厂区外敷设的污水干管进入污水处理厂处理。</w:t>
            </w:r>
          </w:p>
          <w:p w14:paraId="754A43E5">
            <w:pPr>
              <w:pStyle w:val="5"/>
              <w:bidi w:val="0"/>
              <w:rPr>
                <w:rFonts w:hint="eastAsia" w:ascii="Times New Roman" w:hAnsi="Times New Roman"/>
                <w:color w:val="auto"/>
                <w:lang w:val="en-US" w:eastAsia="zh-CN"/>
              </w:rPr>
            </w:pPr>
            <w:r>
              <w:rPr>
                <w:rFonts w:hint="eastAsia"/>
                <w:color w:val="auto"/>
                <w:lang w:val="en-US" w:eastAsia="zh-CN"/>
              </w:rPr>
              <w:t>Ⅱ</w:t>
            </w:r>
            <w:r>
              <w:rPr>
                <w:rFonts w:hint="eastAsia" w:ascii="Times New Roman" w:hAnsi="Times New Roman"/>
                <w:color w:val="auto"/>
                <w:lang w:val="en-US" w:eastAsia="zh-CN"/>
              </w:rPr>
              <w:t>、水质负荷</w:t>
            </w:r>
          </w:p>
          <w:p w14:paraId="76501B6B">
            <w:pPr>
              <w:pStyle w:val="5"/>
              <w:bidi w:val="0"/>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生活污水经化粪池处理达标后排入市政管网，纳入大学城污水处理厂；废除油剂作为危险废物处理；铣磨废水、抛光废水、磨边废水、超洗废水经过三级沉淀池沉淀处理达标后排入市政管网，纳入大学城污水处理厂；纯水槽的纯水与非纯净废水直接排入市政管网，纳入大学城污水处理。</w:t>
            </w:r>
            <w:r>
              <w:rPr>
                <w:rFonts w:hint="default" w:ascii="Times New Roman" w:hAnsi="Times New Roman" w:eastAsia="宋体" w:cs="宋体"/>
                <w:color w:val="auto"/>
                <w:kern w:val="2"/>
                <w:sz w:val="24"/>
                <w:szCs w:val="24"/>
                <w:lang w:val="en-US" w:eastAsia="zh-CN" w:bidi="ar-SA"/>
              </w:rPr>
              <w:t>根据</w:t>
            </w:r>
            <w:r>
              <w:rPr>
                <w:rFonts w:hint="eastAsia" w:ascii="Times New Roman" w:hAnsi="Times New Roman" w:eastAsia="宋体" w:cs="宋体"/>
                <w:color w:val="auto"/>
                <w:kern w:val="2"/>
                <w:sz w:val="24"/>
                <w:szCs w:val="24"/>
                <w:lang w:val="en-US" w:eastAsia="zh-CN" w:bidi="ar-SA"/>
              </w:rPr>
              <w:t>前文</w:t>
            </w:r>
            <w:r>
              <w:rPr>
                <w:rFonts w:hint="default" w:ascii="Times New Roman" w:hAnsi="Times New Roman" w:eastAsia="宋体" w:cs="宋体"/>
                <w:color w:val="auto"/>
                <w:kern w:val="2"/>
                <w:sz w:val="24"/>
                <w:szCs w:val="24"/>
                <w:lang w:val="en-US" w:eastAsia="zh-CN" w:bidi="ar-SA"/>
              </w:rPr>
              <w:t>工程分析预测可知，项目综合废水排入市政污水管网内污染物排放浓度情况表4.</w:t>
            </w:r>
            <w:r>
              <w:rPr>
                <w:rFonts w:hint="eastAsia" w:ascii="Times New Roman" w:hAnsi="Times New Roman" w:eastAsia="宋体" w:cs="宋体"/>
                <w:color w:val="auto"/>
                <w:kern w:val="2"/>
                <w:sz w:val="24"/>
                <w:szCs w:val="24"/>
                <w:lang w:val="en-US" w:eastAsia="zh-CN" w:bidi="ar-SA"/>
              </w:rPr>
              <w:t>1</w:t>
            </w: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5</w:t>
            </w:r>
            <w:r>
              <w:rPr>
                <w:rFonts w:hint="default" w:ascii="Times New Roman" w:hAnsi="Times New Roman" w:eastAsia="宋体" w:cs="宋体"/>
                <w:color w:val="auto"/>
                <w:kern w:val="2"/>
                <w:sz w:val="24"/>
                <w:szCs w:val="24"/>
                <w:lang w:val="en-US" w:eastAsia="zh-CN" w:bidi="ar-SA"/>
              </w:rPr>
              <w:t>。</w:t>
            </w:r>
          </w:p>
          <w:p w14:paraId="131DDE56">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表4.1-</w:t>
            </w:r>
            <w:r>
              <w:rPr>
                <w:rFonts w:hint="eastAsia" w:cs="Times New Roman"/>
                <w:b/>
                <w:color w:val="auto"/>
                <w:kern w:val="0"/>
                <w:sz w:val="24"/>
                <w:szCs w:val="20"/>
                <w:lang w:val="en-US" w:eastAsia="zh-CN" w:bidi="ar-SA"/>
              </w:rPr>
              <w:t xml:space="preserve">5  </w:t>
            </w:r>
            <w:r>
              <w:rPr>
                <w:rFonts w:hint="eastAsia" w:ascii="Times New Roman" w:hAnsi="Times New Roman" w:eastAsia="宋体" w:cs="Times New Roman"/>
                <w:b/>
                <w:color w:val="auto"/>
                <w:kern w:val="0"/>
                <w:sz w:val="24"/>
                <w:szCs w:val="20"/>
                <w:lang w:val="en-US" w:eastAsia="zh-CN" w:bidi="ar-SA"/>
              </w:rPr>
              <w:t>本项目废水总排口排放情况一览表</w:t>
            </w:r>
          </w:p>
          <w:tbl>
            <w:tblPr>
              <w:tblStyle w:val="20"/>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32"/>
              <w:gridCol w:w="1633"/>
              <w:gridCol w:w="1635"/>
              <w:gridCol w:w="1635"/>
              <w:gridCol w:w="1635"/>
            </w:tblGrid>
            <w:tr w14:paraId="30076A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pct"/>
                  <w:tcBorders>
                    <w:tl2br w:val="nil"/>
                    <w:tr2bl w:val="nil"/>
                  </w:tcBorders>
                  <w:noWrap w:val="0"/>
                  <w:vAlign w:val="center"/>
                </w:tcPr>
                <w:p w14:paraId="61974D4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污染物种类</w:t>
                  </w:r>
                </w:p>
              </w:tc>
              <w:tc>
                <w:tcPr>
                  <w:tcW w:w="999" w:type="pct"/>
                  <w:tcBorders>
                    <w:tl2br w:val="nil"/>
                    <w:tr2bl w:val="nil"/>
                  </w:tcBorders>
                  <w:noWrap w:val="0"/>
                  <w:vAlign w:val="center"/>
                </w:tcPr>
                <w:p w14:paraId="5887543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排放浓度</w:t>
                  </w:r>
                  <w:r>
                    <w:rPr>
                      <w:rFonts w:hint="eastAsia" w:cs="Times New Roman"/>
                      <w:b/>
                      <w:bCs/>
                      <w:color w:val="auto"/>
                      <w:kern w:val="0"/>
                      <w:sz w:val="21"/>
                      <w:szCs w:val="20"/>
                      <w:lang w:val="en-US" w:eastAsia="zh-CN" w:bidi="ar-SA"/>
                    </w:rPr>
                    <w:t>（</w:t>
                  </w:r>
                  <w:r>
                    <w:rPr>
                      <w:rFonts w:hint="default" w:ascii="Times New Roman" w:hAnsi="Times New Roman" w:eastAsia="宋体" w:cs="Times New Roman"/>
                      <w:b/>
                      <w:bCs/>
                      <w:color w:val="auto"/>
                      <w:kern w:val="0"/>
                      <w:sz w:val="21"/>
                      <w:szCs w:val="20"/>
                      <w:lang w:val="en-US" w:eastAsia="zh-CN" w:bidi="ar-SA"/>
                    </w:rPr>
                    <w:t>mg/L</w:t>
                  </w:r>
                  <w:r>
                    <w:rPr>
                      <w:rFonts w:hint="eastAsia" w:cs="Times New Roman"/>
                      <w:b/>
                      <w:bCs/>
                      <w:color w:val="auto"/>
                      <w:kern w:val="0"/>
                      <w:sz w:val="21"/>
                      <w:szCs w:val="20"/>
                      <w:lang w:val="en-US" w:eastAsia="zh-CN" w:bidi="ar-SA"/>
                    </w:rPr>
                    <w:t>）</w:t>
                  </w:r>
                </w:p>
              </w:tc>
              <w:tc>
                <w:tcPr>
                  <w:tcW w:w="1000" w:type="pct"/>
                  <w:tcBorders>
                    <w:tl2br w:val="nil"/>
                    <w:tr2bl w:val="nil"/>
                  </w:tcBorders>
                  <w:noWrap w:val="0"/>
                  <w:vAlign w:val="center"/>
                </w:tcPr>
                <w:p w14:paraId="7CD932C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允许排放标准</w:t>
                  </w:r>
                  <w:r>
                    <w:rPr>
                      <w:rFonts w:hint="eastAsia" w:cs="Times New Roman"/>
                      <w:b/>
                      <w:bCs/>
                      <w:color w:val="auto"/>
                      <w:kern w:val="0"/>
                      <w:sz w:val="21"/>
                      <w:szCs w:val="20"/>
                      <w:lang w:val="en-US" w:eastAsia="zh-CN" w:bidi="ar-SA"/>
                    </w:rPr>
                    <w:t>（</w:t>
                  </w:r>
                  <w:r>
                    <w:rPr>
                      <w:rFonts w:hint="default" w:ascii="Times New Roman" w:hAnsi="Times New Roman" w:eastAsia="宋体" w:cs="Times New Roman"/>
                      <w:b/>
                      <w:bCs/>
                      <w:color w:val="auto"/>
                      <w:kern w:val="0"/>
                      <w:sz w:val="21"/>
                      <w:szCs w:val="20"/>
                      <w:lang w:val="en-US" w:eastAsia="zh-CN" w:bidi="ar-SA"/>
                    </w:rPr>
                    <w:t>mg/L</w:t>
                  </w:r>
                  <w:r>
                    <w:rPr>
                      <w:rFonts w:hint="eastAsia" w:cs="Times New Roman"/>
                      <w:b/>
                      <w:bCs/>
                      <w:color w:val="auto"/>
                      <w:kern w:val="0"/>
                      <w:sz w:val="21"/>
                      <w:szCs w:val="20"/>
                      <w:lang w:val="en-US" w:eastAsia="zh-CN" w:bidi="ar-SA"/>
                    </w:rPr>
                    <w:t>）</w:t>
                  </w:r>
                </w:p>
              </w:tc>
              <w:tc>
                <w:tcPr>
                  <w:tcW w:w="1000" w:type="pct"/>
                  <w:tcBorders>
                    <w:tl2br w:val="nil"/>
                    <w:tr2bl w:val="nil"/>
                  </w:tcBorders>
                  <w:noWrap w:val="0"/>
                  <w:vAlign w:val="center"/>
                </w:tcPr>
                <w:p w14:paraId="4E5FE1E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cs="Times New Roman"/>
                      <w:b/>
                      <w:bCs/>
                      <w:color w:val="auto"/>
                      <w:kern w:val="0"/>
                      <w:sz w:val="21"/>
                      <w:szCs w:val="20"/>
                      <w:lang w:val="en-US" w:eastAsia="zh-CN" w:bidi="ar-SA"/>
                    </w:rPr>
                    <w:t>污水处理厂</w:t>
                  </w:r>
                  <w:r>
                    <w:rPr>
                      <w:rFonts w:hint="default" w:ascii="Times New Roman" w:hAnsi="Times New Roman" w:eastAsia="宋体" w:cs="Times New Roman"/>
                      <w:b/>
                      <w:bCs/>
                      <w:color w:val="auto"/>
                      <w:kern w:val="0"/>
                      <w:sz w:val="21"/>
                      <w:szCs w:val="20"/>
                      <w:lang w:val="en-US" w:eastAsia="zh-CN" w:bidi="ar-SA"/>
                    </w:rPr>
                    <w:t>进水水质</w:t>
                  </w:r>
                  <w:r>
                    <w:rPr>
                      <w:rFonts w:hint="eastAsia" w:cs="Times New Roman"/>
                      <w:b/>
                      <w:bCs/>
                      <w:color w:val="auto"/>
                      <w:kern w:val="0"/>
                      <w:sz w:val="21"/>
                      <w:szCs w:val="20"/>
                      <w:lang w:val="en-US" w:eastAsia="zh-CN" w:bidi="ar-SA"/>
                    </w:rPr>
                    <w:t>（</w:t>
                  </w:r>
                  <w:r>
                    <w:rPr>
                      <w:rFonts w:hint="default" w:ascii="Times New Roman" w:hAnsi="Times New Roman" w:eastAsia="宋体" w:cs="Times New Roman"/>
                      <w:b/>
                      <w:bCs/>
                      <w:color w:val="auto"/>
                      <w:kern w:val="0"/>
                      <w:sz w:val="21"/>
                      <w:szCs w:val="20"/>
                      <w:lang w:val="en-US" w:eastAsia="zh-CN" w:bidi="ar-SA"/>
                    </w:rPr>
                    <w:t>mg/L</w:t>
                  </w:r>
                  <w:r>
                    <w:rPr>
                      <w:rFonts w:hint="eastAsia" w:cs="Times New Roman"/>
                      <w:b/>
                      <w:bCs/>
                      <w:color w:val="auto"/>
                      <w:kern w:val="0"/>
                      <w:sz w:val="21"/>
                      <w:szCs w:val="20"/>
                      <w:lang w:val="en-US" w:eastAsia="zh-CN" w:bidi="ar-SA"/>
                    </w:rPr>
                    <w:t>）</w:t>
                  </w:r>
                </w:p>
              </w:tc>
              <w:tc>
                <w:tcPr>
                  <w:tcW w:w="1000" w:type="pct"/>
                  <w:tcBorders>
                    <w:tl2br w:val="nil"/>
                    <w:tr2bl w:val="nil"/>
                  </w:tcBorders>
                  <w:noWrap w:val="0"/>
                  <w:vAlign w:val="center"/>
                </w:tcPr>
                <w:p w14:paraId="0B9CD88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default" w:ascii="Times New Roman" w:hAnsi="Times New Roman" w:eastAsia="宋体" w:cs="Times New Roman"/>
                      <w:b/>
                      <w:bCs/>
                      <w:color w:val="auto"/>
                      <w:kern w:val="0"/>
                      <w:sz w:val="21"/>
                      <w:szCs w:val="20"/>
                      <w:lang w:val="en-US" w:eastAsia="zh-CN" w:bidi="ar-SA"/>
                    </w:rPr>
                    <w:t>达标情况</w:t>
                  </w:r>
                </w:p>
              </w:tc>
            </w:tr>
            <w:tr w14:paraId="5C3443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pct"/>
                  <w:tcBorders>
                    <w:tl2br w:val="nil"/>
                    <w:tr2bl w:val="nil"/>
                  </w:tcBorders>
                  <w:noWrap w:val="0"/>
                  <w:vAlign w:val="center"/>
                </w:tcPr>
                <w:p w14:paraId="4CE8721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pH</w:t>
                  </w:r>
                </w:p>
              </w:tc>
              <w:tc>
                <w:tcPr>
                  <w:tcW w:w="999" w:type="pct"/>
                  <w:tcBorders>
                    <w:tl2br w:val="nil"/>
                    <w:tr2bl w:val="nil"/>
                  </w:tcBorders>
                  <w:noWrap w:val="0"/>
                  <w:vAlign w:val="center"/>
                </w:tcPr>
                <w:p w14:paraId="0F9A4FB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6-9</w:t>
                  </w:r>
                  <w:r>
                    <w:rPr>
                      <w:rFonts w:hint="eastAsia" w:cs="Times New Roman"/>
                      <w:color w:val="auto"/>
                      <w:kern w:val="0"/>
                      <w:sz w:val="21"/>
                      <w:szCs w:val="20"/>
                      <w:lang w:val="en-US" w:eastAsia="zh-CN" w:bidi="ar-SA"/>
                    </w:rPr>
                    <w:t>（无量纲）</w:t>
                  </w:r>
                </w:p>
              </w:tc>
              <w:tc>
                <w:tcPr>
                  <w:tcW w:w="1000" w:type="pct"/>
                  <w:tcBorders>
                    <w:tl2br w:val="nil"/>
                    <w:tr2bl w:val="nil"/>
                  </w:tcBorders>
                  <w:noWrap w:val="0"/>
                  <w:vAlign w:val="center"/>
                </w:tcPr>
                <w:p w14:paraId="47C77E8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6-9</w:t>
                  </w:r>
                  <w:r>
                    <w:rPr>
                      <w:rFonts w:hint="eastAsia" w:cs="Times New Roman"/>
                      <w:color w:val="auto"/>
                      <w:kern w:val="0"/>
                      <w:sz w:val="21"/>
                      <w:szCs w:val="20"/>
                      <w:lang w:val="en-US" w:eastAsia="zh-CN" w:bidi="ar-SA"/>
                    </w:rPr>
                    <w:t>（</w:t>
                  </w:r>
                  <w:r>
                    <w:rPr>
                      <w:rFonts w:hint="eastAsia" w:ascii="Times New Roman" w:hAnsi="Times New Roman" w:eastAsia="宋体" w:cs="宋体"/>
                      <w:color w:val="auto"/>
                      <w:kern w:val="0"/>
                      <w:sz w:val="21"/>
                      <w:szCs w:val="20"/>
                      <w:lang w:val="en-US" w:eastAsia="zh-CN" w:bidi="ar-SA"/>
                    </w:rPr>
                    <w:t>无量纲</w:t>
                  </w:r>
                  <w:r>
                    <w:rPr>
                      <w:rFonts w:hint="eastAsia" w:cs="宋体"/>
                      <w:color w:val="auto"/>
                      <w:kern w:val="0"/>
                      <w:sz w:val="21"/>
                      <w:szCs w:val="20"/>
                      <w:lang w:val="en-US" w:eastAsia="zh-CN" w:bidi="ar-SA"/>
                    </w:rPr>
                    <w:t>）</w:t>
                  </w:r>
                </w:p>
              </w:tc>
              <w:tc>
                <w:tcPr>
                  <w:tcW w:w="1000" w:type="pct"/>
                  <w:tcBorders>
                    <w:tl2br w:val="nil"/>
                    <w:tr2bl w:val="nil"/>
                  </w:tcBorders>
                  <w:noWrap w:val="0"/>
                  <w:vAlign w:val="center"/>
                </w:tcPr>
                <w:p w14:paraId="0CCDC79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6-9</w:t>
                  </w:r>
                  <w:r>
                    <w:rPr>
                      <w:rFonts w:hint="eastAsia" w:cs="Times New Roman"/>
                      <w:color w:val="auto"/>
                      <w:kern w:val="0"/>
                      <w:sz w:val="21"/>
                      <w:szCs w:val="20"/>
                      <w:lang w:val="en-US" w:eastAsia="zh-CN" w:bidi="ar-SA"/>
                    </w:rPr>
                    <w:t>（</w:t>
                  </w:r>
                  <w:r>
                    <w:rPr>
                      <w:rFonts w:hint="eastAsia" w:ascii="Times New Roman" w:hAnsi="Times New Roman" w:eastAsia="宋体" w:cs="宋体"/>
                      <w:color w:val="auto"/>
                      <w:kern w:val="0"/>
                      <w:sz w:val="21"/>
                      <w:szCs w:val="20"/>
                      <w:lang w:val="en-US" w:eastAsia="zh-CN" w:bidi="ar-SA"/>
                    </w:rPr>
                    <w:t>无量纲</w:t>
                  </w:r>
                  <w:r>
                    <w:rPr>
                      <w:rFonts w:hint="eastAsia" w:cs="宋体"/>
                      <w:color w:val="auto"/>
                      <w:kern w:val="0"/>
                      <w:sz w:val="21"/>
                      <w:szCs w:val="20"/>
                      <w:lang w:val="en-US" w:eastAsia="zh-CN" w:bidi="ar-SA"/>
                    </w:rPr>
                    <w:t>）</w:t>
                  </w:r>
                </w:p>
              </w:tc>
              <w:tc>
                <w:tcPr>
                  <w:tcW w:w="1000" w:type="pct"/>
                  <w:tcBorders>
                    <w:tl2br w:val="nil"/>
                    <w:tr2bl w:val="nil"/>
                  </w:tcBorders>
                  <w:noWrap w:val="0"/>
                  <w:vAlign w:val="center"/>
                </w:tcPr>
                <w:p w14:paraId="5F0D0F4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达标</w:t>
                  </w:r>
                </w:p>
              </w:tc>
            </w:tr>
            <w:tr w14:paraId="7C7F2E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pct"/>
                  <w:tcBorders>
                    <w:tl2br w:val="nil"/>
                    <w:tr2bl w:val="nil"/>
                  </w:tcBorders>
                  <w:noWrap w:val="0"/>
                  <w:vAlign w:val="center"/>
                </w:tcPr>
                <w:p w14:paraId="7B6CF6A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COD</w:t>
                  </w:r>
                  <w:r>
                    <w:rPr>
                      <w:rFonts w:hint="eastAsia" w:ascii="Times New Roman" w:hAnsi="Times New Roman" w:eastAsia="宋体" w:cs="Times New Roman"/>
                      <w:color w:val="auto"/>
                      <w:kern w:val="0"/>
                      <w:sz w:val="21"/>
                      <w:szCs w:val="20"/>
                      <w:vertAlign w:val="subscript"/>
                      <w:lang w:val="en-US" w:eastAsia="zh-CN" w:bidi="ar-SA"/>
                    </w:rPr>
                    <w:t>cr</w:t>
                  </w:r>
                </w:p>
              </w:tc>
              <w:tc>
                <w:tcPr>
                  <w:tcW w:w="999" w:type="pct"/>
                  <w:tcBorders>
                    <w:tl2br w:val="nil"/>
                    <w:tr2bl w:val="nil"/>
                  </w:tcBorders>
                  <w:noWrap w:val="0"/>
                  <w:vAlign w:val="center"/>
                </w:tcPr>
                <w:p w14:paraId="5214617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165.131</w:t>
                  </w:r>
                </w:p>
              </w:tc>
              <w:tc>
                <w:tcPr>
                  <w:tcW w:w="1000" w:type="pct"/>
                  <w:tcBorders>
                    <w:tl2br w:val="nil"/>
                    <w:tr2bl w:val="nil"/>
                  </w:tcBorders>
                  <w:noWrap w:val="0"/>
                  <w:vAlign w:val="center"/>
                </w:tcPr>
                <w:p w14:paraId="2B79BBD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500</w:t>
                  </w:r>
                </w:p>
              </w:tc>
              <w:tc>
                <w:tcPr>
                  <w:tcW w:w="1000" w:type="pct"/>
                  <w:tcBorders>
                    <w:tl2br w:val="nil"/>
                    <w:tr2bl w:val="nil"/>
                  </w:tcBorders>
                  <w:noWrap w:val="0"/>
                  <w:vAlign w:val="center"/>
                </w:tcPr>
                <w:p w14:paraId="695A0C3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240</w:t>
                  </w:r>
                </w:p>
              </w:tc>
              <w:tc>
                <w:tcPr>
                  <w:tcW w:w="1000" w:type="pct"/>
                  <w:tcBorders>
                    <w:tl2br w:val="nil"/>
                    <w:tr2bl w:val="nil"/>
                  </w:tcBorders>
                  <w:noWrap w:val="0"/>
                  <w:vAlign w:val="center"/>
                </w:tcPr>
                <w:p w14:paraId="1012BB9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达标</w:t>
                  </w:r>
                </w:p>
              </w:tc>
            </w:tr>
            <w:tr w14:paraId="6BDA68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pct"/>
                  <w:tcBorders>
                    <w:tl2br w:val="nil"/>
                    <w:tr2bl w:val="nil"/>
                  </w:tcBorders>
                  <w:noWrap w:val="0"/>
                  <w:vAlign w:val="center"/>
                </w:tcPr>
                <w:p w14:paraId="6196A5F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BOD</w:t>
                  </w:r>
                  <w:r>
                    <w:rPr>
                      <w:rFonts w:hint="default" w:ascii="Times New Roman" w:hAnsi="Times New Roman" w:eastAsia="宋体" w:cs="Times New Roman"/>
                      <w:color w:val="auto"/>
                      <w:kern w:val="0"/>
                      <w:sz w:val="21"/>
                      <w:szCs w:val="20"/>
                      <w:vertAlign w:val="subscript"/>
                      <w:lang w:val="en-US" w:eastAsia="zh-CN" w:bidi="ar-SA"/>
                    </w:rPr>
                    <w:t>5</w:t>
                  </w:r>
                </w:p>
              </w:tc>
              <w:tc>
                <w:tcPr>
                  <w:tcW w:w="999" w:type="pct"/>
                  <w:tcBorders>
                    <w:tl2br w:val="nil"/>
                    <w:tr2bl w:val="nil"/>
                  </w:tcBorders>
                  <w:noWrap w:val="0"/>
                  <w:vAlign w:val="center"/>
                </w:tcPr>
                <w:p w14:paraId="4FB53BA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21.193</w:t>
                  </w:r>
                </w:p>
              </w:tc>
              <w:tc>
                <w:tcPr>
                  <w:tcW w:w="1000" w:type="pct"/>
                  <w:tcBorders>
                    <w:tl2br w:val="nil"/>
                    <w:tr2bl w:val="nil"/>
                  </w:tcBorders>
                  <w:noWrap w:val="0"/>
                  <w:vAlign w:val="center"/>
                </w:tcPr>
                <w:p w14:paraId="3BCDCF2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300</w:t>
                  </w:r>
                </w:p>
              </w:tc>
              <w:tc>
                <w:tcPr>
                  <w:tcW w:w="1000" w:type="pct"/>
                  <w:tcBorders>
                    <w:tl2br w:val="nil"/>
                    <w:tr2bl w:val="nil"/>
                  </w:tcBorders>
                  <w:noWrap w:val="0"/>
                  <w:vAlign w:val="center"/>
                </w:tcPr>
                <w:p w14:paraId="52D6464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120</w:t>
                  </w:r>
                </w:p>
              </w:tc>
              <w:tc>
                <w:tcPr>
                  <w:tcW w:w="1000" w:type="pct"/>
                  <w:tcBorders>
                    <w:tl2br w:val="nil"/>
                    <w:tr2bl w:val="nil"/>
                  </w:tcBorders>
                  <w:noWrap w:val="0"/>
                  <w:vAlign w:val="center"/>
                </w:tcPr>
                <w:p w14:paraId="38355C4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达标</w:t>
                  </w:r>
                </w:p>
              </w:tc>
            </w:tr>
            <w:tr w14:paraId="208B45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pct"/>
                  <w:tcBorders>
                    <w:tl2br w:val="nil"/>
                    <w:tr2bl w:val="nil"/>
                  </w:tcBorders>
                  <w:noWrap w:val="0"/>
                  <w:vAlign w:val="center"/>
                </w:tcPr>
                <w:p w14:paraId="1B5C22B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SS</w:t>
                  </w:r>
                </w:p>
              </w:tc>
              <w:tc>
                <w:tcPr>
                  <w:tcW w:w="999" w:type="pct"/>
                  <w:tcBorders>
                    <w:tl2br w:val="nil"/>
                    <w:tr2bl w:val="nil"/>
                  </w:tcBorders>
                  <w:noWrap w:val="0"/>
                  <w:vAlign w:val="center"/>
                </w:tcPr>
                <w:p w14:paraId="040A846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19.202</w:t>
                  </w:r>
                </w:p>
              </w:tc>
              <w:tc>
                <w:tcPr>
                  <w:tcW w:w="1000" w:type="pct"/>
                  <w:tcBorders>
                    <w:tl2br w:val="nil"/>
                    <w:tr2bl w:val="nil"/>
                  </w:tcBorders>
                  <w:noWrap w:val="0"/>
                  <w:vAlign w:val="center"/>
                </w:tcPr>
                <w:p w14:paraId="5FC2436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400</w:t>
                  </w:r>
                </w:p>
              </w:tc>
              <w:tc>
                <w:tcPr>
                  <w:tcW w:w="1000" w:type="pct"/>
                  <w:tcBorders>
                    <w:tl2br w:val="nil"/>
                    <w:tr2bl w:val="nil"/>
                  </w:tcBorders>
                  <w:noWrap w:val="0"/>
                  <w:vAlign w:val="center"/>
                </w:tcPr>
                <w:p w14:paraId="1E96EF9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180</w:t>
                  </w:r>
                </w:p>
              </w:tc>
              <w:tc>
                <w:tcPr>
                  <w:tcW w:w="1000" w:type="pct"/>
                  <w:tcBorders>
                    <w:tl2br w:val="nil"/>
                    <w:tr2bl w:val="nil"/>
                  </w:tcBorders>
                  <w:noWrap w:val="0"/>
                  <w:vAlign w:val="center"/>
                </w:tcPr>
                <w:p w14:paraId="13AF574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达标</w:t>
                  </w:r>
                </w:p>
              </w:tc>
            </w:tr>
            <w:tr w14:paraId="3EBD64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98" w:type="pct"/>
                  <w:tcBorders>
                    <w:tl2br w:val="nil"/>
                    <w:tr2bl w:val="nil"/>
                  </w:tcBorders>
                  <w:noWrap w:val="0"/>
                  <w:vAlign w:val="center"/>
                </w:tcPr>
                <w:p w14:paraId="6E57B36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NH</w:t>
                  </w:r>
                  <w:r>
                    <w:rPr>
                      <w:rFonts w:hint="default" w:ascii="Times New Roman" w:hAnsi="Times New Roman" w:eastAsia="宋体" w:cs="Times New Roman"/>
                      <w:color w:val="auto"/>
                      <w:kern w:val="0"/>
                      <w:sz w:val="21"/>
                      <w:szCs w:val="20"/>
                      <w:vertAlign w:val="subscript"/>
                      <w:lang w:val="en-US" w:eastAsia="zh-CN" w:bidi="ar-SA"/>
                    </w:rPr>
                    <w:t>3</w:t>
                  </w:r>
                  <w:r>
                    <w:rPr>
                      <w:rFonts w:hint="default" w:ascii="Times New Roman" w:hAnsi="Times New Roman" w:eastAsia="宋体" w:cs="Times New Roman"/>
                      <w:color w:val="auto"/>
                      <w:kern w:val="0"/>
                      <w:sz w:val="21"/>
                      <w:szCs w:val="20"/>
                      <w:lang w:val="en-US" w:eastAsia="zh-CN" w:bidi="ar-SA"/>
                    </w:rPr>
                    <w:t>-N</w:t>
                  </w:r>
                </w:p>
              </w:tc>
              <w:tc>
                <w:tcPr>
                  <w:tcW w:w="999" w:type="pct"/>
                  <w:tcBorders>
                    <w:tl2br w:val="nil"/>
                    <w:tr2bl w:val="nil"/>
                  </w:tcBorders>
                  <w:noWrap w:val="0"/>
                  <w:vAlign w:val="center"/>
                </w:tcPr>
                <w:p w14:paraId="52D66DC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9.540</w:t>
                  </w:r>
                </w:p>
              </w:tc>
              <w:tc>
                <w:tcPr>
                  <w:tcW w:w="1000" w:type="pct"/>
                  <w:tcBorders>
                    <w:tl2br w:val="nil"/>
                    <w:tr2bl w:val="nil"/>
                  </w:tcBorders>
                  <w:noWrap w:val="0"/>
                  <w:vAlign w:val="center"/>
                </w:tcPr>
                <w:p w14:paraId="0A674F6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45</w:t>
                  </w:r>
                </w:p>
              </w:tc>
              <w:tc>
                <w:tcPr>
                  <w:tcW w:w="1000" w:type="pct"/>
                  <w:tcBorders>
                    <w:tl2br w:val="nil"/>
                    <w:tr2bl w:val="nil"/>
                  </w:tcBorders>
                  <w:noWrap w:val="0"/>
                  <w:vAlign w:val="center"/>
                </w:tcPr>
                <w:p w14:paraId="3730F8D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30</w:t>
                  </w:r>
                </w:p>
              </w:tc>
              <w:tc>
                <w:tcPr>
                  <w:tcW w:w="1000" w:type="pct"/>
                  <w:tcBorders>
                    <w:tl2br w:val="nil"/>
                    <w:tr2bl w:val="nil"/>
                  </w:tcBorders>
                  <w:noWrap w:val="0"/>
                  <w:vAlign w:val="center"/>
                </w:tcPr>
                <w:p w14:paraId="287CFDF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达标</w:t>
                  </w:r>
                </w:p>
              </w:tc>
            </w:tr>
            <w:tr w14:paraId="78DC15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98" w:type="pct"/>
                  <w:tcBorders>
                    <w:tl2br w:val="nil"/>
                    <w:tr2bl w:val="nil"/>
                  </w:tcBorders>
                  <w:noWrap w:val="0"/>
                  <w:vAlign w:val="center"/>
                </w:tcPr>
                <w:p w14:paraId="617F08B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LAS</w:t>
                  </w:r>
                </w:p>
              </w:tc>
              <w:tc>
                <w:tcPr>
                  <w:tcW w:w="999" w:type="pct"/>
                  <w:tcBorders>
                    <w:tl2br w:val="nil"/>
                    <w:tr2bl w:val="nil"/>
                  </w:tcBorders>
                  <w:noWrap w:val="0"/>
                  <w:vAlign w:val="center"/>
                </w:tcPr>
                <w:p w14:paraId="4DA0B2A5">
                  <w:pPr>
                    <w:widowControl w:val="0"/>
                    <w:bidi w:val="0"/>
                    <w:adjustRightInd w:val="0"/>
                    <w:snapToGrid w:val="0"/>
                    <w:spacing w:before="10" w:beforeLines="10" w:after="10" w:afterLines="10" w:line="240" w:lineRule="auto"/>
                    <w:jc w:val="center"/>
                    <w:rPr>
                      <w:rFonts w:hint="default" w:cs="Times New Roman"/>
                      <w:color w:val="auto"/>
                      <w:kern w:val="0"/>
                      <w:sz w:val="21"/>
                      <w:szCs w:val="20"/>
                      <w:lang w:val="en-US" w:eastAsia="zh-CN" w:bidi="ar-SA"/>
                    </w:rPr>
                  </w:pPr>
                  <w:r>
                    <w:rPr>
                      <w:rFonts w:hint="eastAsia" w:cs="Times New Roman"/>
                      <w:color w:val="auto"/>
                      <w:kern w:val="0"/>
                      <w:sz w:val="21"/>
                      <w:szCs w:val="20"/>
                      <w:lang w:val="en-US" w:eastAsia="zh-CN" w:bidi="ar-SA"/>
                    </w:rPr>
                    <w:t>1.16</w:t>
                  </w:r>
                </w:p>
              </w:tc>
              <w:tc>
                <w:tcPr>
                  <w:tcW w:w="1000" w:type="pct"/>
                  <w:tcBorders>
                    <w:tl2br w:val="nil"/>
                    <w:tr2bl w:val="nil"/>
                  </w:tcBorders>
                  <w:noWrap w:val="0"/>
                  <w:vAlign w:val="center"/>
                </w:tcPr>
                <w:p w14:paraId="6321ED0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20</w:t>
                  </w:r>
                </w:p>
              </w:tc>
              <w:tc>
                <w:tcPr>
                  <w:tcW w:w="1000" w:type="pct"/>
                  <w:tcBorders>
                    <w:tl2br w:val="nil"/>
                    <w:tr2bl w:val="nil"/>
                  </w:tcBorders>
                  <w:noWrap w:val="0"/>
                  <w:vAlign w:val="center"/>
                </w:tcPr>
                <w:p w14:paraId="22E0CEE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0.5</w:t>
                  </w:r>
                </w:p>
              </w:tc>
              <w:tc>
                <w:tcPr>
                  <w:tcW w:w="1000" w:type="pct"/>
                  <w:tcBorders>
                    <w:tl2br w:val="nil"/>
                    <w:tr2bl w:val="nil"/>
                  </w:tcBorders>
                  <w:noWrap w:val="0"/>
                  <w:vAlign w:val="center"/>
                </w:tcPr>
                <w:p w14:paraId="62FA754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达标</w:t>
                  </w:r>
                </w:p>
              </w:tc>
            </w:tr>
          </w:tbl>
          <w:p w14:paraId="109DD6D9">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根据上表所列数据，本项目生活污水主要污染物排放浓度均能满足《污水综合排放标准》</w:t>
            </w:r>
            <w:r>
              <w:rPr>
                <w:rFonts w:hint="eastAsia" w:ascii="Times New Roman" w:hAnsi="Times New Roman"/>
                <w:color w:val="auto"/>
                <w:lang w:val="en-US" w:eastAsia="zh-CN"/>
              </w:rPr>
              <w:t>（</w:t>
            </w:r>
            <w:r>
              <w:rPr>
                <w:rFonts w:hint="default" w:ascii="Times New Roman" w:hAnsi="Times New Roman"/>
                <w:color w:val="auto"/>
                <w:lang w:val="en-US" w:eastAsia="zh-CN"/>
              </w:rPr>
              <w:t>GB8978-1996</w:t>
            </w:r>
            <w:r>
              <w:rPr>
                <w:rFonts w:hint="eastAsia" w:ascii="Times New Roman" w:hAnsi="Times New Roman"/>
                <w:color w:val="auto"/>
                <w:lang w:val="en-US" w:eastAsia="zh-CN"/>
              </w:rPr>
              <w:t>）</w:t>
            </w:r>
            <w:r>
              <w:rPr>
                <w:rFonts w:hint="default" w:ascii="Times New Roman" w:hAnsi="Times New Roman"/>
                <w:color w:val="auto"/>
                <w:lang w:val="en-US" w:eastAsia="zh-CN"/>
              </w:rPr>
              <w:t>表4三级标准及《污水排入城镇下水道水质标准》</w:t>
            </w:r>
            <w:r>
              <w:rPr>
                <w:rFonts w:hint="eastAsia" w:ascii="Times New Roman" w:hAnsi="Times New Roman"/>
                <w:color w:val="auto"/>
                <w:lang w:val="en-US" w:eastAsia="zh-CN"/>
              </w:rPr>
              <w:t>（</w:t>
            </w:r>
            <w:r>
              <w:rPr>
                <w:rFonts w:hint="default" w:ascii="Times New Roman" w:hAnsi="Times New Roman"/>
                <w:color w:val="auto"/>
                <w:lang w:val="en-US" w:eastAsia="zh-CN"/>
              </w:rPr>
              <w:t>GB/T 31962-2015</w:t>
            </w:r>
            <w:r>
              <w:rPr>
                <w:rFonts w:hint="eastAsia" w:ascii="Times New Roman" w:hAnsi="Times New Roman"/>
                <w:color w:val="auto"/>
                <w:lang w:val="en-US" w:eastAsia="zh-CN"/>
              </w:rPr>
              <w:t>）</w:t>
            </w:r>
            <w:r>
              <w:rPr>
                <w:rFonts w:hint="default" w:ascii="Times New Roman" w:hAnsi="Times New Roman"/>
                <w:color w:val="auto"/>
                <w:lang w:val="en-US" w:eastAsia="zh-CN"/>
              </w:rPr>
              <w:t>表1中B级标准限值，也可以符合</w:t>
            </w:r>
            <w:r>
              <w:rPr>
                <w:rFonts w:hint="eastAsia"/>
                <w:color w:val="auto"/>
                <w:lang w:val="en-US" w:eastAsia="zh-CN"/>
              </w:rPr>
              <w:t>污水处理厂</w:t>
            </w:r>
            <w:r>
              <w:rPr>
                <w:rFonts w:hint="default" w:ascii="Times New Roman" w:hAnsi="Times New Roman"/>
                <w:color w:val="auto"/>
                <w:lang w:val="en-US" w:eastAsia="zh-CN"/>
              </w:rPr>
              <w:t>进水水质要求。</w:t>
            </w:r>
          </w:p>
          <w:p w14:paraId="173C150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项目生活污水不涉及有毒有害污染物，不涉及持久性、重金属，也不含有腐蚀成分，因此，从水质方面分析，</w:t>
            </w:r>
            <w:r>
              <w:rPr>
                <w:rFonts w:hint="eastAsia" w:ascii="Times New Roman" w:hAnsi="Times New Roman" w:eastAsia="宋体" w:cs="宋体"/>
                <w:color w:val="auto"/>
                <w:kern w:val="2"/>
                <w:sz w:val="24"/>
                <w:szCs w:val="24"/>
                <w:lang w:val="en-US" w:eastAsia="zh-CN" w:bidi="ar-SA"/>
              </w:rPr>
              <w:t>大学城</w:t>
            </w:r>
            <w:r>
              <w:rPr>
                <w:rFonts w:hint="default" w:ascii="Times New Roman" w:hAnsi="Times New Roman" w:eastAsia="宋体" w:cs="宋体"/>
                <w:color w:val="auto"/>
                <w:kern w:val="2"/>
                <w:sz w:val="24"/>
                <w:szCs w:val="24"/>
                <w:lang w:val="en-US" w:eastAsia="zh-CN" w:bidi="ar-SA"/>
              </w:rPr>
              <w:t>处理厂可接纳项目</w:t>
            </w:r>
            <w:r>
              <w:rPr>
                <w:rFonts w:hint="eastAsia" w:ascii="Times New Roman" w:hAnsi="Times New Roman" w:eastAsia="宋体" w:cs="宋体"/>
                <w:color w:val="auto"/>
                <w:kern w:val="2"/>
                <w:sz w:val="24"/>
                <w:szCs w:val="24"/>
                <w:lang w:val="en-US" w:eastAsia="zh-CN" w:bidi="ar-SA"/>
              </w:rPr>
              <w:t>废水</w:t>
            </w:r>
            <w:r>
              <w:rPr>
                <w:rFonts w:hint="default" w:ascii="Times New Roman" w:hAnsi="Times New Roman" w:eastAsia="宋体" w:cs="宋体"/>
                <w:color w:val="auto"/>
                <w:kern w:val="2"/>
                <w:sz w:val="24"/>
                <w:szCs w:val="24"/>
                <w:lang w:val="en-US" w:eastAsia="zh-CN" w:bidi="ar-SA"/>
              </w:rPr>
              <w:t>，不会对</w:t>
            </w:r>
            <w:r>
              <w:rPr>
                <w:rFonts w:hint="eastAsia" w:cs="宋体"/>
                <w:color w:val="auto"/>
                <w:kern w:val="2"/>
                <w:sz w:val="24"/>
                <w:szCs w:val="24"/>
                <w:lang w:val="en-US" w:eastAsia="zh-CN" w:bidi="ar-SA"/>
              </w:rPr>
              <w:t>污水处理厂</w:t>
            </w:r>
            <w:r>
              <w:rPr>
                <w:rFonts w:hint="default" w:ascii="Times New Roman" w:hAnsi="Times New Roman" w:eastAsia="宋体" w:cs="宋体"/>
                <w:color w:val="auto"/>
                <w:kern w:val="2"/>
                <w:sz w:val="24"/>
                <w:szCs w:val="24"/>
                <w:lang w:val="en-US" w:eastAsia="zh-CN" w:bidi="ar-SA"/>
              </w:rPr>
              <w:t>水质负荷造成冲击。</w:t>
            </w:r>
          </w:p>
          <w:p w14:paraId="4FEC017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cs="宋体"/>
                <w:color w:val="auto"/>
                <w:kern w:val="2"/>
                <w:sz w:val="24"/>
                <w:szCs w:val="24"/>
                <w:lang w:val="en-US" w:eastAsia="zh-CN" w:bidi="ar-SA"/>
              </w:rPr>
              <w:t>Ⅲ</w:t>
            </w:r>
            <w:r>
              <w:rPr>
                <w:rFonts w:hint="eastAsia" w:ascii="Times New Roman" w:hAnsi="Times New Roman" w:eastAsia="宋体" w:cs="宋体"/>
                <w:color w:val="auto"/>
                <w:kern w:val="2"/>
                <w:sz w:val="24"/>
                <w:szCs w:val="24"/>
                <w:lang w:val="en-US" w:eastAsia="zh-CN" w:bidi="ar-SA"/>
              </w:rPr>
              <w:t>、水量负荷</w:t>
            </w:r>
          </w:p>
          <w:p w14:paraId="0103AB9A">
            <w:pPr>
              <w:pStyle w:val="5"/>
              <w:bidi w:val="0"/>
              <w:rPr>
                <w:rFonts w:hint="eastAsia" w:ascii="Times New Roman" w:hAnsi="Times New Roman"/>
                <w:color w:val="auto"/>
                <w:lang w:val="en-US" w:eastAsia="zh-CN"/>
              </w:rPr>
            </w:pPr>
            <w:r>
              <w:rPr>
                <w:rFonts w:hint="eastAsia" w:ascii="Times New Roman" w:hAnsi="Times New Roman"/>
                <w:color w:val="auto"/>
                <w:lang w:val="en-US" w:eastAsia="zh-CN"/>
              </w:rPr>
              <w:t>根据《福州市闽侯县大学城污水处理厂四期工程（厂外工程）》可知，大学城污水处理厂设计总处理规模为14万m</w:t>
            </w:r>
            <w:r>
              <w:rPr>
                <w:rFonts w:hint="eastAsia" w:ascii="Times New Roman" w:hAnsi="Times New Roman"/>
                <w:color w:val="auto"/>
                <w:vertAlign w:val="superscript"/>
                <w:lang w:val="en-US" w:eastAsia="zh-CN"/>
              </w:rPr>
              <w:t>3</w:t>
            </w:r>
            <w:r>
              <w:rPr>
                <w:rFonts w:hint="eastAsia" w:ascii="Times New Roman" w:hAnsi="Times New Roman"/>
                <w:color w:val="auto"/>
                <w:lang w:val="en-US" w:eastAsia="zh-CN"/>
              </w:rPr>
              <w:t>/d，目前实际处理规模为12万m</w:t>
            </w:r>
            <w:r>
              <w:rPr>
                <w:rFonts w:hint="eastAsia" w:ascii="Times New Roman" w:hAnsi="Times New Roman"/>
                <w:color w:val="auto"/>
                <w:vertAlign w:val="superscript"/>
                <w:lang w:val="en-US" w:eastAsia="zh-CN"/>
              </w:rPr>
              <w:t>3</w:t>
            </w:r>
            <w:r>
              <w:rPr>
                <w:rFonts w:hint="eastAsia" w:ascii="Times New Roman" w:hAnsi="Times New Roman"/>
                <w:color w:val="auto"/>
                <w:lang w:val="en-US" w:eastAsia="zh-CN"/>
              </w:rPr>
              <w:t>/d</w:t>
            </w:r>
            <w:r>
              <w:rPr>
                <w:rFonts w:hint="eastAsia"/>
                <w:color w:val="auto"/>
                <w:lang w:val="en-US" w:eastAsia="zh-CN"/>
              </w:rPr>
              <w:t>，</w:t>
            </w:r>
            <w:r>
              <w:rPr>
                <w:rFonts w:hint="eastAsia" w:ascii="Times New Roman" w:hAnsi="Times New Roman"/>
                <w:color w:val="auto"/>
                <w:lang w:val="en-US" w:eastAsia="zh-CN"/>
              </w:rPr>
              <w:t>本项目废水排放量为</w:t>
            </w:r>
            <w:r>
              <w:rPr>
                <w:rFonts w:hint="eastAsia"/>
                <w:color w:val="auto"/>
                <w:lang w:val="en-US" w:eastAsia="zh-CN"/>
              </w:rPr>
              <w:t>5775.4</w:t>
            </w:r>
            <w:r>
              <w:rPr>
                <w:rFonts w:hint="eastAsia" w:ascii="Times New Roman" w:hAnsi="Times New Roman"/>
                <w:color w:val="auto"/>
                <w:lang w:val="en-US" w:eastAsia="zh-CN"/>
              </w:rPr>
              <w:t>m</w:t>
            </w:r>
            <w:r>
              <w:rPr>
                <w:rFonts w:hint="eastAsia" w:ascii="Times New Roman" w:hAnsi="Times New Roman"/>
                <w:color w:val="auto"/>
                <w:vertAlign w:val="superscript"/>
                <w:lang w:val="en-US" w:eastAsia="zh-CN"/>
              </w:rPr>
              <w:t>3</w:t>
            </w:r>
            <w:r>
              <w:rPr>
                <w:rFonts w:hint="eastAsia" w:ascii="Times New Roman" w:hAnsi="Times New Roman"/>
                <w:color w:val="auto"/>
                <w:lang w:val="en-US" w:eastAsia="zh-CN"/>
              </w:rPr>
              <w:t>/a（</w:t>
            </w:r>
            <w:r>
              <w:rPr>
                <w:rFonts w:hint="eastAsia"/>
                <w:color w:val="auto"/>
                <w:lang w:val="en-US" w:eastAsia="zh-CN"/>
              </w:rPr>
              <w:t>21.877</w:t>
            </w:r>
            <w:r>
              <w:rPr>
                <w:rFonts w:hint="eastAsia" w:ascii="Times New Roman" w:hAnsi="Times New Roman"/>
                <w:color w:val="auto"/>
                <w:lang w:val="en-US" w:eastAsia="zh-CN"/>
              </w:rPr>
              <w:t>m</w:t>
            </w:r>
            <w:r>
              <w:rPr>
                <w:rFonts w:hint="eastAsia" w:ascii="Times New Roman" w:hAnsi="Times New Roman"/>
                <w:color w:val="auto"/>
                <w:vertAlign w:val="superscript"/>
                <w:lang w:val="en-US" w:eastAsia="zh-CN"/>
              </w:rPr>
              <w:t>3</w:t>
            </w:r>
            <w:r>
              <w:rPr>
                <w:rFonts w:hint="eastAsia" w:ascii="Times New Roman" w:hAnsi="Times New Roman"/>
                <w:color w:val="auto"/>
                <w:lang w:val="en-US" w:eastAsia="zh-CN"/>
              </w:rPr>
              <w:t>/d），占污水处理厂剩余规模的0.</w:t>
            </w:r>
            <w:r>
              <w:rPr>
                <w:rFonts w:hint="eastAsia"/>
                <w:color w:val="auto"/>
                <w:lang w:val="en-US" w:eastAsia="zh-CN"/>
              </w:rPr>
              <w:t>11</w:t>
            </w:r>
            <w:r>
              <w:rPr>
                <w:rFonts w:hint="eastAsia" w:ascii="Times New Roman" w:hAnsi="Times New Roman"/>
                <w:color w:val="auto"/>
                <w:lang w:val="en-US" w:eastAsia="zh-CN"/>
              </w:rPr>
              <w:t>%，大学城污水处理厂采用“污水→粗格栅→进水泵房→细格栅→旋流沉砂池→AAO生物反应池→二沉池→高效沉淀池→滤布滤池→紫外</w:t>
            </w:r>
            <w:r>
              <w:rPr>
                <w:rFonts w:hint="eastAsia"/>
                <w:color w:val="auto"/>
                <w:lang w:val="en-US" w:eastAsia="zh-CN"/>
              </w:rPr>
              <w:t>线</w:t>
            </w:r>
            <w:r>
              <w:rPr>
                <w:rFonts w:hint="eastAsia" w:ascii="Times New Roman" w:hAnsi="Times New Roman"/>
                <w:color w:val="auto"/>
                <w:lang w:val="en-US" w:eastAsia="zh-CN"/>
              </w:rPr>
              <w:t>消毒渠”处理工艺，属于城镇污水处理厂通用工艺，因此，从处理能力及处理工艺分析，大学城污水处理厂可接纳项目废水排放量，不会对</w:t>
            </w:r>
            <w:r>
              <w:rPr>
                <w:rFonts w:hint="eastAsia"/>
                <w:color w:val="auto"/>
                <w:lang w:val="en-US" w:eastAsia="zh-CN"/>
              </w:rPr>
              <w:t>污水处理厂</w:t>
            </w:r>
            <w:r>
              <w:rPr>
                <w:rFonts w:hint="eastAsia" w:ascii="Times New Roman" w:hAnsi="Times New Roman"/>
                <w:color w:val="auto"/>
                <w:lang w:val="en-US" w:eastAsia="zh-CN"/>
              </w:rPr>
              <w:t>水量负荷造成冲击。</w:t>
            </w:r>
          </w:p>
          <w:p w14:paraId="0D359A1D">
            <w:pPr>
              <w:keepNext/>
              <w:keepLines/>
              <w:widowControl w:val="0"/>
              <w:bidi w:val="0"/>
              <w:spacing w:beforeLines="0" w:beforeAutospacing="0" w:afterLines="0" w:afterAutospacing="0" w:line="360" w:lineRule="auto"/>
              <w:jc w:val="left"/>
              <w:outlineLvl w:val="2"/>
              <w:rPr>
                <w:rFonts w:hint="default" w:ascii="Times New Roman" w:hAnsi="Times New Roman" w:eastAsia="宋体" w:cs="Times New Roman"/>
                <w:b/>
                <w:color w:val="auto"/>
                <w:kern w:val="2"/>
                <w:sz w:val="24"/>
                <w:szCs w:val="24"/>
                <w:lang w:val="en-US" w:eastAsia="zh-CN" w:bidi="ar-SA"/>
              </w:rPr>
            </w:pPr>
            <w:bookmarkStart w:id="79" w:name="_Toc28435"/>
            <w:r>
              <w:rPr>
                <w:rFonts w:hint="eastAsia" w:ascii="Times New Roman" w:hAnsi="Times New Roman" w:eastAsia="宋体" w:cs="Times New Roman"/>
                <w:b/>
                <w:color w:val="auto"/>
                <w:kern w:val="2"/>
                <w:sz w:val="24"/>
                <w:szCs w:val="24"/>
                <w:lang w:val="en-US" w:eastAsia="zh-CN" w:bidi="ar-SA"/>
              </w:rPr>
              <w:t>4.1.3废水自行监测计划</w:t>
            </w:r>
            <w:bookmarkEnd w:id="79"/>
          </w:p>
          <w:p w14:paraId="06891C7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bookmarkStart w:id="80" w:name="_Toc15172"/>
            <w:bookmarkStart w:id="81" w:name="_Toc11760"/>
            <w:r>
              <w:rPr>
                <w:rFonts w:hint="eastAsia" w:ascii="Times New Roman" w:hAnsi="Times New Roman" w:eastAsia="宋体" w:cs="宋体"/>
                <w:color w:val="auto"/>
                <w:kern w:val="2"/>
                <w:sz w:val="24"/>
                <w:szCs w:val="24"/>
                <w:lang w:val="en-US" w:eastAsia="zh-CN" w:bidi="ar-SA"/>
              </w:rPr>
              <w:t>根据《固定污染源排污许可分类管理名录（2019年版）》（生态环境部第11号）可知，本项目属于光学仪器制造业，对应《固定污染源排污许可分类管理名录（2019年版）》中三十五、仪器仪表制造业40光学仪器制造404，见表4.1-</w:t>
            </w:r>
            <w:r>
              <w:rPr>
                <w:rFonts w:hint="eastAsia" w:cs="宋体"/>
                <w:color w:val="auto"/>
                <w:kern w:val="2"/>
                <w:sz w:val="24"/>
                <w:szCs w:val="24"/>
                <w:lang w:val="en-US" w:eastAsia="zh-CN" w:bidi="ar-SA"/>
              </w:rPr>
              <w:t>6</w:t>
            </w:r>
            <w:r>
              <w:rPr>
                <w:rFonts w:hint="eastAsia" w:ascii="Times New Roman" w:hAnsi="Times New Roman" w:eastAsia="宋体" w:cs="宋体"/>
                <w:color w:val="auto"/>
                <w:kern w:val="2"/>
                <w:sz w:val="24"/>
                <w:szCs w:val="24"/>
                <w:lang w:val="en-US" w:eastAsia="zh-CN" w:bidi="ar-SA"/>
              </w:rPr>
              <w:t>，年使用有机溶剂10吨以下，不涉及通用工序简化管理的。本项目应当进行登记管理，登记管理无自行监测要求。</w:t>
            </w:r>
          </w:p>
          <w:p w14:paraId="7896720A">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表4.1-</w:t>
            </w:r>
            <w:r>
              <w:rPr>
                <w:rFonts w:hint="eastAsia" w:cs="Times New Roman"/>
                <w:b/>
                <w:color w:val="auto"/>
                <w:kern w:val="0"/>
                <w:sz w:val="24"/>
                <w:szCs w:val="20"/>
                <w:lang w:val="en-US" w:eastAsia="zh-CN" w:bidi="ar-SA"/>
              </w:rPr>
              <w:t xml:space="preserve">6  </w:t>
            </w:r>
            <w:r>
              <w:rPr>
                <w:rFonts w:hint="eastAsia" w:ascii="Times New Roman" w:hAnsi="Times New Roman" w:eastAsia="宋体" w:cs="Times New Roman"/>
                <w:b/>
                <w:color w:val="auto"/>
                <w:kern w:val="0"/>
                <w:sz w:val="24"/>
                <w:szCs w:val="20"/>
                <w:lang w:val="en-US" w:eastAsia="zh-CN" w:bidi="ar-SA"/>
              </w:rPr>
              <w:t>固定污染源排污许可分类管理名录（摘录）</w:t>
            </w:r>
          </w:p>
          <w:tbl>
            <w:tblPr>
              <w:tblStyle w:val="20"/>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583"/>
              <w:gridCol w:w="3330"/>
              <w:gridCol w:w="1016"/>
              <w:gridCol w:w="2297"/>
              <w:gridCol w:w="944"/>
            </w:tblGrid>
            <w:tr w14:paraId="22DBF7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7" w:type="pct"/>
                  <w:tcBorders>
                    <w:tl2br w:val="nil"/>
                    <w:tr2bl w:val="nil"/>
                  </w:tcBorders>
                  <w:shd w:val="clear" w:color="auto" w:fill="auto"/>
                  <w:noWrap w:val="0"/>
                  <w:vAlign w:val="center"/>
                </w:tcPr>
                <w:p w14:paraId="20538C5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序号</w:t>
                  </w:r>
                </w:p>
              </w:tc>
              <w:tc>
                <w:tcPr>
                  <w:tcW w:w="2038" w:type="pct"/>
                  <w:tcBorders>
                    <w:tl2br w:val="nil"/>
                    <w:tr2bl w:val="nil"/>
                  </w:tcBorders>
                  <w:shd w:val="clear" w:color="auto" w:fill="auto"/>
                  <w:noWrap w:val="0"/>
                  <w:vAlign w:val="center"/>
                </w:tcPr>
                <w:p w14:paraId="4FED4F4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行业类别</w:t>
                  </w:r>
                </w:p>
              </w:tc>
              <w:tc>
                <w:tcPr>
                  <w:tcW w:w="622" w:type="pct"/>
                  <w:tcBorders>
                    <w:tl2br w:val="nil"/>
                    <w:tr2bl w:val="nil"/>
                  </w:tcBorders>
                  <w:shd w:val="clear" w:color="auto" w:fill="auto"/>
                  <w:noWrap w:val="0"/>
                  <w:vAlign w:val="center"/>
                </w:tcPr>
                <w:p w14:paraId="5BA7984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重点管理</w:t>
                  </w:r>
                </w:p>
              </w:tc>
              <w:tc>
                <w:tcPr>
                  <w:tcW w:w="1406" w:type="pct"/>
                  <w:tcBorders>
                    <w:tl2br w:val="nil"/>
                    <w:tr2bl w:val="nil"/>
                  </w:tcBorders>
                  <w:shd w:val="clear" w:color="auto" w:fill="auto"/>
                  <w:noWrap w:val="0"/>
                  <w:vAlign w:val="center"/>
                </w:tcPr>
                <w:p w14:paraId="360933C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简化管理</w:t>
                  </w:r>
                </w:p>
              </w:tc>
              <w:tc>
                <w:tcPr>
                  <w:tcW w:w="574" w:type="pct"/>
                  <w:tcBorders>
                    <w:tl2br w:val="nil"/>
                    <w:tr2bl w:val="nil"/>
                  </w:tcBorders>
                  <w:shd w:val="clear" w:color="D7D7D7" w:fill="A4A4A4"/>
                  <w:noWrap w:val="0"/>
                  <w:vAlign w:val="center"/>
                </w:tcPr>
                <w:p w14:paraId="412C760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登记管理</w:t>
                  </w:r>
                </w:p>
              </w:tc>
            </w:tr>
            <w:tr w14:paraId="4B3D9A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000" w:type="pct"/>
                  <w:gridSpan w:val="5"/>
                  <w:tcBorders>
                    <w:tl2br w:val="nil"/>
                    <w:tr2bl w:val="nil"/>
                  </w:tcBorders>
                  <w:shd w:val="clear" w:color="D7D7D7" w:fill="A4A4A4"/>
                  <w:noWrap w:val="0"/>
                  <w:vAlign w:val="center"/>
                </w:tcPr>
                <w:p w14:paraId="3C2FB07C">
                  <w:pPr>
                    <w:widowControl w:val="0"/>
                    <w:bidi w:val="0"/>
                    <w:adjustRightInd w:val="0"/>
                    <w:snapToGrid w:val="0"/>
                    <w:spacing w:before="10" w:beforeLines="10" w:after="10" w:afterLines="10" w:line="240" w:lineRule="auto"/>
                    <w:jc w:val="left"/>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三十五、仪器仪表制造业40</w:t>
                  </w:r>
                </w:p>
              </w:tc>
            </w:tr>
            <w:tr w14:paraId="6F71DF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7" w:type="pct"/>
                  <w:tcBorders>
                    <w:tl2br w:val="nil"/>
                    <w:tr2bl w:val="nil"/>
                  </w:tcBorders>
                  <w:shd w:val="clear" w:color="auto" w:fill="auto"/>
                  <w:noWrap w:val="0"/>
                  <w:vAlign w:val="center"/>
                </w:tcPr>
                <w:p w14:paraId="4D2541C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91</w:t>
                  </w:r>
                </w:p>
              </w:tc>
              <w:tc>
                <w:tcPr>
                  <w:tcW w:w="2038" w:type="pct"/>
                  <w:tcBorders>
                    <w:tl2br w:val="nil"/>
                    <w:tr2bl w:val="nil"/>
                  </w:tcBorders>
                  <w:shd w:val="clear" w:color="auto" w:fill="auto"/>
                  <w:noWrap w:val="0"/>
                  <w:vAlign w:val="center"/>
                </w:tcPr>
                <w:p w14:paraId="51244A1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通用仪器仪表制造401，专用仪器仪表制造402，钟表与计时仪器制造403，光学仪器制造404，衡器制造405，其他仪器仪表制造业409</w:t>
                  </w:r>
                </w:p>
              </w:tc>
              <w:tc>
                <w:tcPr>
                  <w:tcW w:w="622" w:type="pct"/>
                  <w:tcBorders>
                    <w:tl2br w:val="nil"/>
                    <w:tr2bl w:val="nil"/>
                  </w:tcBorders>
                  <w:shd w:val="clear" w:color="auto" w:fill="auto"/>
                  <w:noWrap w:val="0"/>
                  <w:vAlign w:val="center"/>
                </w:tcPr>
                <w:p w14:paraId="1D85329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涉及通用工序重点管理的</w:t>
                  </w:r>
                </w:p>
              </w:tc>
              <w:tc>
                <w:tcPr>
                  <w:tcW w:w="1406" w:type="pct"/>
                  <w:tcBorders>
                    <w:tl2br w:val="nil"/>
                    <w:tr2bl w:val="nil"/>
                  </w:tcBorders>
                  <w:shd w:val="clear" w:color="auto" w:fill="auto"/>
                  <w:noWrap w:val="0"/>
                  <w:vAlign w:val="center"/>
                </w:tcPr>
                <w:p w14:paraId="5C02644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涉及通用工序</w:t>
                  </w:r>
                  <w:r>
                    <w:rPr>
                      <w:rFonts w:hint="eastAsia" w:ascii="Times New Roman" w:hAnsi="Times New Roman" w:eastAsia="宋体" w:cs="Times New Roman"/>
                      <w:color w:val="auto"/>
                      <w:kern w:val="0"/>
                      <w:sz w:val="21"/>
                      <w:szCs w:val="20"/>
                      <w:lang w:val="en-US" w:eastAsia="zh-CN" w:bidi="ar-SA"/>
                    </w:rPr>
                    <w:t>简化</w:t>
                  </w:r>
                  <w:r>
                    <w:rPr>
                      <w:rFonts w:hint="default" w:ascii="Times New Roman" w:hAnsi="Times New Roman" w:eastAsia="宋体" w:cs="Times New Roman"/>
                      <w:color w:val="auto"/>
                      <w:kern w:val="0"/>
                      <w:sz w:val="21"/>
                      <w:szCs w:val="20"/>
                      <w:lang w:val="en-US" w:eastAsia="zh-CN" w:bidi="ar-SA"/>
                    </w:rPr>
                    <w:t>管理的</w:t>
                  </w:r>
                </w:p>
              </w:tc>
              <w:tc>
                <w:tcPr>
                  <w:tcW w:w="574" w:type="pct"/>
                  <w:tcBorders>
                    <w:tl2br w:val="nil"/>
                    <w:tr2bl w:val="nil"/>
                  </w:tcBorders>
                  <w:shd w:val="clear" w:color="D7D7D7" w:fill="A4A4A4"/>
                  <w:noWrap w:val="0"/>
                  <w:vAlign w:val="center"/>
                </w:tcPr>
                <w:p w14:paraId="7B82CE6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其他</w:t>
                  </w:r>
                </w:p>
              </w:tc>
            </w:tr>
            <w:tr w14:paraId="6F17E5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5000" w:type="pct"/>
                  <w:gridSpan w:val="5"/>
                  <w:tcBorders>
                    <w:tl2br w:val="nil"/>
                    <w:tr2bl w:val="nil"/>
                  </w:tcBorders>
                  <w:shd w:val="clear" w:color="auto" w:fill="A4A4A4"/>
                  <w:noWrap w:val="0"/>
                  <w:vAlign w:val="center"/>
                </w:tcPr>
                <w:p w14:paraId="24F5445F">
                  <w:pPr>
                    <w:widowControl w:val="0"/>
                    <w:bidi w:val="0"/>
                    <w:adjustRightInd w:val="0"/>
                    <w:snapToGrid w:val="0"/>
                    <w:spacing w:before="10" w:beforeLines="10" w:after="10" w:afterLines="10" w:line="240" w:lineRule="auto"/>
                    <w:jc w:val="left"/>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五十一、通用工序</w:t>
                  </w:r>
                </w:p>
              </w:tc>
            </w:tr>
            <w:tr w14:paraId="7117B6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357" w:type="pct"/>
                  <w:tcBorders>
                    <w:tl2br w:val="nil"/>
                    <w:tr2bl w:val="nil"/>
                  </w:tcBorders>
                  <w:shd w:val="clear" w:color="auto" w:fill="auto"/>
                  <w:noWrap w:val="0"/>
                  <w:vAlign w:val="center"/>
                </w:tcPr>
                <w:p w14:paraId="2AD70E7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111</w:t>
                  </w:r>
                </w:p>
              </w:tc>
              <w:tc>
                <w:tcPr>
                  <w:tcW w:w="2038" w:type="pct"/>
                  <w:tcBorders>
                    <w:tl2br w:val="nil"/>
                    <w:tr2bl w:val="nil"/>
                  </w:tcBorders>
                  <w:shd w:val="clear" w:color="auto" w:fill="auto"/>
                  <w:noWrap w:val="0"/>
                  <w:vAlign w:val="center"/>
                </w:tcPr>
                <w:p w14:paraId="7CE6281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表面处理</w:t>
                  </w:r>
                </w:p>
              </w:tc>
              <w:tc>
                <w:tcPr>
                  <w:tcW w:w="622" w:type="pct"/>
                  <w:tcBorders>
                    <w:tl2br w:val="nil"/>
                    <w:tr2bl w:val="nil"/>
                  </w:tcBorders>
                  <w:shd w:val="clear" w:color="auto" w:fill="auto"/>
                  <w:noWrap w:val="0"/>
                  <w:vAlign w:val="center"/>
                </w:tcPr>
                <w:p w14:paraId="1EC1811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纳入重点排污单位名录的</w:t>
                  </w:r>
                </w:p>
              </w:tc>
              <w:tc>
                <w:tcPr>
                  <w:tcW w:w="1406" w:type="pct"/>
                  <w:tcBorders>
                    <w:tl2br w:val="nil"/>
                    <w:tr2bl w:val="nil"/>
                  </w:tcBorders>
                  <w:shd w:val="clear" w:color="auto" w:fill="auto"/>
                  <w:noWrap w:val="0"/>
                  <w:vAlign w:val="center"/>
                </w:tcPr>
                <w:p w14:paraId="006FB69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除纳入重点排污单位名录的，有电镀工序、酸洗、抛光（电解抛光和</w:t>
                  </w:r>
                  <w:r>
                    <w:rPr>
                      <w:rFonts w:hint="eastAsia" w:cs="Times New Roman"/>
                      <w:color w:val="auto"/>
                      <w:kern w:val="0"/>
                      <w:sz w:val="21"/>
                      <w:szCs w:val="20"/>
                      <w:lang w:val="en-US" w:eastAsia="zh-CN" w:bidi="ar-SA"/>
                    </w:rPr>
                    <w:t>化学拋光</w:t>
                  </w:r>
                  <w:r>
                    <w:rPr>
                      <w:rFonts w:hint="default" w:ascii="Times New Roman" w:hAnsi="Times New Roman" w:eastAsia="宋体" w:cs="Times New Roman"/>
                      <w:color w:val="auto"/>
                      <w:kern w:val="0"/>
                      <w:sz w:val="21"/>
                      <w:szCs w:val="20"/>
                      <w:lang w:val="en-US" w:eastAsia="zh-CN" w:bidi="ar-SA"/>
                    </w:rPr>
                    <w:t>）、热浸镀（溶剂法）、淬火或者钝化等工序的、年使用10吨及以上有机溶剂的</w:t>
                  </w:r>
                </w:p>
              </w:tc>
              <w:tc>
                <w:tcPr>
                  <w:tcW w:w="574" w:type="pct"/>
                  <w:tcBorders>
                    <w:tl2br w:val="nil"/>
                    <w:tr2bl w:val="nil"/>
                  </w:tcBorders>
                  <w:shd w:val="clear" w:color="D7D7D7" w:fill="A4A4A4"/>
                  <w:noWrap w:val="0"/>
                  <w:vAlign w:val="center"/>
                </w:tcPr>
                <w:p w14:paraId="23C8852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其他</w:t>
                  </w:r>
                </w:p>
              </w:tc>
            </w:tr>
          </w:tbl>
          <w:p w14:paraId="1B41EACF">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r>
              <w:rPr>
                <w:rFonts w:hint="eastAsia" w:ascii="Times New Roman" w:hAnsi="Times New Roman" w:eastAsia="宋体" w:cs="Times New Roman"/>
                <w:b/>
                <w:color w:val="auto"/>
                <w:kern w:val="2"/>
                <w:sz w:val="28"/>
                <w:szCs w:val="24"/>
                <w:lang w:val="en-US" w:eastAsia="zh-CN" w:bidi="ar-SA"/>
              </w:rPr>
              <w:t>4.2运营期大气环境影响分析和污染防控措施</w:t>
            </w:r>
            <w:bookmarkEnd w:id="80"/>
            <w:bookmarkEnd w:id="81"/>
          </w:p>
          <w:p w14:paraId="5F13E574">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82" w:name="_Toc19271"/>
            <w:r>
              <w:rPr>
                <w:rFonts w:hint="eastAsia" w:ascii="Times New Roman" w:hAnsi="Times New Roman" w:eastAsia="宋体" w:cs="Times New Roman"/>
                <w:b/>
                <w:color w:val="auto"/>
                <w:kern w:val="2"/>
                <w:sz w:val="24"/>
                <w:szCs w:val="24"/>
                <w:lang w:val="en-US" w:eastAsia="zh-CN" w:bidi="ar-SA"/>
              </w:rPr>
              <w:t>4.2.1运营期废气源强核算</w:t>
            </w:r>
            <w:bookmarkEnd w:id="82"/>
          </w:p>
          <w:p w14:paraId="307E38A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项目产生的废气包括磨边废气、擦拭废气、超洗废气</w:t>
            </w:r>
            <w:r>
              <w:rPr>
                <w:rFonts w:hint="eastAsia" w:cs="宋体"/>
                <w:color w:val="auto"/>
                <w:kern w:val="2"/>
                <w:sz w:val="24"/>
                <w:szCs w:val="24"/>
                <w:lang w:val="en-US" w:eastAsia="zh-CN" w:bidi="ar-SA"/>
              </w:rPr>
              <w:t>、铣磨磨边抛光投料废气</w:t>
            </w:r>
            <w:r>
              <w:rPr>
                <w:rFonts w:hint="eastAsia" w:ascii="Times New Roman" w:hAnsi="Times New Roman" w:eastAsia="宋体" w:cs="宋体"/>
                <w:color w:val="auto"/>
                <w:kern w:val="2"/>
                <w:sz w:val="24"/>
                <w:szCs w:val="24"/>
                <w:lang w:val="en-US" w:eastAsia="zh-CN" w:bidi="ar-SA"/>
              </w:rPr>
              <w:t>。</w:t>
            </w:r>
          </w:p>
          <w:p w14:paraId="5AE9C075">
            <w:pPr>
              <w:widowControl w:val="0"/>
              <w:bidi w:val="0"/>
              <w:spacing w:line="360" w:lineRule="auto"/>
              <w:ind w:firstLine="480" w:firstLineChars="200"/>
              <w:jc w:val="both"/>
              <w:rPr>
                <w:color w:val="auto"/>
                <w:spacing w:val="7"/>
                <w:sz w:val="24"/>
                <w:szCs w:val="24"/>
              </w:rPr>
            </w:pPr>
            <w:r>
              <w:rPr>
                <w:rFonts w:hint="eastAsia" w:cs="宋体"/>
                <w:color w:val="auto"/>
                <w:kern w:val="2"/>
                <w:sz w:val="24"/>
                <w:szCs w:val="24"/>
                <w:lang w:val="en-US" w:eastAsia="zh-CN" w:bidi="ar-SA"/>
              </w:rPr>
              <w:t>（1）铣磨磨边抛光投料废气</w:t>
            </w:r>
          </w:p>
          <w:p w14:paraId="79B25C90">
            <w:pPr>
              <w:widowControl w:val="0"/>
              <w:bidi w:val="0"/>
              <w:spacing w:line="360" w:lineRule="auto"/>
              <w:ind w:firstLine="508" w:firstLineChars="200"/>
              <w:jc w:val="both"/>
              <w:rPr>
                <w:color w:val="auto"/>
                <w:sz w:val="24"/>
                <w:szCs w:val="24"/>
              </w:rPr>
            </w:pPr>
            <w:r>
              <w:rPr>
                <w:rFonts w:hint="eastAsia"/>
                <w:color w:val="auto"/>
                <w:spacing w:val="7"/>
                <w:sz w:val="24"/>
                <w:szCs w:val="24"/>
                <w:lang w:val="en-US" w:eastAsia="zh-CN"/>
              </w:rPr>
              <w:t>铣磨磨边抛光工程中涉及需要加入金刚砂、钻石粉、抛光粉</w:t>
            </w:r>
            <w:r>
              <w:rPr>
                <w:color w:val="auto"/>
                <w:spacing w:val="7"/>
                <w:sz w:val="24"/>
                <w:szCs w:val="24"/>
              </w:rPr>
              <w:t>，为人工投</w:t>
            </w:r>
            <w:r>
              <w:rPr>
                <w:color w:val="auto"/>
                <w:spacing w:val="6"/>
                <w:sz w:val="24"/>
                <w:szCs w:val="24"/>
              </w:rPr>
              <w:t>料，</w:t>
            </w:r>
            <w:r>
              <w:rPr>
                <w:rFonts w:hint="eastAsia"/>
                <w:color w:val="auto"/>
                <w:spacing w:val="6"/>
                <w:sz w:val="24"/>
                <w:szCs w:val="24"/>
                <w:lang w:val="en-US" w:eastAsia="zh-CN"/>
              </w:rPr>
              <w:t>金刚砂</w:t>
            </w:r>
            <w:r>
              <w:rPr>
                <w:color w:val="auto"/>
                <w:spacing w:val="6"/>
                <w:sz w:val="24"/>
                <w:szCs w:val="24"/>
              </w:rPr>
              <w:t>用量为</w:t>
            </w:r>
            <w:r>
              <w:rPr>
                <w:rFonts w:ascii="Times New Roman" w:hAnsi="Times New Roman" w:eastAsia="Times New Roman" w:cs="Times New Roman"/>
                <w:color w:val="auto"/>
                <w:spacing w:val="-5"/>
                <w:sz w:val="24"/>
                <w:szCs w:val="24"/>
              </w:rPr>
              <w:t>0</w:t>
            </w:r>
            <w:r>
              <w:rPr>
                <w:rFonts w:hint="eastAsia" w:eastAsia="宋体" w:cs="Times New Roman"/>
                <w:color w:val="auto"/>
                <w:spacing w:val="-5"/>
                <w:sz w:val="24"/>
                <w:szCs w:val="24"/>
                <w:lang w:val="en-US" w:eastAsia="zh-CN"/>
              </w:rPr>
              <w:t>.6</w:t>
            </w:r>
            <w:r>
              <w:rPr>
                <w:rFonts w:ascii="Times New Roman" w:hAnsi="Times New Roman" w:eastAsia="Times New Roman" w:cs="Times New Roman"/>
                <w:color w:val="auto"/>
                <w:spacing w:val="-5"/>
                <w:sz w:val="24"/>
                <w:szCs w:val="24"/>
              </w:rPr>
              <w:t>t/a</w:t>
            </w:r>
            <w:r>
              <w:rPr>
                <w:color w:val="auto"/>
                <w:spacing w:val="-5"/>
                <w:sz w:val="24"/>
                <w:szCs w:val="24"/>
              </w:rPr>
              <w:t>，</w:t>
            </w:r>
            <w:r>
              <w:rPr>
                <w:rFonts w:hint="eastAsia"/>
                <w:color w:val="auto"/>
                <w:spacing w:val="-5"/>
                <w:sz w:val="24"/>
                <w:szCs w:val="24"/>
                <w:lang w:val="en-US" w:eastAsia="zh-CN"/>
              </w:rPr>
              <w:t>抛光粉</w:t>
            </w:r>
            <w:r>
              <w:rPr>
                <w:color w:val="auto"/>
                <w:spacing w:val="-5"/>
                <w:sz w:val="24"/>
                <w:szCs w:val="24"/>
              </w:rPr>
              <w:t>用量为</w:t>
            </w:r>
            <w:r>
              <w:rPr>
                <w:rFonts w:ascii="Times New Roman" w:hAnsi="Times New Roman" w:eastAsia="Times New Roman" w:cs="Times New Roman"/>
                <w:color w:val="auto"/>
                <w:spacing w:val="-5"/>
                <w:sz w:val="24"/>
                <w:szCs w:val="24"/>
              </w:rPr>
              <w:t>0.</w:t>
            </w:r>
            <w:r>
              <w:rPr>
                <w:rFonts w:hint="eastAsia" w:eastAsia="宋体" w:cs="Times New Roman"/>
                <w:color w:val="auto"/>
                <w:spacing w:val="-5"/>
                <w:sz w:val="24"/>
                <w:szCs w:val="24"/>
                <w:lang w:val="en-US" w:eastAsia="zh-CN"/>
              </w:rPr>
              <w:t>9</w:t>
            </w:r>
            <w:r>
              <w:rPr>
                <w:rFonts w:ascii="Times New Roman" w:hAnsi="Times New Roman" w:eastAsia="Times New Roman" w:cs="Times New Roman"/>
                <w:color w:val="auto"/>
                <w:spacing w:val="-5"/>
                <w:sz w:val="24"/>
                <w:szCs w:val="24"/>
              </w:rPr>
              <w:t>6t/a</w:t>
            </w:r>
            <w:r>
              <w:rPr>
                <w:color w:val="auto"/>
                <w:spacing w:val="-6"/>
                <w:sz w:val="24"/>
                <w:szCs w:val="24"/>
              </w:rPr>
              <w:t>，</w:t>
            </w:r>
            <w:r>
              <w:rPr>
                <w:rFonts w:hint="eastAsia"/>
                <w:color w:val="auto"/>
                <w:spacing w:val="-6"/>
                <w:sz w:val="24"/>
                <w:szCs w:val="24"/>
                <w:lang w:val="en-US" w:eastAsia="zh-CN"/>
              </w:rPr>
              <w:t>钻石粉用量为</w:t>
            </w:r>
            <w:r>
              <w:rPr>
                <w:rFonts w:hint="eastAsia" w:ascii="Times New Roman" w:hAnsi="Times New Roman" w:eastAsia="Times New Roman" w:cs="Times New Roman"/>
                <w:color w:val="auto"/>
                <w:spacing w:val="-5"/>
                <w:sz w:val="24"/>
                <w:szCs w:val="24"/>
                <w:lang w:val="en-US" w:eastAsia="zh-CN"/>
              </w:rPr>
              <w:t>360克拉/a（</w:t>
            </w:r>
            <w:r>
              <w:rPr>
                <w:rFonts w:ascii="Times New Roman" w:hAnsi="Times New Roman" w:eastAsia="Times New Roman" w:cs="Times New Roman"/>
                <w:color w:val="auto"/>
                <w:spacing w:val="-5"/>
                <w:sz w:val="24"/>
                <w:szCs w:val="24"/>
              </w:rPr>
              <w:t>0.000072</w:t>
            </w:r>
            <w:r>
              <w:rPr>
                <w:rFonts w:hint="eastAsia" w:ascii="Times New Roman" w:hAnsi="Times New Roman" w:eastAsia="Times New Roman" w:cs="Times New Roman"/>
                <w:color w:val="auto"/>
                <w:spacing w:val="-5"/>
                <w:sz w:val="24"/>
                <w:szCs w:val="24"/>
                <w:lang w:val="en-US" w:eastAsia="zh-CN"/>
              </w:rPr>
              <w:t>t/a）</w:t>
            </w:r>
            <w:r>
              <w:rPr>
                <w:color w:val="auto"/>
                <w:spacing w:val="-6"/>
                <w:sz w:val="24"/>
                <w:szCs w:val="24"/>
              </w:rPr>
              <w:t>由于《排放源统计调查产排污核算方法和系数手册》</w:t>
            </w:r>
            <w:r>
              <w:rPr>
                <w:color w:val="auto"/>
                <w:spacing w:val="-4"/>
                <w:sz w:val="24"/>
                <w:szCs w:val="24"/>
              </w:rPr>
              <w:t>“</w:t>
            </w:r>
            <w:r>
              <w:rPr>
                <w:rFonts w:ascii="Times New Roman" w:hAnsi="Times New Roman" w:eastAsia="Times New Roman" w:cs="Times New Roman"/>
                <w:color w:val="auto"/>
                <w:spacing w:val="-4"/>
                <w:sz w:val="24"/>
                <w:szCs w:val="24"/>
              </w:rPr>
              <w:t>3052</w:t>
            </w:r>
            <w:r>
              <w:rPr>
                <w:color w:val="auto"/>
                <w:spacing w:val="-4"/>
                <w:sz w:val="24"/>
                <w:szCs w:val="24"/>
              </w:rPr>
              <w:t>光学玻璃制造行业”中没有相关工序产污系数，按照经验系数取值</w:t>
            </w:r>
            <w:r>
              <w:rPr>
                <w:rFonts w:ascii="Times New Roman" w:hAnsi="Times New Roman" w:eastAsia="Times New Roman" w:cs="Times New Roman"/>
                <w:color w:val="auto"/>
                <w:spacing w:val="-4"/>
                <w:sz w:val="24"/>
                <w:szCs w:val="24"/>
              </w:rPr>
              <w:t>0.1kg/t</w:t>
            </w:r>
            <w:r>
              <w:rPr>
                <w:color w:val="auto"/>
                <w:spacing w:val="-3"/>
                <w:sz w:val="24"/>
                <w:szCs w:val="24"/>
              </w:rPr>
              <w:t>原料计算，则投料过程颗粒物产生量四舍五入后为</w:t>
            </w:r>
            <w:r>
              <w:rPr>
                <w:rFonts w:ascii="Times New Roman" w:hAnsi="Times New Roman" w:eastAsia="Times New Roman" w:cs="Times New Roman"/>
                <w:color w:val="auto"/>
                <w:spacing w:val="-3"/>
                <w:sz w:val="24"/>
                <w:szCs w:val="24"/>
              </w:rPr>
              <w:t>0.1</w:t>
            </w:r>
            <w:r>
              <w:rPr>
                <w:rFonts w:hint="eastAsia" w:eastAsia="宋体" w:cs="Times New Roman"/>
                <w:color w:val="auto"/>
                <w:spacing w:val="-3"/>
                <w:sz w:val="24"/>
                <w:szCs w:val="24"/>
                <w:lang w:val="en-US" w:eastAsia="zh-CN"/>
              </w:rPr>
              <w:t>56</w:t>
            </w:r>
            <w:r>
              <w:rPr>
                <w:rFonts w:ascii="Times New Roman" w:hAnsi="Times New Roman" w:eastAsia="Times New Roman" w:cs="Times New Roman"/>
                <w:color w:val="auto"/>
                <w:spacing w:val="-3"/>
                <w:sz w:val="24"/>
                <w:szCs w:val="24"/>
              </w:rPr>
              <w:t>kg/a</w:t>
            </w:r>
            <w:r>
              <w:rPr>
                <w:color w:val="auto"/>
                <w:spacing w:val="-3"/>
                <w:sz w:val="24"/>
                <w:szCs w:val="24"/>
              </w:rPr>
              <w:t>，其产生量很小，密度</w:t>
            </w:r>
            <w:r>
              <w:rPr>
                <w:color w:val="auto"/>
                <w:sz w:val="24"/>
                <w:szCs w:val="24"/>
              </w:rPr>
              <w:t>较大，且投料过程在室内，环境空气稳定流速慢，</w:t>
            </w:r>
            <w:r>
              <w:rPr>
                <w:color w:val="auto"/>
                <w:spacing w:val="-1"/>
                <w:sz w:val="24"/>
                <w:szCs w:val="24"/>
              </w:rPr>
              <w:t>大多数直接落入</w:t>
            </w:r>
            <w:r>
              <w:rPr>
                <w:rFonts w:hint="eastAsia"/>
                <w:color w:val="auto"/>
                <w:spacing w:val="-1"/>
                <w:sz w:val="24"/>
                <w:szCs w:val="24"/>
                <w:lang w:val="en-US" w:eastAsia="zh-CN"/>
              </w:rPr>
              <w:t>车间</w:t>
            </w:r>
            <w:r>
              <w:rPr>
                <w:color w:val="auto"/>
                <w:spacing w:val="-1"/>
                <w:sz w:val="24"/>
                <w:szCs w:val="24"/>
              </w:rPr>
              <w:t>，因此</w:t>
            </w:r>
            <w:r>
              <w:rPr>
                <w:rFonts w:hint="eastAsia"/>
                <w:color w:val="auto"/>
                <w:spacing w:val="-1"/>
                <w:sz w:val="24"/>
                <w:szCs w:val="24"/>
                <w:lang w:val="en-US" w:eastAsia="zh-CN"/>
              </w:rPr>
              <w:t>采用车间/厂房密闭</w:t>
            </w:r>
            <w:r>
              <w:rPr>
                <w:color w:val="auto"/>
                <w:spacing w:val="-1"/>
                <w:sz w:val="24"/>
                <w:szCs w:val="24"/>
              </w:rPr>
              <w:t>，少量无组织排放。</w:t>
            </w:r>
          </w:p>
          <w:p w14:paraId="44C81657">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hint="eastAsia" w:cs="宋体"/>
                <w:color w:val="auto"/>
                <w:kern w:val="2"/>
                <w:sz w:val="24"/>
                <w:szCs w:val="24"/>
                <w:lang w:val="en-US" w:eastAsia="zh-CN" w:bidi="ar-SA"/>
              </w:rPr>
              <w:t>2</w:t>
            </w:r>
            <w:r>
              <w:rPr>
                <w:rFonts w:hint="eastAsia" w:ascii="Times New Roman" w:hAnsi="Times New Roman" w:eastAsia="宋体" w:cs="宋体"/>
                <w:color w:val="auto"/>
                <w:kern w:val="2"/>
                <w:sz w:val="24"/>
                <w:szCs w:val="24"/>
                <w:lang w:val="en-US" w:eastAsia="zh-CN" w:bidi="ar-SA"/>
              </w:rPr>
              <w:t>）磨边废气</w:t>
            </w:r>
          </w:p>
          <w:p w14:paraId="5FED25F9">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生产过程中使用磨削液进行降温、润滑，由于采用湿法加工，因此该工序过程中产生的颗粒物进入切削液中，因此湿法加工过程不考虑颗粒物废气。切削液受热产生少量的有机废气（以非甲烷总烃计），本项目磨边工序过程处于湿式加工，故不产生废气颗粒物。磨削液使用量为</w:t>
            </w:r>
            <w:r>
              <w:rPr>
                <w:rFonts w:hint="eastAsia" w:cs="宋体"/>
                <w:color w:val="auto"/>
                <w:kern w:val="2"/>
                <w:sz w:val="24"/>
                <w:szCs w:val="24"/>
                <w:lang w:val="en-US" w:eastAsia="zh-CN" w:bidi="ar-SA"/>
              </w:rPr>
              <w:t>1.2</w:t>
            </w:r>
            <w:r>
              <w:rPr>
                <w:rFonts w:hint="eastAsia" w:ascii="Times New Roman" w:hAnsi="Times New Roman" w:eastAsia="宋体" w:cs="宋体"/>
                <w:color w:val="auto"/>
                <w:kern w:val="2"/>
                <w:sz w:val="24"/>
                <w:szCs w:val="24"/>
                <w:lang w:val="en-US" w:eastAsia="zh-CN" w:bidi="ar-SA"/>
              </w:rPr>
              <w:t>t/a，参考《排放源统计产排污核算方法和系数手册》</w:t>
            </w:r>
            <w:r>
              <w:rPr>
                <w:rFonts w:hint="eastAsia" w:cs="宋体"/>
                <w:color w:val="auto"/>
                <w:kern w:val="2"/>
                <w:sz w:val="24"/>
                <w:szCs w:val="24"/>
                <w:lang w:val="en-US" w:eastAsia="zh-CN" w:bidi="ar-SA"/>
              </w:rPr>
              <w:t>机械加工行业</w:t>
            </w:r>
            <w:r>
              <w:rPr>
                <w:rFonts w:hint="eastAsia" w:ascii="Times New Roman" w:hAnsi="Times New Roman" w:eastAsia="宋体" w:cs="宋体"/>
                <w:color w:val="auto"/>
                <w:kern w:val="2"/>
                <w:sz w:val="24"/>
                <w:szCs w:val="24"/>
                <w:lang w:val="en-US" w:eastAsia="zh-CN" w:bidi="ar-SA"/>
              </w:rPr>
              <w:t>，原料为磨削液，VOCs产污系数为5.64千克/吨</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原料，磨削液使用量为</w:t>
            </w:r>
            <w:r>
              <w:rPr>
                <w:rFonts w:hint="eastAsia" w:cs="宋体"/>
                <w:color w:val="auto"/>
                <w:kern w:val="2"/>
                <w:sz w:val="24"/>
                <w:szCs w:val="24"/>
                <w:lang w:val="en-US" w:eastAsia="zh-CN" w:bidi="ar-SA"/>
              </w:rPr>
              <w:t>1.2</w:t>
            </w:r>
            <w:r>
              <w:rPr>
                <w:rFonts w:hint="eastAsia" w:ascii="Times New Roman" w:hAnsi="Times New Roman" w:eastAsia="宋体" w:cs="宋体"/>
                <w:color w:val="auto"/>
                <w:kern w:val="2"/>
                <w:sz w:val="24"/>
                <w:szCs w:val="24"/>
                <w:lang w:val="en-US" w:eastAsia="zh-CN" w:bidi="ar-SA"/>
              </w:rPr>
              <w:t>t/a，则项目有机废气（以非甲烷总烃计）产生量约为0.0034t/a。则磨边废气</w:t>
            </w:r>
            <w:r>
              <w:rPr>
                <w:rFonts w:hint="eastAsia" w:cs="宋体"/>
                <w:color w:val="auto"/>
                <w:kern w:val="2"/>
                <w:sz w:val="24"/>
                <w:szCs w:val="24"/>
                <w:lang w:val="en-US" w:eastAsia="zh-CN" w:bidi="ar-SA"/>
              </w:rPr>
              <w:t>VOCs（以非甲烷总烃计）</w:t>
            </w:r>
            <w:r>
              <w:rPr>
                <w:rFonts w:hint="eastAsia" w:ascii="Times New Roman" w:hAnsi="Times New Roman" w:eastAsia="宋体" w:cs="宋体"/>
                <w:color w:val="auto"/>
                <w:kern w:val="2"/>
                <w:sz w:val="24"/>
                <w:szCs w:val="24"/>
                <w:lang w:val="en-US" w:eastAsia="zh-CN" w:bidi="ar-SA"/>
              </w:rPr>
              <w:t>产生量为0.0034t/a，产生速率为0.0014kg/h。用于磨边的设备将玻璃材料置于密闭空间内工作，并有密闭管道收集有机废气，收集的有机废气经过</w:t>
            </w:r>
            <w:r>
              <w:rPr>
                <w:rFonts w:hint="eastAsia" w:cs="宋体"/>
                <w:color w:val="auto"/>
                <w:kern w:val="2"/>
                <w:sz w:val="24"/>
                <w:szCs w:val="24"/>
                <w:lang w:val="en-US" w:eastAsia="zh-CN" w:bidi="ar-SA"/>
              </w:rPr>
              <w:t>二级</w:t>
            </w:r>
            <w:r>
              <w:rPr>
                <w:rFonts w:hint="eastAsia" w:ascii="Times New Roman" w:hAnsi="Times New Roman" w:eastAsia="宋体" w:cs="宋体"/>
                <w:color w:val="auto"/>
                <w:kern w:val="2"/>
                <w:sz w:val="24"/>
                <w:szCs w:val="24"/>
                <w:lang w:val="en-US" w:eastAsia="zh-CN" w:bidi="ar-SA"/>
              </w:rPr>
              <w:t>活性炭吸附装置处理达标后，由25m高的DA00</w:t>
            </w:r>
            <w:r>
              <w:rPr>
                <w:rFonts w:hint="eastAsia" w:cs="宋体"/>
                <w:color w:val="auto"/>
                <w:kern w:val="2"/>
                <w:sz w:val="24"/>
                <w:szCs w:val="24"/>
                <w:lang w:val="en-US" w:eastAsia="zh-CN" w:bidi="ar-SA"/>
              </w:rPr>
              <w:t>1</w:t>
            </w:r>
            <w:r>
              <w:rPr>
                <w:rFonts w:hint="eastAsia" w:ascii="Times New Roman" w:hAnsi="Times New Roman" w:eastAsia="宋体" w:cs="宋体"/>
                <w:color w:val="auto"/>
                <w:kern w:val="2"/>
                <w:sz w:val="24"/>
                <w:szCs w:val="24"/>
                <w:lang w:val="en-US" w:eastAsia="zh-CN" w:bidi="ar-SA"/>
              </w:rPr>
              <w:t>排气筒排放。有机废气收集效率取90%，</w:t>
            </w:r>
            <w:r>
              <w:rPr>
                <w:rFonts w:hint="eastAsia" w:cs="宋体"/>
                <w:color w:val="auto"/>
                <w:kern w:val="2"/>
                <w:sz w:val="24"/>
                <w:szCs w:val="24"/>
                <w:lang w:val="en-US" w:eastAsia="zh-CN" w:bidi="ar-SA"/>
              </w:rPr>
              <w:t>二级</w:t>
            </w:r>
            <w:r>
              <w:rPr>
                <w:rFonts w:hint="eastAsia" w:ascii="Times New Roman" w:hAnsi="Times New Roman" w:eastAsia="宋体" w:cs="宋体"/>
                <w:color w:val="auto"/>
                <w:kern w:val="2"/>
                <w:sz w:val="24"/>
                <w:szCs w:val="24"/>
                <w:lang w:val="en-US" w:eastAsia="zh-CN" w:bidi="ar-SA"/>
              </w:rPr>
              <w:t>活性炭吸附装置处理效率取</w:t>
            </w:r>
            <w:r>
              <w:rPr>
                <w:rFonts w:hint="eastAsia" w:cs="宋体"/>
                <w:color w:val="auto"/>
                <w:kern w:val="2"/>
                <w:sz w:val="24"/>
                <w:szCs w:val="24"/>
                <w:lang w:val="en-US" w:eastAsia="zh-CN" w:bidi="ar-SA"/>
              </w:rPr>
              <w:t>80</w:t>
            </w:r>
            <w:r>
              <w:rPr>
                <w:rFonts w:hint="eastAsia" w:ascii="Times New Roman" w:hAnsi="Times New Roman" w:eastAsia="宋体" w:cs="宋体"/>
                <w:color w:val="auto"/>
                <w:kern w:val="2"/>
                <w:sz w:val="24"/>
                <w:szCs w:val="24"/>
                <w:lang w:val="en-US" w:eastAsia="zh-CN" w:bidi="ar-SA"/>
              </w:rPr>
              <w:t>%。则磨边废气</w:t>
            </w:r>
            <w:r>
              <w:rPr>
                <w:rFonts w:hint="eastAsia" w:cs="宋体"/>
                <w:color w:val="auto"/>
                <w:kern w:val="2"/>
                <w:sz w:val="24"/>
                <w:szCs w:val="24"/>
                <w:lang w:val="en-US" w:eastAsia="zh-CN" w:bidi="ar-SA"/>
              </w:rPr>
              <w:t>VOCs（以非甲烷总烃计）</w:t>
            </w:r>
            <w:r>
              <w:rPr>
                <w:rFonts w:hint="eastAsia" w:ascii="Times New Roman" w:hAnsi="Times New Roman" w:eastAsia="宋体" w:cs="宋体"/>
                <w:color w:val="auto"/>
                <w:kern w:val="2"/>
                <w:sz w:val="24"/>
                <w:szCs w:val="24"/>
                <w:lang w:val="en-US" w:eastAsia="zh-CN" w:bidi="ar-SA"/>
              </w:rPr>
              <w:t>无组织排放量为0.0</w:t>
            </w:r>
            <w:r>
              <w:rPr>
                <w:rFonts w:hint="eastAsia" w:cs="宋体"/>
                <w:color w:val="auto"/>
                <w:kern w:val="2"/>
                <w:sz w:val="24"/>
                <w:szCs w:val="24"/>
                <w:lang w:val="en-US" w:eastAsia="zh-CN" w:bidi="ar-SA"/>
              </w:rPr>
              <w:t>007</w:t>
            </w:r>
            <w:r>
              <w:rPr>
                <w:rFonts w:hint="eastAsia" w:ascii="Times New Roman" w:hAnsi="Times New Roman" w:eastAsia="宋体" w:cs="宋体"/>
                <w:color w:val="auto"/>
                <w:kern w:val="2"/>
                <w:sz w:val="24"/>
                <w:szCs w:val="24"/>
                <w:lang w:val="en-US" w:eastAsia="zh-CN" w:bidi="ar-SA"/>
              </w:rPr>
              <w:t>t/a，排放速率为0.00</w:t>
            </w:r>
            <w:r>
              <w:rPr>
                <w:rFonts w:hint="eastAsia" w:cs="宋体"/>
                <w:color w:val="auto"/>
                <w:kern w:val="2"/>
                <w:sz w:val="24"/>
                <w:szCs w:val="24"/>
                <w:lang w:val="en-US" w:eastAsia="zh-CN" w:bidi="ar-SA"/>
              </w:rPr>
              <w:t>03</w:t>
            </w:r>
            <w:r>
              <w:rPr>
                <w:rFonts w:hint="eastAsia" w:ascii="Times New Roman" w:hAnsi="Times New Roman" w:eastAsia="宋体" w:cs="宋体"/>
                <w:color w:val="auto"/>
                <w:kern w:val="2"/>
                <w:sz w:val="24"/>
                <w:szCs w:val="24"/>
                <w:lang w:val="en-US" w:eastAsia="zh-CN" w:bidi="ar-SA"/>
              </w:rPr>
              <w:t>kg/h。则磨边废气</w:t>
            </w:r>
            <w:r>
              <w:rPr>
                <w:rFonts w:hint="eastAsia" w:cs="宋体"/>
                <w:color w:val="auto"/>
                <w:kern w:val="2"/>
                <w:sz w:val="24"/>
                <w:szCs w:val="24"/>
                <w:lang w:val="en-US" w:eastAsia="zh-CN" w:bidi="ar-SA"/>
              </w:rPr>
              <w:t>VOCs（以非甲烷总烃计）</w:t>
            </w:r>
            <w:r>
              <w:rPr>
                <w:rFonts w:hint="eastAsia" w:ascii="Times New Roman" w:hAnsi="Times New Roman" w:eastAsia="宋体" w:cs="宋体"/>
                <w:color w:val="auto"/>
                <w:kern w:val="2"/>
                <w:sz w:val="24"/>
                <w:szCs w:val="24"/>
                <w:lang w:val="en-US" w:eastAsia="zh-CN" w:bidi="ar-SA"/>
              </w:rPr>
              <w:t>有组织排放量为0.0</w:t>
            </w:r>
            <w:r>
              <w:rPr>
                <w:rFonts w:hint="eastAsia" w:cs="宋体"/>
                <w:color w:val="auto"/>
                <w:kern w:val="2"/>
                <w:sz w:val="24"/>
                <w:szCs w:val="24"/>
                <w:lang w:val="en-US" w:eastAsia="zh-CN" w:bidi="ar-SA"/>
              </w:rPr>
              <w:t>027</w:t>
            </w:r>
            <w:r>
              <w:rPr>
                <w:rFonts w:hint="eastAsia" w:ascii="Times New Roman" w:hAnsi="Times New Roman" w:eastAsia="宋体" w:cs="宋体"/>
                <w:color w:val="auto"/>
                <w:kern w:val="2"/>
                <w:sz w:val="24"/>
                <w:szCs w:val="24"/>
                <w:lang w:val="en-US" w:eastAsia="zh-CN" w:bidi="ar-SA"/>
              </w:rPr>
              <w:t>t/a，排放速率为0.00</w:t>
            </w:r>
            <w:r>
              <w:rPr>
                <w:rFonts w:hint="eastAsia" w:cs="宋体"/>
                <w:color w:val="auto"/>
                <w:kern w:val="2"/>
                <w:sz w:val="24"/>
                <w:szCs w:val="24"/>
                <w:lang w:val="en-US" w:eastAsia="zh-CN" w:bidi="ar-SA"/>
              </w:rPr>
              <w:t>05</w:t>
            </w:r>
            <w:r>
              <w:rPr>
                <w:rFonts w:hint="eastAsia" w:ascii="Times New Roman" w:hAnsi="Times New Roman" w:eastAsia="宋体" w:cs="宋体"/>
                <w:color w:val="auto"/>
                <w:kern w:val="2"/>
                <w:sz w:val="24"/>
                <w:szCs w:val="24"/>
                <w:lang w:val="en-US" w:eastAsia="zh-CN" w:bidi="ar-SA"/>
              </w:rPr>
              <w:t>kg/h，配备10000m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lang w:val="en-US" w:eastAsia="zh-CN" w:bidi="ar-SA"/>
              </w:rPr>
              <w:t>/h的风机，排放浓度为0.02mg/m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lang w:val="en-US" w:eastAsia="zh-CN" w:bidi="ar-SA"/>
              </w:rPr>
              <w:t>。</w:t>
            </w:r>
          </w:p>
          <w:p w14:paraId="48C83D53">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hint="eastAsia" w:cs="宋体"/>
                <w:color w:val="auto"/>
                <w:kern w:val="2"/>
                <w:sz w:val="24"/>
                <w:szCs w:val="24"/>
                <w:lang w:val="en-US" w:eastAsia="zh-CN" w:bidi="ar-SA"/>
              </w:rPr>
              <w:t>3</w:t>
            </w:r>
            <w:r>
              <w:rPr>
                <w:rFonts w:hint="eastAsia" w:ascii="Times New Roman" w:hAnsi="Times New Roman" w:eastAsia="宋体" w:cs="宋体"/>
                <w:color w:val="auto"/>
                <w:kern w:val="2"/>
                <w:sz w:val="24"/>
                <w:szCs w:val="24"/>
                <w:lang w:val="en-US" w:eastAsia="zh-CN" w:bidi="ar-SA"/>
              </w:rPr>
              <w:t>）擦拭废气</w:t>
            </w:r>
          </w:p>
          <w:p w14:paraId="6837AE81">
            <w:pPr>
              <w:widowControl w:val="0"/>
              <w:bidi w:val="0"/>
              <w:spacing w:line="360" w:lineRule="auto"/>
              <w:ind w:firstLine="480" w:firstLineChars="200"/>
              <w:jc w:val="both"/>
              <w:rPr>
                <w:rFonts w:hint="eastAsia" w:ascii="Times New Roman" w:hAnsi="Times New Roman" w:eastAsia="宋体" w:cs="宋体"/>
                <w:color w:val="auto"/>
                <w:kern w:val="2"/>
                <w:sz w:val="24"/>
                <w:szCs w:val="24"/>
                <w:vertAlign w:val="baseline"/>
                <w:lang w:val="en-US" w:eastAsia="zh-CN" w:bidi="ar-SA"/>
              </w:rPr>
            </w:pPr>
            <w:r>
              <w:rPr>
                <w:rFonts w:hint="eastAsia" w:ascii="Times New Roman" w:hAnsi="Times New Roman" w:eastAsia="宋体" w:cs="宋体"/>
                <w:color w:val="auto"/>
                <w:kern w:val="2"/>
                <w:sz w:val="24"/>
                <w:szCs w:val="24"/>
                <w:lang w:val="en-US" w:eastAsia="zh-CN" w:bidi="ar-SA"/>
              </w:rPr>
              <w:t>项目用于擦拭检测的有机溶剂包括0.36t/a乙醚、0.36t/a乙醇、0.36t/a丙酮，本次评价有机溶剂以100%挥发计，产生</w:t>
            </w:r>
            <w:r>
              <w:rPr>
                <w:rFonts w:hint="eastAsia" w:cs="宋体"/>
                <w:color w:val="auto"/>
                <w:kern w:val="2"/>
                <w:sz w:val="24"/>
                <w:szCs w:val="24"/>
                <w:lang w:val="en-US" w:eastAsia="zh-CN" w:bidi="ar-SA"/>
              </w:rPr>
              <w:t>VOCs、乙醇、乙醚、丙酮（以非甲烷总烃计）</w:t>
            </w:r>
            <w:r>
              <w:rPr>
                <w:rFonts w:hint="eastAsia" w:ascii="Times New Roman" w:hAnsi="Times New Roman" w:eastAsia="宋体" w:cs="宋体"/>
                <w:color w:val="auto"/>
                <w:kern w:val="2"/>
                <w:sz w:val="24"/>
                <w:szCs w:val="24"/>
                <w:lang w:val="en-US" w:eastAsia="zh-CN" w:bidi="ar-SA"/>
              </w:rPr>
              <w:t>，则项目有机废气（以非甲烷总烃计）产生量约为1.08t/a，产生速率为0.45kg/h。擦拭车间为密闭无尘负压车间，考虑到有职工人员进出时开关门，有机废气（以非甲烷总烃计）以无组织形式排放系数为10%，有组织废气收集效率为90%，则擦拭废气</w:t>
            </w:r>
            <w:r>
              <w:rPr>
                <w:rFonts w:hint="eastAsia" w:cs="宋体"/>
                <w:color w:val="auto"/>
                <w:kern w:val="2"/>
                <w:sz w:val="24"/>
                <w:szCs w:val="24"/>
                <w:lang w:val="en-US" w:eastAsia="zh-CN" w:bidi="ar-SA"/>
              </w:rPr>
              <w:t>VOCs、乙醇、乙醚、丙酮（以非甲烷总烃计）</w:t>
            </w:r>
            <w:r>
              <w:rPr>
                <w:rFonts w:hint="eastAsia" w:ascii="Times New Roman" w:hAnsi="Times New Roman" w:eastAsia="宋体" w:cs="宋体"/>
                <w:color w:val="auto"/>
                <w:kern w:val="2"/>
                <w:sz w:val="24"/>
                <w:szCs w:val="24"/>
                <w:lang w:val="en-US" w:eastAsia="zh-CN" w:bidi="ar-SA"/>
              </w:rPr>
              <w:t>无组织排放量为0.108t/a，排放速率为0.045kg/h。项目拟建一台风量为10000m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lang w:val="en-US" w:eastAsia="zh-CN" w:bidi="ar-SA"/>
              </w:rPr>
              <w:t>/h的风机和</w:t>
            </w:r>
            <w:r>
              <w:rPr>
                <w:rFonts w:hint="eastAsia" w:cs="宋体"/>
                <w:color w:val="auto"/>
                <w:kern w:val="2"/>
                <w:sz w:val="24"/>
                <w:szCs w:val="24"/>
                <w:lang w:val="en-US" w:eastAsia="zh-CN" w:bidi="ar-SA"/>
              </w:rPr>
              <w:t>二级</w:t>
            </w:r>
            <w:r>
              <w:rPr>
                <w:rFonts w:hint="eastAsia" w:ascii="Times New Roman" w:hAnsi="Times New Roman" w:eastAsia="宋体" w:cs="宋体"/>
                <w:color w:val="auto"/>
                <w:kern w:val="2"/>
                <w:sz w:val="24"/>
                <w:szCs w:val="24"/>
                <w:lang w:val="en-US" w:eastAsia="zh-CN" w:bidi="ar-SA"/>
              </w:rPr>
              <w:t>活性炭吸附装置作为末端治理设施，治理效率为8</w:t>
            </w:r>
            <w:r>
              <w:rPr>
                <w:rFonts w:hint="eastAsia" w:cs="宋体"/>
                <w:color w:val="auto"/>
                <w:kern w:val="2"/>
                <w:sz w:val="24"/>
                <w:szCs w:val="24"/>
                <w:lang w:val="en-US" w:eastAsia="zh-CN" w:bidi="ar-SA"/>
              </w:rPr>
              <w:t>0</w:t>
            </w:r>
            <w:r>
              <w:rPr>
                <w:rFonts w:hint="eastAsia" w:ascii="Times New Roman" w:hAnsi="Times New Roman" w:eastAsia="宋体" w:cs="宋体"/>
                <w:color w:val="auto"/>
                <w:kern w:val="2"/>
                <w:sz w:val="24"/>
                <w:szCs w:val="24"/>
                <w:lang w:val="en-US" w:eastAsia="zh-CN" w:bidi="ar-SA"/>
              </w:rPr>
              <w:t>%，则擦拭废气</w:t>
            </w:r>
            <w:r>
              <w:rPr>
                <w:rFonts w:hint="eastAsia" w:cs="宋体"/>
                <w:color w:val="auto"/>
                <w:kern w:val="2"/>
                <w:sz w:val="24"/>
                <w:szCs w:val="24"/>
                <w:lang w:val="en-US" w:eastAsia="zh-CN" w:bidi="ar-SA"/>
              </w:rPr>
              <w:t>VOCs、乙醇、乙醚、丙酮（以非甲烷总烃计）</w:t>
            </w:r>
            <w:r>
              <w:rPr>
                <w:rFonts w:hint="eastAsia" w:ascii="Times New Roman" w:hAnsi="Times New Roman" w:eastAsia="宋体" w:cs="宋体"/>
                <w:color w:val="auto"/>
                <w:kern w:val="2"/>
                <w:sz w:val="24"/>
                <w:szCs w:val="24"/>
                <w:lang w:val="en-US" w:eastAsia="zh-CN" w:bidi="ar-SA"/>
              </w:rPr>
              <w:t>有组织排放量为0.1944t/a，排放速率为0.081kg/h，排放浓度为</w:t>
            </w:r>
            <w:r>
              <w:rPr>
                <w:rFonts w:hint="eastAsia" w:cs="宋体"/>
                <w:color w:val="auto"/>
                <w:kern w:val="2"/>
                <w:sz w:val="24"/>
                <w:szCs w:val="24"/>
                <w:lang w:val="en-US" w:eastAsia="zh-CN" w:bidi="ar-SA"/>
              </w:rPr>
              <w:t>8.1</w:t>
            </w:r>
            <w:r>
              <w:rPr>
                <w:rFonts w:hint="eastAsia" w:ascii="Times New Roman" w:hAnsi="Times New Roman" w:eastAsia="宋体" w:cs="宋体"/>
                <w:color w:val="auto"/>
                <w:kern w:val="2"/>
                <w:sz w:val="24"/>
                <w:szCs w:val="24"/>
                <w:lang w:val="en-US" w:eastAsia="zh-CN" w:bidi="ar-SA"/>
              </w:rPr>
              <w:t>mg/m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vertAlign w:val="baseline"/>
                <w:lang w:val="en-US" w:eastAsia="zh-CN" w:bidi="ar-SA"/>
              </w:rPr>
              <w:t>。</w:t>
            </w:r>
          </w:p>
          <w:p w14:paraId="2762C4EE">
            <w:pPr>
              <w:widowControl w:val="0"/>
              <w:bidi w:val="0"/>
              <w:spacing w:line="360" w:lineRule="auto"/>
              <w:ind w:firstLine="480" w:firstLineChars="200"/>
              <w:jc w:val="both"/>
              <w:rPr>
                <w:rFonts w:hint="eastAsia" w:ascii="Times New Roman" w:hAnsi="Times New Roman" w:eastAsia="宋体" w:cs="宋体"/>
                <w:color w:val="auto"/>
                <w:kern w:val="2"/>
                <w:sz w:val="24"/>
                <w:szCs w:val="24"/>
                <w:vertAlign w:val="baseline"/>
                <w:lang w:val="en-US" w:eastAsia="zh-CN" w:bidi="ar-SA"/>
              </w:rPr>
            </w:pPr>
            <w:r>
              <w:rPr>
                <w:rFonts w:hint="eastAsia" w:ascii="Times New Roman" w:hAnsi="Times New Roman" w:eastAsia="宋体" w:cs="宋体"/>
                <w:color w:val="auto"/>
                <w:kern w:val="2"/>
                <w:sz w:val="24"/>
                <w:szCs w:val="24"/>
                <w:vertAlign w:val="baseline"/>
                <w:lang w:val="en-US" w:eastAsia="zh-CN" w:bidi="ar-SA"/>
              </w:rPr>
              <w:t>（</w:t>
            </w:r>
            <w:r>
              <w:rPr>
                <w:rFonts w:hint="eastAsia" w:cs="宋体"/>
                <w:color w:val="auto"/>
                <w:kern w:val="2"/>
                <w:sz w:val="24"/>
                <w:szCs w:val="24"/>
                <w:vertAlign w:val="baseline"/>
                <w:lang w:val="en-US" w:eastAsia="zh-CN" w:bidi="ar-SA"/>
              </w:rPr>
              <w:t>4</w:t>
            </w:r>
            <w:r>
              <w:rPr>
                <w:rFonts w:hint="eastAsia" w:ascii="Times New Roman" w:hAnsi="Times New Roman" w:eastAsia="宋体" w:cs="宋体"/>
                <w:color w:val="auto"/>
                <w:kern w:val="2"/>
                <w:sz w:val="24"/>
                <w:szCs w:val="24"/>
                <w:vertAlign w:val="baseline"/>
                <w:lang w:val="en-US" w:eastAsia="zh-CN" w:bidi="ar-SA"/>
              </w:rPr>
              <w:t>）超洗废气</w:t>
            </w:r>
          </w:p>
          <w:p w14:paraId="0607F7C5">
            <w:pPr>
              <w:widowControl w:val="0"/>
              <w:bidi w:val="0"/>
              <w:spacing w:line="360" w:lineRule="auto"/>
              <w:ind w:firstLine="480" w:firstLineChars="200"/>
              <w:jc w:val="both"/>
              <w:rPr>
                <w:rFonts w:hint="eastAsia" w:ascii="Times New Roman" w:hAnsi="Times New Roman" w:eastAsia="宋体" w:cs="宋体"/>
                <w:color w:val="auto"/>
                <w:kern w:val="2"/>
                <w:sz w:val="24"/>
                <w:szCs w:val="24"/>
                <w:vertAlign w:val="baseline"/>
                <w:lang w:val="en-US" w:eastAsia="zh-CN" w:bidi="ar-SA"/>
              </w:rPr>
            </w:pPr>
            <w:r>
              <w:rPr>
                <w:rFonts w:hint="eastAsia" w:ascii="Times New Roman" w:hAnsi="Times New Roman" w:eastAsia="宋体" w:cs="宋体"/>
                <w:color w:val="auto"/>
                <w:kern w:val="2"/>
                <w:sz w:val="24"/>
                <w:szCs w:val="24"/>
                <w:lang w:val="en-US" w:eastAsia="zh-CN" w:bidi="ar-SA"/>
              </w:rPr>
              <w:t>项目在超声波清洗工序加入清洗剂对产品进行清洗，根据建设单位提供资料，清洗剂使用量为2.4t/a，</w:t>
            </w:r>
            <w:r>
              <w:rPr>
                <w:rFonts w:hint="eastAsia" w:ascii="Times New Roman" w:hAnsi="Times New Roman" w:eastAsia="宋体" w:cs="宋体"/>
                <w:color w:val="auto"/>
                <w:kern w:val="2"/>
                <w:sz w:val="24"/>
                <w:szCs w:val="24"/>
                <w:highlight w:val="none"/>
                <w:lang w:val="en-US" w:eastAsia="zh-CN" w:bidi="ar-SA"/>
              </w:rPr>
              <w:t>参考根据《第二次全国污染源普查产排污核算系数手册》及相关行业标准</w:t>
            </w:r>
            <w:r>
              <w:rPr>
                <w:rFonts w:hint="eastAsia" w:ascii="Times New Roman" w:hAnsi="Times New Roman" w:eastAsia="宋体" w:cs="宋体"/>
                <w:color w:val="auto"/>
                <w:kern w:val="2"/>
                <w:sz w:val="24"/>
                <w:szCs w:val="24"/>
                <w:lang w:val="en-US" w:eastAsia="zh-CN" w:bidi="ar-SA"/>
              </w:rPr>
              <w:t>，清洗产生的污染物因子为挥发性有机物</w:t>
            </w:r>
            <w:r>
              <w:rPr>
                <w:rFonts w:hint="eastAsia" w:cs="宋体"/>
                <w:color w:val="auto"/>
                <w:kern w:val="2"/>
                <w:sz w:val="24"/>
                <w:szCs w:val="24"/>
                <w:lang w:val="en-US" w:eastAsia="zh-CN" w:bidi="ar-SA"/>
              </w:rPr>
              <w:t>VOCs（以非甲烷总烃计）</w:t>
            </w:r>
            <w:r>
              <w:rPr>
                <w:rFonts w:hint="eastAsia" w:ascii="Times New Roman" w:hAnsi="Times New Roman" w:eastAsia="宋体" w:cs="宋体"/>
                <w:color w:val="auto"/>
                <w:kern w:val="2"/>
                <w:sz w:val="24"/>
                <w:szCs w:val="24"/>
                <w:lang w:val="en-US" w:eastAsia="zh-CN" w:bidi="ar-SA"/>
              </w:rPr>
              <w:t>，产污系数为121.866克/千克</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清洗剂。则超洗废气产生量为0.2924/a，产生速率为0.1218kg/h。超洗车间为密闭无尘负压车间，考虑到有职工人员进出时开关门，有机废气（以非甲烷总烃计）以无组织形式排放系数为10%，有组织废气收集效率为90%，则超洗废气</w:t>
            </w:r>
            <w:r>
              <w:rPr>
                <w:rFonts w:hint="eastAsia" w:cs="宋体"/>
                <w:color w:val="auto"/>
                <w:kern w:val="2"/>
                <w:sz w:val="24"/>
                <w:szCs w:val="24"/>
                <w:lang w:val="en-US" w:eastAsia="zh-CN" w:bidi="ar-SA"/>
              </w:rPr>
              <w:t>VOCs（以非甲烷总烃计）</w:t>
            </w:r>
            <w:r>
              <w:rPr>
                <w:rFonts w:hint="eastAsia" w:ascii="Times New Roman" w:hAnsi="Times New Roman" w:eastAsia="宋体" w:cs="宋体"/>
                <w:color w:val="auto"/>
                <w:kern w:val="2"/>
                <w:sz w:val="24"/>
                <w:szCs w:val="24"/>
                <w:lang w:val="en-US" w:eastAsia="zh-CN" w:bidi="ar-SA"/>
              </w:rPr>
              <w:t>无组织排放量为0.0584t/a，排放速率为0.0244kg/h。项目拟建一台风量为10000m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lang w:val="en-US" w:eastAsia="zh-CN" w:bidi="ar-SA"/>
              </w:rPr>
              <w:t>/h的风机和</w:t>
            </w:r>
            <w:r>
              <w:rPr>
                <w:rFonts w:hint="eastAsia" w:cs="宋体"/>
                <w:color w:val="auto"/>
                <w:kern w:val="2"/>
                <w:sz w:val="24"/>
                <w:szCs w:val="24"/>
                <w:lang w:val="en-US" w:eastAsia="zh-CN" w:bidi="ar-SA"/>
              </w:rPr>
              <w:t>二级</w:t>
            </w:r>
            <w:r>
              <w:rPr>
                <w:rFonts w:hint="eastAsia" w:ascii="Times New Roman" w:hAnsi="Times New Roman" w:eastAsia="宋体" w:cs="宋体"/>
                <w:color w:val="auto"/>
                <w:kern w:val="2"/>
                <w:sz w:val="24"/>
                <w:szCs w:val="24"/>
                <w:lang w:val="en-US" w:eastAsia="zh-CN" w:bidi="ar-SA"/>
              </w:rPr>
              <w:t>活性炭吸附装置作为末端治理设施，治理效率为</w:t>
            </w:r>
            <w:r>
              <w:rPr>
                <w:rFonts w:hint="eastAsia" w:cs="宋体"/>
                <w:color w:val="auto"/>
                <w:kern w:val="2"/>
                <w:sz w:val="24"/>
                <w:szCs w:val="24"/>
                <w:lang w:val="en-US" w:eastAsia="zh-CN" w:bidi="ar-SA"/>
              </w:rPr>
              <w:t>80</w:t>
            </w:r>
            <w:r>
              <w:rPr>
                <w:rFonts w:hint="eastAsia" w:ascii="Times New Roman" w:hAnsi="Times New Roman" w:eastAsia="宋体" w:cs="宋体"/>
                <w:color w:val="auto"/>
                <w:kern w:val="2"/>
                <w:sz w:val="24"/>
                <w:szCs w:val="24"/>
                <w:lang w:val="en-US" w:eastAsia="zh-CN" w:bidi="ar-SA"/>
              </w:rPr>
              <w:t>%，则超洗废气</w:t>
            </w:r>
            <w:r>
              <w:rPr>
                <w:rFonts w:hint="eastAsia" w:cs="宋体"/>
                <w:color w:val="auto"/>
                <w:kern w:val="2"/>
                <w:sz w:val="24"/>
                <w:szCs w:val="24"/>
                <w:lang w:val="en-US" w:eastAsia="zh-CN" w:bidi="ar-SA"/>
              </w:rPr>
              <w:t>VOCs（以非甲烷总烃计）</w:t>
            </w:r>
            <w:r>
              <w:rPr>
                <w:rFonts w:hint="eastAsia" w:ascii="Times New Roman" w:hAnsi="Times New Roman" w:eastAsia="宋体" w:cs="宋体"/>
                <w:color w:val="auto"/>
                <w:kern w:val="2"/>
                <w:sz w:val="24"/>
                <w:szCs w:val="24"/>
                <w:lang w:val="en-US" w:eastAsia="zh-CN" w:bidi="ar-SA"/>
              </w:rPr>
              <w:t>有组织排放量为0.0468t/a，排放速率为0.0194kg/h，排放浓度为</w:t>
            </w:r>
            <w:r>
              <w:rPr>
                <w:rFonts w:hint="eastAsia" w:cs="宋体"/>
                <w:color w:val="auto"/>
                <w:kern w:val="2"/>
                <w:sz w:val="24"/>
                <w:szCs w:val="24"/>
                <w:lang w:val="en-US" w:eastAsia="zh-CN" w:bidi="ar-SA"/>
              </w:rPr>
              <w:t>1.94</w:t>
            </w:r>
            <w:r>
              <w:rPr>
                <w:rFonts w:hint="eastAsia" w:ascii="Times New Roman" w:hAnsi="Times New Roman" w:eastAsia="宋体" w:cs="宋体"/>
                <w:color w:val="auto"/>
                <w:kern w:val="2"/>
                <w:sz w:val="24"/>
                <w:szCs w:val="24"/>
                <w:lang w:val="en-US" w:eastAsia="zh-CN" w:bidi="ar-SA"/>
              </w:rPr>
              <w:t>mg/m</w:t>
            </w:r>
            <w:r>
              <w:rPr>
                <w:rFonts w:hint="eastAsia" w:ascii="Times New Roman" w:hAnsi="Times New Roman" w:eastAsia="宋体" w:cs="宋体"/>
                <w:color w:val="auto"/>
                <w:kern w:val="2"/>
                <w:sz w:val="24"/>
                <w:szCs w:val="24"/>
                <w:vertAlign w:val="superscript"/>
                <w:lang w:val="en-US" w:eastAsia="zh-CN" w:bidi="ar-SA"/>
              </w:rPr>
              <w:t>3</w:t>
            </w:r>
            <w:r>
              <w:rPr>
                <w:rFonts w:hint="eastAsia" w:ascii="Times New Roman" w:hAnsi="Times New Roman" w:eastAsia="宋体" w:cs="宋体"/>
                <w:color w:val="auto"/>
                <w:kern w:val="2"/>
                <w:sz w:val="24"/>
                <w:szCs w:val="24"/>
                <w:vertAlign w:val="baseline"/>
                <w:lang w:val="en-US" w:eastAsia="zh-CN" w:bidi="ar-SA"/>
              </w:rPr>
              <w:t>。</w:t>
            </w:r>
          </w:p>
          <w:p w14:paraId="7D299D33">
            <w:pPr>
              <w:pStyle w:val="23"/>
              <w:spacing w:line="360" w:lineRule="auto"/>
              <w:ind w:firstLine="482" w:firstLineChars="200"/>
              <w:jc w:val="both"/>
              <w:rPr>
                <w:rFonts w:hint="eastAsia" w:ascii="Times New Roman" w:hAnsi="Times New Roman"/>
                <w:b/>
                <w:bCs/>
                <w:color w:val="auto"/>
                <w:highlight w:val="none"/>
                <w:lang w:val="en-US" w:eastAsia="zh-CN"/>
              </w:rPr>
            </w:pPr>
            <w:r>
              <w:rPr>
                <w:rFonts w:hint="eastAsia" w:ascii="Times New Roman" w:hAnsi="Times New Roman"/>
                <w:b/>
                <w:bCs/>
                <w:color w:val="auto"/>
                <w:highlight w:val="none"/>
                <w:lang w:val="en-US" w:eastAsia="zh-CN"/>
              </w:rPr>
              <w:t>（4）废气收集效率</w:t>
            </w:r>
          </w:p>
          <w:p w14:paraId="5AF76640">
            <w:pPr>
              <w:pStyle w:val="23"/>
              <w:spacing w:line="360" w:lineRule="auto"/>
              <w:ind w:firstLine="480" w:firstLineChars="200"/>
              <w:jc w:val="both"/>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项目磨边废气，擦拭废气和清洗工序产生的废气通过密闭车间负压收集经二级活性炭吸附装置处理达标后通过25m高的排气筒（</w:t>
            </w:r>
            <w:r>
              <w:rPr>
                <w:rFonts w:hint="eastAsia" w:ascii="Times New Roman" w:hAnsi="Times New Roman" w:eastAsia="宋体" w:cs="宋体"/>
                <w:color w:val="auto"/>
                <w:kern w:val="2"/>
                <w:sz w:val="24"/>
                <w:szCs w:val="24"/>
                <w:lang w:val="en-US" w:eastAsia="zh-CN" w:bidi="ar-SA"/>
              </w:rPr>
              <w:t>DA00</w:t>
            </w:r>
            <w:r>
              <w:rPr>
                <w:rFonts w:hint="eastAsia" w:cs="宋体"/>
                <w:color w:val="auto"/>
                <w:kern w:val="2"/>
                <w:sz w:val="24"/>
                <w:szCs w:val="24"/>
                <w:lang w:val="en-US" w:eastAsia="zh-CN" w:bidi="ar-SA"/>
              </w:rPr>
              <w:t>1</w:t>
            </w:r>
            <w:r>
              <w:rPr>
                <w:rFonts w:hint="eastAsia" w:ascii="Times New Roman" w:hAnsi="Times New Roman"/>
                <w:color w:val="auto"/>
                <w:highlight w:val="none"/>
                <w:lang w:val="en-US" w:eastAsia="zh-CN"/>
              </w:rPr>
              <w:t>）排放，少量未经收集的直接以无组织形式排放。</w:t>
            </w:r>
          </w:p>
          <w:p w14:paraId="28F307D1">
            <w:pPr>
              <w:pStyle w:val="5"/>
              <w:bidi w:val="0"/>
              <w:rPr>
                <w:rFonts w:hint="default" w:ascii="Times New Roman" w:hAnsi="Times New Roman"/>
                <w:color w:val="auto"/>
                <w:lang w:val="en-US" w:eastAsia="zh-CN"/>
              </w:rPr>
            </w:pPr>
            <w:r>
              <w:rPr>
                <w:rFonts w:hint="eastAsia" w:ascii="Times New Roman" w:hAnsi="Times New Roman"/>
                <w:color w:val="auto"/>
                <w:highlight w:val="none"/>
                <w:lang w:val="en-US" w:eastAsia="zh-CN"/>
              </w:rPr>
              <w:t>项目磨边，擦拭和清洗有机废气车间废气总收集体积约为</w:t>
            </w:r>
            <w:r>
              <w:rPr>
                <w:rFonts w:hint="eastAsia"/>
                <w:color w:val="auto"/>
                <w:highlight w:val="none"/>
                <w:lang w:val="en-US" w:eastAsia="zh-CN"/>
              </w:rPr>
              <w:t>812</w:t>
            </w:r>
            <w:r>
              <w:rPr>
                <w:rFonts w:hint="eastAsia" w:ascii="Times New Roman" w:hAnsi="Times New Roman"/>
                <w:color w:val="auto"/>
                <w:highlight w:val="none"/>
                <w:lang w:val="en-US" w:eastAsia="zh-CN"/>
              </w:rPr>
              <w:t>m</w:t>
            </w:r>
            <w:r>
              <w:rPr>
                <w:rFonts w:hint="eastAsia" w:ascii="Times New Roman" w:hAnsi="Times New Roman"/>
                <w:color w:val="auto"/>
                <w:highlight w:val="none"/>
                <w:vertAlign w:val="superscript"/>
                <w:lang w:val="en-US" w:eastAsia="zh-CN"/>
              </w:rPr>
              <w:t>3</w:t>
            </w:r>
            <w:r>
              <w:rPr>
                <w:rFonts w:hint="eastAsia" w:ascii="Times New Roman" w:hAnsi="Times New Roman"/>
                <w:color w:val="auto"/>
                <w:highlight w:val="none"/>
                <w:lang w:val="en-US" w:eastAsia="zh-CN"/>
              </w:rPr>
              <w:t>，参照《废气处理工业技术手册》（化学工业出版社）中净化系统要求“工厂中一般作业室换气次数为6次”，废气量=</w:t>
            </w:r>
            <w:r>
              <w:rPr>
                <w:rFonts w:hint="eastAsia"/>
                <w:color w:val="auto"/>
                <w:highlight w:val="none"/>
                <w:lang w:val="en-US" w:eastAsia="zh-CN"/>
              </w:rPr>
              <w:t>812</w:t>
            </w:r>
            <w:r>
              <w:rPr>
                <w:rFonts w:hint="eastAsia" w:ascii="Times New Roman" w:hAnsi="Times New Roman"/>
                <w:color w:val="auto"/>
                <w:highlight w:val="none"/>
                <w:lang w:val="en-US" w:eastAsia="zh-CN"/>
              </w:rPr>
              <w:t>×6=4884m</w:t>
            </w:r>
            <w:r>
              <w:rPr>
                <w:rFonts w:hint="eastAsia" w:ascii="Times New Roman" w:hAnsi="Times New Roman"/>
                <w:color w:val="auto"/>
                <w:highlight w:val="none"/>
                <w:vertAlign w:val="superscript"/>
                <w:lang w:val="en-US" w:eastAsia="zh-CN"/>
              </w:rPr>
              <w:t>3</w:t>
            </w:r>
            <w:r>
              <w:rPr>
                <w:rFonts w:hint="eastAsia" w:ascii="Times New Roman" w:hAnsi="Times New Roman"/>
                <w:color w:val="auto"/>
                <w:highlight w:val="none"/>
                <w:lang w:val="en-US" w:eastAsia="zh-CN"/>
              </w:rPr>
              <w:t>，考虑实际建设过程中风阻损耗等问题，实际风量仅为标定风机风量的80%，则本项目所需风机风量为4884÷80%=6105m</w:t>
            </w:r>
            <w:r>
              <w:rPr>
                <w:rFonts w:hint="eastAsia" w:ascii="Times New Roman" w:hAnsi="Times New Roman"/>
                <w:color w:val="auto"/>
                <w:highlight w:val="none"/>
                <w:vertAlign w:val="superscript"/>
                <w:lang w:val="en-US" w:eastAsia="zh-CN"/>
              </w:rPr>
              <w:t>3</w:t>
            </w:r>
            <w:r>
              <w:rPr>
                <w:rFonts w:hint="eastAsia" w:ascii="Times New Roman" w:hAnsi="Times New Roman"/>
                <w:color w:val="auto"/>
                <w:highlight w:val="none"/>
                <w:vertAlign w:val="baseline"/>
                <w:lang w:val="en-US" w:eastAsia="zh-CN"/>
              </w:rPr>
              <w:t>＜10000</w:t>
            </w:r>
            <w:r>
              <w:rPr>
                <w:rFonts w:hint="eastAsia" w:ascii="Times New Roman" w:hAnsi="Times New Roman"/>
                <w:color w:val="auto"/>
                <w:highlight w:val="none"/>
                <w:lang w:val="en-US" w:eastAsia="zh-CN"/>
              </w:rPr>
              <w:t>m</w:t>
            </w:r>
            <w:r>
              <w:rPr>
                <w:rFonts w:hint="eastAsia" w:ascii="Times New Roman" w:hAnsi="Times New Roman"/>
                <w:color w:val="auto"/>
                <w:highlight w:val="none"/>
                <w:vertAlign w:val="superscript"/>
                <w:lang w:val="en-US" w:eastAsia="zh-CN"/>
              </w:rPr>
              <w:t>3</w:t>
            </w:r>
            <w:r>
              <w:rPr>
                <w:rFonts w:hint="eastAsia" w:ascii="Times New Roman" w:hAnsi="Times New Roman"/>
                <w:color w:val="auto"/>
                <w:highlight w:val="none"/>
                <w:lang w:val="en-US" w:eastAsia="zh-CN"/>
              </w:rPr>
              <w:t>，本评价建议采用</w:t>
            </w:r>
            <w:r>
              <w:rPr>
                <w:rFonts w:hint="eastAsia"/>
                <w:color w:val="auto"/>
                <w:lang w:val="en-US" w:eastAsia="zh-CN"/>
              </w:rPr>
              <w:t>三个车间共用一台风机</w:t>
            </w:r>
            <w:r>
              <w:rPr>
                <w:rFonts w:hint="eastAsia" w:ascii="Times New Roman" w:hAnsi="Times New Roman"/>
                <w:color w:val="auto"/>
                <w:highlight w:val="none"/>
                <w:lang w:val="en-US" w:eastAsia="zh-CN"/>
              </w:rPr>
              <w:t>风量为10000m</w:t>
            </w:r>
            <w:r>
              <w:rPr>
                <w:rFonts w:hint="eastAsia" w:ascii="Times New Roman" w:hAnsi="Times New Roman"/>
                <w:color w:val="auto"/>
                <w:highlight w:val="none"/>
                <w:vertAlign w:val="superscript"/>
                <w:lang w:val="en-US" w:eastAsia="zh-CN"/>
              </w:rPr>
              <w:t>3</w:t>
            </w:r>
            <w:r>
              <w:rPr>
                <w:rFonts w:hint="eastAsia" w:ascii="Times New Roman" w:hAnsi="Times New Roman"/>
                <w:color w:val="auto"/>
                <w:highlight w:val="none"/>
                <w:lang w:val="en-US" w:eastAsia="zh-CN"/>
              </w:rPr>
              <w:t>/h</w:t>
            </w:r>
            <w:r>
              <w:rPr>
                <w:rFonts w:hint="eastAsia"/>
                <w:color w:val="auto"/>
                <w:highlight w:val="none"/>
                <w:lang w:val="en-US" w:eastAsia="zh-CN"/>
              </w:rPr>
              <w:t>的风机</w:t>
            </w:r>
            <w:r>
              <w:rPr>
                <w:rFonts w:hint="eastAsia" w:ascii="Times New Roman" w:hAnsi="Times New Roman"/>
                <w:color w:val="auto"/>
                <w:highlight w:val="none"/>
                <w:lang w:val="en-US" w:eastAsia="zh-CN"/>
              </w:rPr>
              <w:t>。</w:t>
            </w:r>
          </w:p>
        </w:tc>
      </w:tr>
    </w:tbl>
    <w:p w14:paraId="6BB6EFD1">
      <w:pPr>
        <w:pStyle w:val="6"/>
        <w:bidi w:val="0"/>
        <w:jc w:val="both"/>
        <w:rPr>
          <w:rFonts w:hint="eastAsia" w:ascii="Times New Roman" w:hAnsi="Times New Roman"/>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19"/>
        <w:tblW w:w="152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666"/>
      </w:tblGrid>
      <w:tr w14:paraId="19E95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10" w:hRule="atLeast"/>
          <w:jc w:val="center"/>
        </w:trPr>
        <w:tc>
          <w:tcPr>
            <w:tcW w:w="534" w:type="dxa"/>
            <w:noWrap w:val="0"/>
            <w:tcMar>
              <w:left w:w="28" w:type="dxa"/>
              <w:right w:w="28" w:type="dxa"/>
            </w:tcMar>
            <w:vAlign w:val="center"/>
          </w:tcPr>
          <w:p w14:paraId="03A29517">
            <w:pPr>
              <w:adjustRightInd w:val="0"/>
              <w:snapToGrid w:val="0"/>
              <w:jc w:val="center"/>
              <w:rPr>
                <w:rFonts w:hint="eastAsia" w:ascii="Times New Roman" w:hAnsi="Times New Roman" w:eastAsia="宋体" w:cs="宋体"/>
                <w:bCs/>
                <w:color w:val="auto"/>
                <w:szCs w:val="21"/>
              </w:rPr>
            </w:pPr>
            <w:r>
              <w:rPr>
                <w:rFonts w:hint="eastAsia" w:ascii="Times New Roman" w:hAnsi="Times New Roman" w:eastAsia="宋体" w:cs="宋体"/>
                <w:bCs/>
                <w:color w:val="auto"/>
                <w:szCs w:val="21"/>
              </w:rPr>
              <w:t>运营</w:t>
            </w:r>
          </w:p>
          <w:p w14:paraId="1BACCAF9">
            <w:pPr>
              <w:adjustRightInd w:val="0"/>
              <w:snapToGrid w:val="0"/>
              <w:jc w:val="center"/>
              <w:rPr>
                <w:rFonts w:hint="eastAsia" w:ascii="Times New Roman" w:hAnsi="Times New Roman" w:eastAsia="宋体" w:cs="宋体"/>
                <w:bCs/>
                <w:color w:val="auto"/>
                <w:szCs w:val="21"/>
              </w:rPr>
            </w:pPr>
            <w:r>
              <w:rPr>
                <w:rFonts w:hint="eastAsia" w:ascii="Times New Roman" w:hAnsi="Times New Roman" w:eastAsia="宋体" w:cs="宋体"/>
                <w:bCs/>
                <w:color w:val="auto"/>
                <w:szCs w:val="21"/>
              </w:rPr>
              <w:t>期环</w:t>
            </w:r>
          </w:p>
          <w:p w14:paraId="4964C62D">
            <w:pPr>
              <w:adjustRightInd w:val="0"/>
              <w:snapToGrid w:val="0"/>
              <w:jc w:val="center"/>
              <w:rPr>
                <w:rFonts w:hint="eastAsia" w:ascii="Times New Roman" w:hAnsi="Times New Roman" w:eastAsia="宋体" w:cs="宋体"/>
                <w:bCs/>
                <w:color w:val="auto"/>
                <w:szCs w:val="21"/>
              </w:rPr>
            </w:pPr>
            <w:r>
              <w:rPr>
                <w:rFonts w:hint="eastAsia" w:ascii="Times New Roman" w:hAnsi="Times New Roman" w:eastAsia="宋体" w:cs="宋体"/>
                <w:bCs/>
                <w:color w:val="auto"/>
                <w:szCs w:val="21"/>
              </w:rPr>
              <w:t>境影</w:t>
            </w:r>
          </w:p>
          <w:p w14:paraId="5BFFA208">
            <w:pPr>
              <w:adjustRightInd w:val="0"/>
              <w:snapToGrid w:val="0"/>
              <w:jc w:val="center"/>
              <w:rPr>
                <w:rFonts w:hint="eastAsia" w:ascii="Times New Roman" w:hAnsi="Times New Roman" w:eastAsia="宋体" w:cs="宋体"/>
                <w:bCs/>
                <w:color w:val="auto"/>
                <w:szCs w:val="21"/>
              </w:rPr>
            </w:pPr>
            <w:r>
              <w:rPr>
                <w:rFonts w:hint="eastAsia" w:ascii="Times New Roman" w:hAnsi="Times New Roman" w:eastAsia="宋体" w:cs="宋体"/>
                <w:bCs/>
                <w:color w:val="auto"/>
                <w:szCs w:val="21"/>
              </w:rPr>
              <w:t>响和</w:t>
            </w:r>
          </w:p>
          <w:p w14:paraId="2A5B0E61">
            <w:pPr>
              <w:adjustRightInd w:val="0"/>
              <w:snapToGrid w:val="0"/>
              <w:jc w:val="center"/>
              <w:rPr>
                <w:rFonts w:hint="eastAsia" w:ascii="Times New Roman" w:hAnsi="Times New Roman" w:eastAsia="宋体" w:cs="宋体"/>
                <w:bCs/>
                <w:color w:val="auto"/>
                <w:szCs w:val="21"/>
              </w:rPr>
            </w:pPr>
            <w:r>
              <w:rPr>
                <w:rFonts w:hint="eastAsia" w:ascii="Times New Roman" w:hAnsi="Times New Roman" w:eastAsia="宋体" w:cs="宋体"/>
                <w:bCs/>
                <w:color w:val="auto"/>
                <w:szCs w:val="21"/>
              </w:rPr>
              <w:t>保护</w:t>
            </w:r>
          </w:p>
          <w:p w14:paraId="61E680E7">
            <w:pPr>
              <w:adjustRightInd w:val="0"/>
              <w:snapToGrid w:val="0"/>
              <w:jc w:val="center"/>
              <w:rPr>
                <w:rFonts w:ascii="Times New Roman" w:hAnsi="Times New Roman" w:eastAsia="宋体" w:cs="宋体"/>
                <w:bCs/>
                <w:color w:val="auto"/>
                <w:szCs w:val="21"/>
              </w:rPr>
            </w:pPr>
            <w:r>
              <w:rPr>
                <w:rFonts w:hint="eastAsia" w:ascii="Times New Roman" w:hAnsi="Times New Roman" w:eastAsia="宋体" w:cs="宋体"/>
                <w:bCs/>
                <w:color w:val="auto"/>
                <w:szCs w:val="21"/>
              </w:rPr>
              <w:t>措施</w:t>
            </w:r>
          </w:p>
        </w:tc>
        <w:tc>
          <w:tcPr>
            <w:tcW w:w="14666" w:type="dxa"/>
            <w:noWrap w:val="0"/>
            <w:vAlign w:val="top"/>
          </w:tcPr>
          <w:p w14:paraId="4D39E960">
            <w:pPr>
              <w:pStyle w:val="27"/>
              <w:bidi w:val="0"/>
              <w:rPr>
                <w:rFonts w:hint="eastAsia" w:ascii="Times New Roman" w:hAnsi="Times New Roman"/>
                <w:color w:val="auto"/>
                <w:lang w:val="en-US" w:eastAsia="zh-CN"/>
              </w:rPr>
            </w:pPr>
            <w:r>
              <w:rPr>
                <w:rFonts w:hint="eastAsia" w:ascii="Times New Roman" w:hAnsi="Times New Roman"/>
                <w:color w:val="auto"/>
                <w:lang w:val="en-US" w:eastAsia="zh-CN"/>
              </w:rPr>
              <w:t>表4.2-1</w:t>
            </w:r>
            <w:r>
              <w:rPr>
                <w:rFonts w:hint="eastAsia"/>
                <w:color w:val="auto"/>
                <w:lang w:val="en-US" w:eastAsia="zh-CN"/>
              </w:rPr>
              <w:t xml:space="preserve">  </w:t>
            </w:r>
            <w:r>
              <w:rPr>
                <w:rFonts w:hint="eastAsia" w:ascii="Times New Roman" w:hAnsi="Times New Roman"/>
                <w:color w:val="auto"/>
                <w:lang w:val="en-US" w:eastAsia="zh-CN"/>
              </w:rPr>
              <w:t>本项目废气产排情况一览表</w:t>
            </w:r>
          </w:p>
          <w:tbl>
            <w:tblPr>
              <w:tblStyle w:val="19"/>
              <w:tblW w:w="1461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98"/>
              <w:gridCol w:w="915"/>
              <w:gridCol w:w="870"/>
              <w:gridCol w:w="870"/>
              <w:gridCol w:w="870"/>
              <w:gridCol w:w="585"/>
              <w:gridCol w:w="885"/>
              <w:gridCol w:w="630"/>
              <w:gridCol w:w="690"/>
              <w:gridCol w:w="897"/>
              <w:gridCol w:w="865"/>
              <w:gridCol w:w="879"/>
              <w:gridCol w:w="721"/>
              <w:gridCol w:w="867"/>
              <w:gridCol w:w="692"/>
              <w:gridCol w:w="848"/>
              <w:gridCol w:w="6"/>
              <w:gridCol w:w="495"/>
              <w:gridCol w:w="3"/>
              <w:gridCol w:w="548"/>
              <w:gridCol w:w="4"/>
              <w:gridCol w:w="575"/>
            </w:tblGrid>
            <w:tr w14:paraId="34C291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87" w:hRule="atLeast"/>
                <w:jc w:val="center"/>
              </w:trPr>
              <w:tc>
                <w:tcPr>
                  <w:tcW w:w="898" w:type="dxa"/>
                  <w:vMerge w:val="restart"/>
                  <w:tcBorders>
                    <w:tl2br w:val="nil"/>
                    <w:tr2bl w:val="nil"/>
                  </w:tcBorders>
                  <w:noWrap w:val="0"/>
                  <w:vAlign w:val="center"/>
                </w:tcPr>
                <w:p w14:paraId="676C90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产污环节</w:t>
                  </w:r>
                </w:p>
              </w:tc>
              <w:tc>
                <w:tcPr>
                  <w:tcW w:w="915" w:type="dxa"/>
                  <w:vMerge w:val="restart"/>
                  <w:tcBorders>
                    <w:tl2br w:val="nil"/>
                    <w:tr2bl w:val="nil"/>
                  </w:tcBorders>
                  <w:noWrap w:val="0"/>
                  <w:vAlign w:val="center"/>
                </w:tcPr>
                <w:p w14:paraId="33FE8DF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污染物</w:t>
                  </w:r>
                </w:p>
              </w:tc>
              <w:tc>
                <w:tcPr>
                  <w:tcW w:w="1740" w:type="dxa"/>
                  <w:gridSpan w:val="2"/>
                  <w:tcBorders>
                    <w:tl2br w:val="nil"/>
                    <w:tr2bl w:val="nil"/>
                  </w:tcBorders>
                  <w:noWrap w:val="0"/>
                  <w:vAlign w:val="center"/>
                </w:tcPr>
                <w:p w14:paraId="1CBC7F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产生源强</w:t>
                  </w:r>
                </w:p>
              </w:tc>
              <w:tc>
                <w:tcPr>
                  <w:tcW w:w="870" w:type="dxa"/>
                  <w:vMerge w:val="restart"/>
                  <w:tcBorders>
                    <w:tl2br w:val="nil"/>
                    <w:tr2bl w:val="nil"/>
                  </w:tcBorders>
                  <w:noWrap w:val="0"/>
                  <w:tcMar>
                    <w:top w:w="0" w:type="dxa"/>
                    <w:left w:w="28" w:type="dxa"/>
                    <w:bottom w:w="0" w:type="dxa"/>
                    <w:right w:w="28" w:type="dxa"/>
                  </w:tcMar>
                  <w:vAlign w:val="center"/>
                </w:tcPr>
                <w:p w14:paraId="0B0DA0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收集措施</w:t>
                  </w:r>
                </w:p>
              </w:tc>
              <w:tc>
                <w:tcPr>
                  <w:tcW w:w="585" w:type="dxa"/>
                  <w:vMerge w:val="restart"/>
                  <w:tcBorders>
                    <w:tl2br w:val="nil"/>
                    <w:tr2bl w:val="nil"/>
                  </w:tcBorders>
                  <w:noWrap w:val="0"/>
                  <w:tcMar>
                    <w:top w:w="0" w:type="dxa"/>
                    <w:left w:w="28" w:type="dxa"/>
                    <w:bottom w:w="0" w:type="dxa"/>
                    <w:right w:w="28" w:type="dxa"/>
                  </w:tcMar>
                  <w:vAlign w:val="center"/>
                </w:tcPr>
                <w:p w14:paraId="370E8FD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收集效率</w:t>
                  </w:r>
                  <w:r>
                    <w:rPr>
                      <w:rFonts w:ascii="Times New Roman" w:hAnsi="Times New Roman" w:eastAsia="宋体" w:cs="Times New Roman"/>
                      <w:b/>
                      <w:bCs/>
                      <w:color w:val="auto"/>
                      <w:kern w:val="0"/>
                      <w:sz w:val="21"/>
                      <w:szCs w:val="20"/>
                      <w:lang w:val="en-US" w:eastAsia="zh-CN" w:bidi="ar-SA"/>
                    </w:rPr>
                    <w:t>%</w:t>
                  </w:r>
                </w:p>
              </w:tc>
              <w:tc>
                <w:tcPr>
                  <w:tcW w:w="885" w:type="dxa"/>
                  <w:vMerge w:val="restart"/>
                  <w:tcBorders>
                    <w:tl2br w:val="nil"/>
                    <w:tr2bl w:val="nil"/>
                  </w:tcBorders>
                  <w:noWrap w:val="0"/>
                  <w:tcMar>
                    <w:top w:w="0" w:type="dxa"/>
                    <w:left w:w="28" w:type="dxa"/>
                    <w:bottom w:w="0" w:type="dxa"/>
                    <w:right w:w="28" w:type="dxa"/>
                  </w:tcMar>
                  <w:vAlign w:val="center"/>
                </w:tcPr>
                <w:p w14:paraId="2DC38E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治理措施</w:t>
                  </w:r>
                </w:p>
              </w:tc>
              <w:tc>
                <w:tcPr>
                  <w:tcW w:w="630" w:type="dxa"/>
                  <w:vMerge w:val="restart"/>
                  <w:tcBorders>
                    <w:tl2br w:val="nil"/>
                    <w:tr2bl w:val="nil"/>
                  </w:tcBorders>
                  <w:noWrap w:val="0"/>
                  <w:tcMar>
                    <w:top w:w="0" w:type="dxa"/>
                    <w:left w:w="28" w:type="dxa"/>
                    <w:bottom w:w="0" w:type="dxa"/>
                    <w:right w:w="28" w:type="dxa"/>
                  </w:tcMar>
                  <w:vAlign w:val="center"/>
                </w:tcPr>
                <w:p w14:paraId="722DBE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处理效率</w:t>
                  </w:r>
                </w:p>
                <w:p w14:paraId="451369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w:t>
                  </w:r>
                </w:p>
              </w:tc>
              <w:tc>
                <w:tcPr>
                  <w:tcW w:w="690" w:type="dxa"/>
                  <w:vMerge w:val="restart"/>
                  <w:tcBorders>
                    <w:tl2br w:val="nil"/>
                    <w:tr2bl w:val="nil"/>
                  </w:tcBorders>
                  <w:noWrap w:val="0"/>
                  <w:vAlign w:val="center"/>
                </w:tcPr>
                <w:p w14:paraId="3DF9F6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措施技术是否可行</w:t>
                  </w:r>
                </w:p>
              </w:tc>
              <w:tc>
                <w:tcPr>
                  <w:tcW w:w="897" w:type="dxa"/>
                  <w:vMerge w:val="restart"/>
                  <w:tcBorders>
                    <w:tl2br w:val="nil"/>
                    <w:tr2bl w:val="nil"/>
                  </w:tcBorders>
                  <w:noWrap w:val="0"/>
                  <w:tcMar>
                    <w:top w:w="0" w:type="dxa"/>
                    <w:left w:w="28" w:type="dxa"/>
                    <w:bottom w:w="0" w:type="dxa"/>
                    <w:right w:w="28" w:type="dxa"/>
                  </w:tcMar>
                  <w:vAlign w:val="center"/>
                </w:tcPr>
                <w:p w14:paraId="6A9D570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排放形式</w:t>
                  </w:r>
                </w:p>
              </w:tc>
              <w:tc>
                <w:tcPr>
                  <w:tcW w:w="3332" w:type="dxa"/>
                  <w:gridSpan w:val="4"/>
                  <w:tcBorders>
                    <w:tl2br w:val="nil"/>
                    <w:tr2bl w:val="nil"/>
                  </w:tcBorders>
                  <w:noWrap w:val="0"/>
                  <w:tcMar>
                    <w:top w:w="0" w:type="dxa"/>
                    <w:left w:w="28" w:type="dxa"/>
                    <w:bottom w:w="0" w:type="dxa"/>
                    <w:right w:w="28" w:type="dxa"/>
                  </w:tcMar>
                  <w:vAlign w:val="center"/>
                </w:tcPr>
                <w:p w14:paraId="419A01E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排放源强</w:t>
                  </w:r>
                </w:p>
              </w:tc>
              <w:tc>
                <w:tcPr>
                  <w:tcW w:w="692" w:type="dxa"/>
                  <w:vMerge w:val="restart"/>
                  <w:tcBorders>
                    <w:tl2br w:val="nil"/>
                    <w:tr2bl w:val="nil"/>
                  </w:tcBorders>
                  <w:noWrap w:val="0"/>
                  <w:vAlign w:val="center"/>
                </w:tcPr>
                <w:p w14:paraId="1589C4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年排放时间</w:t>
                  </w:r>
                  <w:r>
                    <w:rPr>
                      <w:rFonts w:ascii="Times New Roman" w:hAnsi="Times New Roman" w:eastAsia="宋体" w:cs="Times New Roman"/>
                      <w:b/>
                      <w:bCs/>
                      <w:color w:val="auto"/>
                      <w:kern w:val="0"/>
                      <w:sz w:val="21"/>
                      <w:szCs w:val="20"/>
                      <w:lang w:val="en-US" w:eastAsia="zh-CN" w:bidi="ar-SA"/>
                    </w:rPr>
                    <w:t>h/a</w:t>
                  </w:r>
                </w:p>
              </w:tc>
              <w:tc>
                <w:tcPr>
                  <w:tcW w:w="2479" w:type="dxa"/>
                  <w:gridSpan w:val="7"/>
                  <w:tcBorders>
                    <w:tl2br w:val="nil"/>
                    <w:tr2bl w:val="nil"/>
                  </w:tcBorders>
                  <w:noWrap w:val="0"/>
                  <w:vAlign w:val="center"/>
                </w:tcPr>
                <w:p w14:paraId="62FA0F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排气筒概况</w:t>
                  </w:r>
                </w:p>
              </w:tc>
            </w:tr>
            <w:tr w14:paraId="38F0E1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620" w:hRule="atLeast"/>
                <w:jc w:val="center"/>
              </w:trPr>
              <w:tc>
                <w:tcPr>
                  <w:tcW w:w="898" w:type="dxa"/>
                  <w:vMerge w:val="continue"/>
                  <w:tcBorders>
                    <w:tl2br w:val="nil"/>
                    <w:tr2bl w:val="nil"/>
                  </w:tcBorders>
                  <w:noWrap w:val="0"/>
                  <w:vAlign w:val="center"/>
                </w:tcPr>
                <w:p w14:paraId="3CF644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p>
              </w:tc>
              <w:tc>
                <w:tcPr>
                  <w:tcW w:w="915" w:type="dxa"/>
                  <w:vMerge w:val="continue"/>
                  <w:tcBorders>
                    <w:tl2br w:val="nil"/>
                    <w:tr2bl w:val="nil"/>
                  </w:tcBorders>
                  <w:noWrap w:val="0"/>
                  <w:vAlign w:val="center"/>
                </w:tcPr>
                <w:p w14:paraId="309D45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p>
              </w:tc>
              <w:tc>
                <w:tcPr>
                  <w:tcW w:w="870" w:type="dxa"/>
                  <w:tcBorders>
                    <w:tl2br w:val="nil"/>
                    <w:tr2bl w:val="nil"/>
                  </w:tcBorders>
                  <w:noWrap w:val="0"/>
                  <w:vAlign w:val="center"/>
                </w:tcPr>
                <w:p w14:paraId="66618E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主要污染物产生量</w:t>
                  </w:r>
                  <w:r>
                    <w:rPr>
                      <w:rFonts w:ascii="Times New Roman" w:hAnsi="Times New Roman" w:eastAsia="宋体" w:cs="Times New Roman"/>
                      <w:b/>
                      <w:bCs/>
                      <w:color w:val="auto"/>
                      <w:kern w:val="0"/>
                      <w:sz w:val="21"/>
                      <w:szCs w:val="20"/>
                      <w:lang w:val="en-US" w:eastAsia="zh-CN" w:bidi="ar-SA"/>
                    </w:rPr>
                    <w:t>t/a</w:t>
                  </w:r>
                </w:p>
              </w:tc>
              <w:tc>
                <w:tcPr>
                  <w:tcW w:w="870" w:type="dxa"/>
                  <w:tcBorders>
                    <w:tl2br w:val="nil"/>
                    <w:tr2bl w:val="nil"/>
                  </w:tcBorders>
                  <w:noWrap w:val="0"/>
                  <w:vAlign w:val="center"/>
                </w:tcPr>
                <w:p w14:paraId="16E6CB1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主要污染物产生速率</w:t>
                  </w:r>
                  <w:r>
                    <w:rPr>
                      <w:rFonts w:ascii="Times New Roman" w:hAnsi="Times New Roman" w:eastAsia="宋体" w:cs="Times New Roman"/>
                      <w:b/>
                      <w:bCs/>
                      <w:color w:val="auto"/>
                      <w:kern w:val="0"/>
                      <w:sz w:val="21"/>
                      <w:szCs w:val="20"/>
                      <w:lang w:val="en-US" w:eastAsia="zh-CN" w:bidi="ar-SA"/>
                    </w:rPr>
                    <w:t>kg/h</w:t>
                  </w:r>
                </w:p>
              </w:tc>
              <w:tc>
                <w:tcPr>
                  <w:tcW w:w="870" w:type="dxa"/>
                  <w:vMerge w:val="continue"/>
                  <w:tcBorders>
                    <w:tl2br w:val="nil"/>
                    <w:tr2bl w:val="nil"/>
                  </w:tcBorders>
                  <w:noWrap w:val="0"/>
                  <w:vAlign w:val="center"/>
                </w:tcPr>
                <w:p w14:paraId="72C00C5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p>
              </w:tc>
              <w:tc>
                <w:tcPr>
                  <w:tcW w:w="585" w:type="dxa"/>
                  <w:vMerge w:val="continue"/>
                  <w:tcBorders>
                    <w:tl2br w:val="nil"/>
                    <w:tr2bl w:val="nil"/>
                  </w:tcBorders>
                  <w:noWrap w:val="0"/>
                  <w:vAlign w:val="center"/>
                </w:tcPr>
                <w:p w14:paraId="2027FF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p>
              </w:tc>
              <w:tc>
                <w:tcPr>
                  <w:tcW w:w="885" w:type="dxa"/>
                  <w:vMerge w:val="continue"/>
                  <w:tcBorders>
                    <w:tl2br w:val="nil"/>
                    <w:tr2bl w:val="nil"/>
                  </w:tcBorders>
                  <w:noWrap w:val="0"/>
                  <w:vAlign w:val="center"/>
                </w:tcPr>
                <w:p w14:paraId="199ABE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p>
              </w:tc>
              <w:tc>
                <w:tcPr>
                  <w:tcW w:w="630" w:type="dxa"/>
                  <w:vMerge w:val="continue"/>
                  <w:tcBorders>
                    <w:tl2br w:val="nil"/>
                    <w:tr2bl w:val="nil"/>
                  </w:tcBorders>
                  <w:noWrap w:val="0"/>
                  <w:vAlign w:val="center"/>
                </w:tcPr>
                <w:p w14:paraId="30B8DD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p>
              </w:tc>
              <w:tc>
                <w:tcPr>
                  <w:tcW w:w="690" w:type="dxa"/>
                  <w:vMerge w:val="continue"/>
                  <w:tcBorders>
                    <w:tl2br w:val="nil"/>
                    <w:tr2bl w:val="nil"/>
                  </w:tcBorders>
                  <w:noWrap w:val="0"/>
                  <w:vAlign w:val="center"/>
                </w:tcPr>
                <w:p w14:paraId="33BF21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p>
              </w:tc>
              <w:tc>
                <w:tcPr>
                  <w:tcW w:w="897" w:type="dxa"/>
                  <w:vMerge w:val="continue"/>
                  <w:tcBorders>
                    <w:tl2br w:val="nil"/>
                    <w:tr2bl w:val="nil"/>
                  </w:tcBorders>
                  <w:noWrap w:val="0"/>
                  <w:vAlign w:val="center"/>
                </w:tcPr>
                <w:p w14:paraId="69A1A3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lang w:val="en-US" w:eastAsia="zh-CN" w:bidi="ar-SA"/>
                    </w:rPr>
                  </w:pPr>
                </w:p>
              </w:tc>
              <w:tc>
                <w:tcPr>
                  <w:tcW w:w="865" w:type="dxa"/>
                  <w:tcBorders>
                    <w:tl2br w:val="nil"/>
                    <w:tr2bl w:val="nil"/>
                  </w:tcBorders>
                  <w:noWrap w:val="0"/>
                  <w:vAlign w:val="center"/>
                </w:tcPr>
                <w:p w14:paraId="764E37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主要污染物排放量</w:t>
                  </w:r>
                  <w:r>
                    <w:rPr>
                      <w:rFonts w:ascii="Times New Roman" w:hAnsi="Times New Roman" w:eastAsia="宋体" w:cs="Times New Roman"/>
                      <w:b/>
                      <w:bCs/>
                      <w:color w:val="auto"/>
                      <w:kern w:val="0"/>
                      <w:sz w:val="21"/>
                      <w:szCs w:val="20"/>
                      <w:lang w:val="en-US" w:eastAsia="zh-CN" w:bidi="ar-SA"/>
                    </w:rPr>
                    <w:t>t/a</w:t>
                  </w:r>
                </w:p>
              </w:tc>
              <w:tc>
                <w:tcPr>
                  <w:tcW w:w="879" w:type="dxa"/>
                  <w:tcBorders>
                    <w:tl2br w:val="nil"/>
                    <w:tr2bl w:val="nil"/>
                  </w:tcBorders>
                  <w:noWrap w:val="0"/>
                  <w:tcMar>
                    <w:top w:w="0" w:type="dxa"/>
                    <w:left w:w="28" w:type="dxa"/>
                    <w:bottom w:w="0" w:type="dxa"/>
                    <w:right w:w="28" w:type="dxa"/>
                  </w:tcMar>
                  <w:vAlign w:val="center"/>
                </w:tcPr>
                <w:p w14:paraId="07DE42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污染物排放速率</w:t>
                  </w:r>
                  <w:r>
                    <w:rPr>
                      <w:rFonts w:ascii="Times New Roman" w:hAnsi="Times New Roman" w:eastAsia="宋体" w:cs="Times New Roman"/>
                      <w:b/>
                      <w:bCs/>
                      <w:color w:val="auto"/>
                      <w:kern w:val="0"/>
                      <w:sz w:val="21"/>
                      <w:szCs w:val="20"/>
                      <w:lang w:val="en-US" w:eastAsia="zh-CN" w:bidi="ar-SA"/>
                    </w:rPr>
                    <w:t>kg/h</w:t>
                  </w:r>
                </w:p>
              </w:tc>
              <w:tc>
                <w:tcPr>
                  <w:tcW w:w="721" w:type="dxa"/>
                  <w:tcBorders>
                    <w:tl2br w:val="nil"/>
                    <w:tr2bl w:val="nil"/>
                  </w:tcBorders>
                  <w:noWrap w:val="0"/>
                  <w:tcMar>
                    <w:top w:w="0" w:type="dxa"/>
                    <w:left w:w="28" w:type="dxa"/>
                    <w:bottom w:w="0" w:type="dxa"/>
                    <w:right w:w="28" w:type="dxa"/>
                  </w:tcMar>
                  <w:vAlign w:val="center"/>
                </w:tcPr>
                <w:p w14:paraId="49B87C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排气量m</w:t>
                  </w:r>
                  <w:r>
                    <w:rPr>
                      <w:rFonts w:hint="eastAsia" w:ascii="Times New Roman" w:hAnsi="Times New Roman" w:eastAsia="宋体" w:cs="Times New Roman"/>
                      <w:b/>
                      <w:bCs/>
                      <w:color w:val="auto"/>
                      <w:kern w:val="0"/>
                      <w:sz w:val="21"/>
                      <w:szCs w:val="20"/>
                      <w:vertAlign w:val="superscript"/>
                      <w:lang w:val="en-US" w:eastAsia="zh-CN" w:bidi="ar-SA"/>
                    </w:rPr>
                    <w:t>3</w:t>
                  </w:r>
                  <w:r>
                    <w:rPr>
                      <w:rFonts w:hint="eastAsia" w:ascii="Times New Roman" w:hAnsi="Times New Roman" w:eastAsia="宋体" w:cs="Times New Roman"/>
                      <w:b/>
                      <w:bCs/>
                      <w:color w:val="auto"/>
                      <w:kern w:val="0"/>
                      <w:sz w:val="21"/>
                      <w:szCs w:val="20"/>
                      <w:lang w:val="en-US" w:eastAsia="zh-CN" w:bidi="ar-SA"/>
                    </w:rPr>
                    <w:t>/h</w:t>
                  </w:r>
                </w:p>
              </w:tc>
              <w:tc>
                <w:tcPr>
                  <w:tcW w:w="867" w:type="dxa"/>
                  <w:tcBorders>
                    <w:tl2br w:val="nil"/>
                    <w:tr2bl w:val="nil"/>
                  </w:tcBorders>
                  <w:noWrap w:val="0"/>
                  <w:tcMar>
                    <w:top w:w="0" w:type="dxa"/>
                    <w:left w:w="28" w:type="dxa"/>
                    <w:bottom w:w="0" w:type="dxa"/>
                    <w:right w:w="28" w:type="dxa"/>
                  </w:tcMar>
                  <w:vAlign w:val="center"/>
                </w:tcPr>
                <w:p w14:paraId="072019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污染物排放浓度</w:t>
                  </w:r>
                  <w:r>
                    <w:rPr>
                      <w:rFonts w:ascii="Times New Roman" w:hAnsi="Times New Roman" w:eastAsia="宋体" w:cs="Times New Roman"/>
                      <w:b/>
                      <w:bCs/>
                      <w:color w:val="auto"/>
                      <w:kern w:val="0"/>
                      <w:sz w:val="21"/>
                      <w:szCs w:val="20"/>
                      <w:lang w:val="en-US" w:eastAsia="zh-CN" w:bidi="ar-SA"/>
                    </w:rPr>
                    <w:t>mg/m</w:t>
                  </w:r>
                  <w:r>
                    <w:rPr>
                      <w:rFonts w:ascii="Times New Roman" w:hAnsi="Times New Roman" w:eastAsia="宋体" w:cs="Times New Roman"/>
                      <w:b/>
                      <w:bCs/>
                      <w:color w:val="auto"/>
                      <w:kern w:val="0"/>
                      <w:sz w:val="21"/>
                      <w:szCs w:val="20"/>
                      <w:vertAlign w:val="superscript"/>
                      <w:lang w:val="en-US" w:eastAsia="zh-CN" w:bidi="ar-SA"/>
                    </w:rPr>
                    <w:t>3</w:t>
                  </w:r>
                </w:p>
              </w:tc>
              <w:tc>
                <w:tcPr>
                  <w:tcW w:w="692" w:type="dxa"/>
                  <w:vMerge w:val="continue"/>
                  <w:tcBorders>
                    <w:tl2br w:val="nil"/>
                    <w:tr2bl w:val="nil"/>
                  </w:tcBorders>
                  <w:noWrap w:val="0"/>
                  <w:tcMar>
                    <w:top w:w="0" w:type="dxa"/>
                    <w:left w:w="28" w:type="dxa"/>
                    <w:bottom w:w="0" w:type="dxa"/>
                    <w:right w:w="28" w:type="dxa"/>
                  </w:tcMar>
                  <w:vAlign w:val="center"/>
                </w:tcPr>
                <w:p w14:paraId="08827D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p>
              </w:tc>
              <w:tc>
                <w:tcPr>
                  <w:tcW w:w="848" w:type="dxa"/>
                  <w:tcBorders>
                    <w:tl2br w:val="nil"/>
                    <w:tr2bl w:val="nil"/>
                  </w:tcBorders>
                  <w:noWrap w:val="0"/>
                  <w:tcMar>
                    <w:top w:w="0" w:type="dxa"/>
                    <w:left w:w="28" w:type="dxa"/>
                    <w:bottom w:w="0" w:type="dxa"/>
                    <w:right w:w="28" w:type="dxa"/>
                  </w:tcMar>
                  <w:vAlign w:val="center"/>
                </w:tcPr>
                <w:p w14:paraId="279289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编号及名称</w:t>
                  </w:r>
                </w:p>
              </w:tc>
              <w:tc>
                <w:tcPr>
                  <w:tcW w:w="504" w:type="dxa"/>
                  <w:gridSpan w:val="3"/>
                  <w:tcBorders>
                    <w:tl2br w:val="nil"/>
                    <w:tr2bl w:val="nil"/>
                  </w:tcBorders>
                  <w:noWrap w:val="0"/>
                  <w:tcMar>
                    <w:top w:w="0" w:type="dxa"/>
                    <w:left w:w="28" w:type="dxa"/>
                    <w:bottom w:w="0" w:type="dxa"/>
                    <w:right w:w="28" w:type="dxa"/>
                  </w:tcMar>
                  <w:vAlign w:val="center"/>
                </w:tcPr>
                <w:p w14:paraId="6903255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高度</w:t>
                  </w:r>
                  <w:r>
                    <w:rPr>
                      <w:rFonts w:ascii="Times New Roman" w:hAnsi="Times New Roman" w:eastAsia="宋体" w:cs="Times New Roman"/>
                      <w:b/>
                      <w:bCs/>
                      <w:color w:val="auto"/>
                      <w:kern w:val="0"/>
                      <w:sz w:val="21"/>
                      <w:szCs w:val="20"/>
                      <w:lang w:val="en-US" w:eastAsia="zh-CN" w:bidi="ar-SA"/>
                    </w:rPr>
                    <w:t>m</w:t>
                  </w:r>
                </w:p>
              </w:tc>
              <w:tc>
                <w:tcPr>
                  <w:tcW w:w="548" w:type="dxa"/>
                  <w:tcBorders>
                    <w:tl2br w:val="nil"/>
                    <w:tr2bl w:val="nil"/>
                  </w:tcBorders>
                  <w:noWrap w:val="0"/>
                  <w:tcMar>
                    <w:top w:w="0" w:type="dxa"/>
                    <w:left w:w="28" w:type="dxa"/>
                    <w:bottom w:w="0" w:type="dxa"/>
                    <w:right w:w="28" w:type="dxa"/>
                  </w:tcMar>
                  <w:vAlign w:val="center"/>
                </w:tcPr>
                <w:p w14:paraId="7BDA94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内径</w:t>
                  </w:r>
                  <w:r>
                    <w:rPr>
                      <w:rFonts w:ascii="Times New Roman" w:hAnsi="Times New Roman" w:eastAsia="宋体" w:cs="Times New Roman"/>
                      <w:b/>
                      <w:bCs/>
                      <w:color w:val="auto"/>
                      <w:kern w:val="0"/>
                      <w:sz w:val="21"/>
                      <w:szCs w:val="20"/>
                      <w:lang w:val="en-US" w:eastAsia="zh-CN" w:bidi="ar-SA"/>
                    </w:rPr>
                    <w:t>m</w:t>
                  </w:r>
                </w:p>
              </w:tc>
              <w:tc>
                <w:tcPr>
                  <w:tcW w:w="579" w:type="dxa"/>
                  <w:gridSpan w:val="2"/>
                  <w:tcBorders>
                    <w:tl2br w:val="nil"/>
                    <w:tr2bl w:val="nil"/>
                  </w:tcBorders>
                  <w:noWrap w:val="0"/>
                  <w:tcMar>
                    <w:top w:w="0" w:type="dxa"/>
                    <w:left w:w="28" w:type="dxa"/>
                    <w:bottom w:w="0" w:type="dxa"/>
                    <w:right w:w="28" w:type="dxa"/>
                  </w:tcMar>
                  <w:vAlign w:val="center"/>
                </w:tcPr>
                <w:p w14:paraId="05B5B8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温度</w:t>
                  </w:r>
                  <w:r>
                    <w:rPr>
                      <w:rFonts w:hint="default" w:ascii="Times New Roman" w:hAnsi="Times New Roman" w:eastAsia="宋体" w:cs="Times New Roman"/>
                      <w:b/>
                      <w:bCs/>
                      <w:color w:val="auto"/>
                      <w:kern w:val="0"/>
                      <w:sz w:val="21"/>
                      <w:szCs w:val="20"/>
                      <w:lang w:val="en-US" w:eastAsia="zh-CN" w:bidi="ar-SA"/>
                    </w:rPr>
                    <w:t>℃</w:t>
                  </w:r>
                </w:p>
              </w:tc>
            </w:tr>
            <w:tr w14:paraId="00DD4C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822" w:hRule="atLeast"/>
                <w:jc w:val="center"/>
              </w:trPr>
              <w:tc>
                <w:tcPr>
                  <w:tcW w:w="898" w:type="dxa"/>
                  <w:vMerge w:val="restart"/>
                  <w:tcBorders>
                    <w:tl2br w:val="nil"/>
                    <w:tr2bl w:val="nil"/>
                  </w:tcBorders>
                  <w:noWrap w:val="0"/>
                  <w:vAlign w:val="center"/>
                </w:tcPr>
                <w:p w14:paraId="7782D6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磨边</w:t>
                  </w:r>
                </w:p>
              </w:tc>
              <w:tc>
                <w:tcPr>
                  <w:tcW w:w="915" w:type="dxa"/>
                  <w:vMerge w:val="restart"/>
                  <w:tcBorders>
                    <w:tl2br w:val="nil"/>
                    <w:tr2bl w:val="nil"/>
                  </w:tcBorders>
                  <w:noWrap w:val="0"/>
                  <w:vAlign w:val="center"/>
                </w:tcPr>
                <w:p w14:paraId="264FA6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VOCs（非甲烷总烃）</w:t>
                  </w:r>
                </w:p>
              </w:tc>
              <w:tc>
                <w:tcPr>
                  <w:tcW w:w="870" w:type="dxa"/>
                  <w:vMerge w:val="restart"/>
                  <w:tcBorders>
                    <w:tl2br w:val="nil"/>
                    <w:tr2bl w:val="nil"/>
                  </w:tcBorders>
                  <w:noWrap w:val="0"/>
                  <w:vAlign w:val="center"/>
                </w:tcPr>
                <w:p w14:paraId="5B4033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0.0034</w:t>
                  </w:r>
                </w:p>
              </w:tc>
              <w:tc>
                <w:tcPr>
                  <w:tcW w:w="870" w:type="dxa"/>
                  <w:vMerge w:val="restart"/>
                  <w:tcBorders>
                    <w:tl2br w:val="nil"/>
                    <w:tr2bl w:val="nil"/>
                  </w:tcBorders>
                  <w:noWrap w:val="0"/>
                  <w:vAlign w:val="center"/>
                </w:tcPr>
                <w:p w14:paraId="259C7BF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0.0014</w:t>
                  </w:r>
                </w:p>
              </w:tc>
              <w:tc>
                <w:tcPr>
                  <w:tcW w:w="870" w:type="dxa"/>
                  <w:vMerge w:val="restart"/>
                  <w:tcBorders>
                    <w:tl2br w:val="nil"/>
                    <w:tr2bl w:val="nil"/>
                  </w:tcBorders>
                  <w:noWrap w:val="0"/>
                  <w:vAlign w:val="center"/>
                </w:tcPr>
                <w:p w14:paraId="79DCF4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设备密闭管道收集</w:t>
                  </w:r>
                </w:p>
              </w:tc>
              <w:tc>
                <w:tcPr>
                  <w:tcW w:w="585" w:type="dxa"/>
                  <w:vMerge w:val="restart"/>
                  <w:tcBorders>
                    <w:tl2br w:val="nil"/>
                    <w:tr2bl w:val="nil"/>
                  </w:tcBorders>
                  <w:noWrap w:val="0"/>
                  <w:vAlign w:val="center"/>
                </w:tcPr>
                <w:p w14:paraId="152BF03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90</w:t>
                  </w:r>
                </w:p>
              </w:tc>
              <w:tc>
                <w:tcPr>
                  <w:tcW w:w="885" w:type="dxa"/>
                  <w:vMerge w:val="restart"/>
                  <w:tcBorders>
                    <w:tl2br w:val="nil"/>
                    <w:tr2bl w:val="nil"/>
                  </w:tcBorders>
                  <w:noWrap w:val="0"/>
                  <w:vAlign w:val="center"/>
                </w:tcPr>
                <w:p w14:paraId="2C3E40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二级</w:t>
                  </w:r>
                  <w:r>
                    <w:rPr>
                      <w:rFonts w:hint="eastAsia" w:ascii="Times New Roman" w:hAnsi="Times New Roman" w:eastAsia="宋体" w:cs="Times New Roman"/>
                      <w:color w:val="auto"/>
                      <w:kern w:val="0"/>
                      <w:sz w:val="21"/>
                      <w:szCs w:val="20"/>
                      <w:lang w:val="en-US" w:eastAsia="zh-CN" w:bidi="ar-SA"/>
                    </w:rPr>
                    <w:t>活性炭吸附装置</w:t>
                  </w:r>
                </w:p>
              </w:tc>
              <w:tc>
                <w:tcPr>
                  <w:tcW w:w="630" w:type="dxa"/>
                  <w:vMerge w:val="restart"/>
                  <w:tcBorders>
                    <w:tl2br w:val="nil"/>
                    <w:tr2bl w:val="nil"/>
                  </w:tcBorders>
                  <w:noWrap w:val="0"/>
                  <w:vAlign w:val="center"/>
                </w:tcPr>
                <w:p w14:paraId="2BF1314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80</w:t>
                  </w:r>
                </w:p>
              </w:tc>
              <w:tc>
                <w:tcPr>
                  <w:tcW w:w="690" w:type="dxa"/>
                  <w:vMerge w:val="restart"/>
                  <w:tcBorders>
                    <w:tl2br w:val="nil"/>
                    <w:tr2bl w:val="nil"/>
                  </w:tcBorders>
                  <w:noWrap w:val="0"/>
                  <w:vAlign w:val="center"/>
                </w:tcPr>
                <w:p w14:paraId="479011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是</w:t>
                  </w:r>
                </w:p>
              </w:tc>
              <w:tc>
                <w:tcPr>
                  <w:tcW w:w="897" w:type="dxa"/>
                  <w:tcBorders>
                    <w:tl2br w:val="nil"/>
                    <w:tr2bl w:val="nil"/>
                  </w:tcBorders>
                  <w:noWrap w:val="0"/>
                  <w:vAlign w:val="center"/>
                </w:tcPr>
                <w:p w14:paraId="217898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有组织</w:t>
                  </w:r>
                </w:p>
              </w:tc>
              <w:tc>
                <w:tcPr>
                  <w:tcW w:w="865" w:type="dxa"/>
                  <w:tcBorders>
                    <w:tl2br w:val="nil"/>
                    <w:tr2bl w:val="nil"/>
                  </w:tcBorders>
                  <w:noWrap w:val="0"/>
                  <w:vAlign w:val="center"/>
                </w:tcPr>
                <w:p w14:paraId="70A343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0.0006</w:t>
                  </w:r>
                </w:p>
              </w:tc>
              <w:tc>
                <w:tcPr>
                  <w:tcW w:w="879" w:type="dxa"/>
                  <w:tcBorders>
                    <w:tl2br w:val="nil"/>
                    <w:tr2bl w:val="nil"/>
                  </w:tcBorders>
                  <w:noWrap w:val="0"/>
                  <w:tcMar>
                    <w:top w:w="0" w:type="dxa"/>
                    <w:left w:w="28" w:type="dxa"/>
                    <w:bottom w:w="0" w:type="dxa"/>
                    <w:right w:w="28" w:type="dxa"/>
                  </w:tcMar>
                  <w:vAlign w:val="center"/>
                </w:tcPr>
                <w:p w14:paraId="1E5803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0.0003</w:t>
                  </w:r>
                </w:p>
              </w:tc>
              <w:tc>
                <w:tcPr>
                  <w:tcW w:w="721" w:type="dxa"/>
                  <w:tcBorders>
                    <w:tl2br w:val="nil"/>
                    <w:tr2bl w:val="nil"/>
                  </w:tcBorders>
                  <w:noWrap w:val="0"/>
                  <w:tcMar>
                    <w:top w:w="0" w:type="dxa"/>
                    <w:left w:w="28" w:type="dxa"/>
                    <w:bottom w:w="0" w:type="dxa"/>
                    <w:right w:w="28" w:type="dxa"/>
                  </w:tcMar>
                  <w:vAlign w:val="center"/>
                </w:tcPr>
                <w:p w14:paraId="3DCEBA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10000</w:t>
                  </w:r>
                </w:p>
              </w:tc>
              <w:tc>
                <w:tcPr>
                  <w:tcW w:w="867" w:type="dxa"/>
                  <w:tcBorders>
                    <w:tl2br w:val="nil"/>
                    <w:tr2bl w:val="nil"/>
                  </w:tcBorders>
                  <w:noWrap w:val="0"/>
                  <w:tcMar>
                    <w:top w:w="0" w:type="dxa"/>
                    <w:left w:w="28" w:type="dxa"/>
                    <w:bottom w:w="0" w:type="dxa"/>
                    <w:right w:w="28" w:type="dxa"/>
                  </w:tcMar>
                  <w:vAlign w:val="center"/>
                </w:tcPr>
                <w:p w14:paraId="5693F92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0.03</w:t>
                  </w:r>
                </w:p>
              </w:tc>
              <w:tc>
                <w:tcPr>
                  <w:tcW w:w="692" w:type="dxa"/>
                  <w:vMerge w:val="restart"/>
                  <w:tcBorders>
                    <w:tl2br w:val="nil"/>
                    <w:tr2bl w:val="nil"/>
                  </w:tcBorders>
                  <w:noWrap w:val="0"/>
                  <w:tcMar>
                    <w:top w:w="0" w:type="dxa"/>
                    <w:left w:w="28" w:type="dxa"/>
                    <w:bottom w:w="0" w:type="dxa"/>
                    <w:right w:w="28" w:type="dxa"/>
                  </w:tcMar>
                  <w:vAlign w:val="center"/>
                </w:tcPr>
                <w:p w14:paraId="0AD6D95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2400</w:t>
                  </w:r>
                </w:p>
              </w:tc>
              <w:tc>
                <w:tcPr>
                  <w:tcW w:w="848" w:type="dxa"/>
                  <w:tcBorders>
                    <w:tl2br w:val="nil"/>
                    <w:tr2bl w:val="nil"/>
                  </w:tcBorders>
                  <w:noWrap w:val="0"/>
                  <w:tcMar>
                    <w:top w:w="0" w:type="dxa"/>
                    <w:left w:w="28" w:type="dxa"/>
                    <w:bottom w:w="0" w:type="dxa"/>
                    <w:right w:w="28" w:type="dxa"/>
                  </w:tcMar>
                  <w:vAlign w:val="center"/>
                </w:tcPr>
                <w:p w14:paraId="256DE66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DA00</w:t>
                  </w:r>
                  <w:r>
                    <w:rPr>
                      <w:rFonts w:hint="eastAsia" w:cs="Times New Roman"/>
                      <w:color w:val="auto"/>
                      <w:kern w:val="0"/>
                      <w:sz w:val="21"/>
                      <w:szCs w:val="20"/>
                      <w:lang w:val="en-US" w:eastAsia="zh-CN" w:bidi="ar-SA"/>
                    </w:rPr>
                    <w:t>1</w:t>
                  </w:r>
                </w:p>
              </w:tc>
              <w:tc>
                <w:tcPr>
                  <w:tcW w:w="504" w:type="dxa"/>
                  <w:gridSpan w:val="3"/>
                  <w:tcBorders>
                    <w:tl2br w:val="nil"/>
                    <w:tr2bl w:val="nil"/>
                  </w:tcBorders>
                  <w:noWrap w:val="0"/>
                  <w:tcMar>
                    <w:top w:w="0" w:type="dxa"/>
                    <w:left w:w="28" w:type="dxa"/>
                    <w:bottom w:w="0" w:type="dxa"/>
                    <w:right w:w="28" w:type="dxa"/>
                  </w:tcMar>
                  <w:vAlign w:val="center"/>
                </w:tcPr>
                <w:p w14:paraId="083EC6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25</w:t>
                  </w:r>
                </w:p>
              </w:tc>
              <w:tc>
                <w:tcPr>
                  <w:tcW w:w="548" w:type="dxa"/>
                  <w:tcBorders>
                    <w:tl2br w:val="nil"/>
                    <w:tr2bl w:val="nil"/>
                  </w:tcBorders>
                  <w:noWrap w:val="0"/>
                  <w:tcMar>
                    <w:top w:w="0" w:type="dxa"/>
                    <w:left w:w="28" w:type="dxa"/>
                    <w:bottom w:w="0" w:type="dxa"/>
                    <w:right w:w="28" w:type="dxa"/>
                  </w:tcMar>
                  <w:vAlign w:val="center"/>
                </w:tcPr>
                <w:p w14:paraId="79ED31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0.5</w:t>
                  </w:r>
                </w:p>
              </w:tc>
              <w:tc>
                <w:tcPr>
                  <w:tcW w:w="579" w:type="dxa"/>
                  <w:gridSpan w:val="2"/>
                  <w:tcBorders>
                    <w:tl2br w:val="nil"/>
                    <w:tr2bl w:val="nil"/>
                  </w:tcBorders>
                  <w:noWrap w:val="0"/>
                  <w:tcMar>
                    <w:top w:w="0" w:type="dxa"/>
                    <w:left w:w="28" w:type="dxa"/>
                    <w:bottom w:w="0" w:type="dxa"/>
                    <w:right w:w="28" w:type="dxa"/>
                  </w:tcMar>
                  <w:vAlign w:val="center"/>
                </w:tcPr>
                <w:p w14:paraId="782E16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25</w:t>
                  </w:r>
                </w:p>
              </w:tc>
            </w:tr>
            <w:tr w14:paraId="60D1C4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822" w:hRule="atLeast"/>
                <w:jc w:val="center"/>
              </w:trPr>
              <w:tc>
                <w:tcPr>
                  <w:tcW w:w="898" w:type="dxa"/>
                  <w:vMerge w:val="continue"/>
                  <w:tcBorders>
                    <w:tl2br w:val="nil"/>
                    <w:tr2bl w:val="nil"/>
                  </w:tcBorders>
                  <w:noWrap w:val="0"/>
                  <w:vAlign w:val="center"/>
                </w:tcPr>
                <w:p w14:paraId="0F7976D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915" w:type="dxa"/>
                  <w:vMerge w:val="continue"/>
                  <w:tcBorders>
                    <w:tl2br w:val="nil"/>
                    <w:tr2bl w:val="nil"/>
                  </w:tcBorders>
                  <w:noWrap w:val="0"/>
                  <w:vAlign w:val="center"/>
                </w:tcPr>
                <w:p w14:paraId="23ED44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06DCB4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6B4442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3FB07F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585" w:type="dxa"/>
                  <w:vMerge w:val="continue"/>
                  <w:tcBorders>
                    <w:tl2br w:val="nil"/>
                    <w:tr2bl w:val="nil"/>
                  </w:tcBorders>
                  <w:noWrap w:val="0"/>
                  <w:vAlign w:val="center"/>
                </w:tcPr>
                <w:p w14:paraId="0A6BAA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885" w:type="dxa"/>
                  <w:vMerge w:val="continue"/>
                  <w:tcBorders>
                    <w:tl2br w:val="nil"/>
                    <w:tr2bl w:val="nil"/>
                  </w:tcBorders>
                  <w:noWrap w:val="0"/>
                  <w:vAlign w:val="center"/>
                </w:tcPr>
                <w:p w14:paraId="74B0B6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630" w:type="dxa"/>
                  <w:vMerge w:val="continue"/>
                  <w:tcBorders>
                    <w:tl2br w:val="nil"/>
                    <w:tr2bl w:val="nil"/>
                  </w:tcBorders>
                  <w:noWrap w:val="0"/>
                  <w:vAlign w:val="center"/>
                </w:tcPr>
                <w:p w14:paraId="2C49DC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690" w:type="dxa"/>
                  <w:vMerge w:val="continue"/>
                  <w:tcBorders>
                    <w:tl2br w:val="nil"/>
                    <w:tr2bl w:val="nil"/>
                  </w:tcBorders>
                  <w:noWrap w:val="0"/>
                  <w:vAlign w:val="center"/>
                </w:tcPr>
                <w:p w14:paraId="5A92C4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897" w:type="dxa"/>
                  <w:tcBorders>
                    <w:tl2br w:val="nil"/>
                    <w:tr2bl w:val="nil"/>
                  </w:tcBorders>
                  <w:noWrap w:val="0"/>
                  <w:vAlign w:val="center"/>
                </w:tcPr>
                <w:p w14:paraId="5DCBD4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无组织</w:t>
                  </w:r>
                </w:p>
              </w:tc>
              <w:tc>
                <w:tcPr>
                  <w:tcW w:w="865" w:type="dxa"/>
                  <w:tcBorders>
                    <w:tl2br w:val="nil"/>
                    <w:tr2bl w:val="nil"/>
                  </w:tcBorders>
                  <w:noWrap w:val="0"/>
                  <w:vAlign w:val="center"/>
                </w:tcPr>
                <w:p w14:paraId="034F87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0.0003</w:t>
                  </w:r>
                </w:p>
              </w:tc>
              <w:tc>
                <w:tcPr>
                  <w:tcW w:w="879" w:type="dxa"/>
                  <w:tcBorders>
                    <w:tl2br w:val="nil"/>
                    <w:tr2bl w:val="nil"/>
                  </w:tcBorders>
                  <w:noWrap w:val="0"/>
                  <w:tcMar>
                    <w:top w:w="0" w:type="dxa"/>
                    <w:left w:w="28" w:type="dxa"/>
                    <w:bottom w:w="0" w:type="dxa"/>
                    <w:right w:w="28" w:type="dxa"/>
                  </w:tcMar>
                  <w:vAlign w:val="center"/>
                </w:tcPr>
                <w:p w14:paraId="239E56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0.0001</w:t>
                  </w:r>
                </w:p>
              </w:tc>
              <w:tc>
                <w:tcPr>
                  <w:tcW w:w="721" w:type="dxa"/>
                  <w:tcBorders>
                    <w:tl2br w:val="nil"/>
                    <w:tr2bl w:val="nil"/>
                  </w:tcBorders>
                  <w:noWrap w:val="0"/>
                  <w:tcMar>
                    <w:top w:w="0" w:type="dxa"/>
                    <w:left w:w="28" w:type="dxa"/>
                    <w:bottom w:w="0" w:type="dxa"/>
                    <w:right w:w="28" w:type="dxa"/>
                  </w:tcMar>
                  <w:vAlign w:val="center"/>
                </w:tcPr>
                <w:p w14:paraId="166F8C2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w:t>
                  </w:r>
                </w:p>
              </w:tc>
              <w:tc>
                <w:tcPr>
                  <w:tcW w:w="867" w:type="dxa"/>
                  <w:tcBorders>
                    <w:tl2br w:val="nil"/>
                    <w:tr2bl w:val="nil"/>
                  </w:tcBorders>
                  <w:noWrap w:val="0"/>
                  <w:tcMar>
                    <w:top w:w="0" w:type="dxa"/>
                    <w:left w:w="28" w:type="dxa"/>
                    <w:bottom w:w="0" w:type="dxa"/>
                    <w:right w:w="28" w:type="dxa"/>
                  </w:tcMar>
                  <w:vAlign w:val="center"/>
                </w:tcPr>
                <w:p w14:paraId="36B0C90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w:t>
                  </w:r>
                </w:p>
              </w:tc>
              <w:tc>
                <w:tcPr>
                  <w:tcW w:w="692" w:type="dxa"/>
                  <w:vMerge w:val="continue"/>
                  <w:tcBorders>
                    <w:tl2br w:val="nil"/>
                    <w:tr2bl w:val="nil"/>
                  </w:tcBorders>
                  <w:noWrap w:val="0"/>
                  <w:tcMar>
                    <w:top w:w="0" w:type="dxa"/>
                    <w:left w:w="28" w:type="dxa"/>
                    <w:bottom w:w="0" w:type="dxa"/>
                    <w:right w:w="28" w:type="dxa"/>
                  </w:tcMar>
                  <w:vAlign w:val="center"/>
                </w:tcPr>
                <w:p w14:paraId="735378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2479" w:type="dxa"/>
                  <w:gridSpan w:val="7"/>
                  <w:tcBorders>
                    <w:tl2br w:val="nil"/>
                    <w:tr2bl w:val="nil"/>
                  </w:tcBorders>
                  <w:noWrap w:val="0"/>
                  <w:tcMar>
                    <w:top w:w="0" w:type="dxa"/>
                    <w:left w:w="28" w:type="dxa"/>
                    <w:bottom w:w="0" w:type="dxa"/>
                    <w:right w:w="28" w:type="dxa"/>
                  </w:tcMar>
                  <w:vAlign w:val="center"/>
                </w:tcPr>
                <w:p w14:paraId="191E37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w:t>
                  </w:r>
                </w:p>
              </w:tc>
            </w:tr>
            <w:tr w14:paraId="619F65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822" w:hRule="atLeast"/>
                <w:jc w:val="center"/>
              </w:trPr>
              <w:tc>
                <w:tcPr>
                  <w:tcW w:w="898" w:type="dxa"/>
                  <w:vMerge w:val="restart"/>
                  <w:tcBorders>
                    <w:tl2br w:val="nil"/>
                    <w:tr2bl w:val="nil"/>
                  </w:tcBorders>
                  <w:noWrap w:val="0"/>
                  <w:vAlign w:val="center"/>
                </w:tcPr>
                <w:p w14:paraId="482798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擦拭检测</w:t>
                  </w:r>
                </w:p>
              </w:tc>
              <w:tc>
                <w:tcPr>
                  <w:tcW w:w="915" w:type="dxa"/>
                  <w:vMerge w:val="restart"/>
                  <w:tcBorders>
                    <w:tl2br w:val="nil"/>
                    <w:tr2bl w:val="nil"/>
                  </w:tcBorders>
                  <w:noWrap w:val="0"/>
                  <w:vAlign w:val="center"/>
                </w:tcPr>
                <w:p w14:paraId="5A55B5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VOCs、乙醇、乙醚、丙酮（以非甲烷总烃计）</w:t>
                  </w:r>
                </w:p>
              </w:tc>
              <w:tc>
                <w:tcPr>
                  <w:tcW w:w="870" w:type="dxa"/>
                  <w:vMerge w:val="restart"/>
                  <w:tcBorders>
                    <w:tl2br w:val="nil"/>
                    <w:tr2bl w:val="nil"/>
                  </w:tcBorders>
                  <w:noWrap w:val="0"/>
                  <w:vAlign w:val="center"/>
                </w:tcPr>
                <w:p w14:paraId="23B1F6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1.08</w:t>
                  </w:r>
                </w:p>
              </w:tc>
              <w:tc>
                <w:tcPr>
                  <w:tcW w:w="870" w:type="dxa"/>
                  <w:vMerge w:val="restart"/>
                  <w:tcBorders>
                    <w:tl2br w:val="nil"/>
                    <w:tr2bl w:val="nil"/>
                  </w:tcBorders>
                  <w:noWrap w:val="0"/>
                  <w:vAlign w:val="center"/>
                </w:tcPr>
                <w:p w14:paraId="4CEBD2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0.45</w:t>
                  </w:r>
                </w:p>
              </w:tc>
              <w:tc>
                <w:tcPr>
                  <w:tcW w:w="870" w:type="dxa"/>
                  <w:vMerge w:val="restart"/>
                  <w:tcBorders>
                    <w:tl2br w:val="nil"/>
                    <w:tr2bl w:val="nil"/>
                  </w:tcBorders>
                  <w:noWrap w:val="0"/>
                  <w:vAlign w:val="center"/>
                </w:tcPr>
                <w:p w14:paraId="57E176F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车间密闭无尘，负压收集</w:t>
                  </w:r>
                </w:p>
              </w:tc>
              <w:tc>
                <w:tcPr>
                  <w:tcW w:w="585" w:type="dxa"/>
                  <w:vMerge w:val="restart"/>
                  <w:tcBorders>
                    <w:tl2br w:val="nil"/>
                    <w:tr2bl w:val="nil"/>
                  </w:tcBorders>
                  <w:noWrap w:val="0"/>
                  <w:vAlign w:val="center"/>
                </w:tcPr>
                <w:p w14:paraId="218E46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90</w:t>
                  </w:r>
                </w:p>
              </w:tc>
              <w:tc>
                <w:tcPr>
                  <w:tcW w:w="885" w:type="dxa"/>
                  <w:vMerge w:val="restart"/>
                  <w:tcBorders>
                    <w:tl2br w:val="nil"/>
                    <w:tr2bl w:val="nil"/>
                  </w:tcBorders>
                  <w:noWrap w:val="0"/>
                  <w:vAlign w:val="center"/>
                </w:tcPr>
                <w:p w14:paraId="4528BA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二级</w:t>
                  </w:r>
                  <w:r>
                    <w:rPr>
                      <w:rFonts w:hint="eastAsia" w:ascii="Times New Roman" w:hAnsi="Times New Roman" w:eastAsia="宋体" w:cs="Times New Roman"/>
                      <w:color w:val="auto"/>
                      <w:kern w:val="0"/>
                      <w:sz w:val="21"/>
                      <w:szCs w:val="20"/>
                      <w:lang w:val="en-US" w:eastAsia="zh-CN" w:bidi="ar-SA"/>
                    </w:rPr>
                    <w:t>活性炭吸附装置</w:t>
                  </w:r>
                </w:p>
              </w:tc>
              <w:tc>
                <w:tcPr>
                  <w:tcW w:w="630" w:type="dxa"/>
                  <w:vMerge w:val="restart"/>
                  <w:tcBorders>
                    <w:tl2br w:val="nil"/>
                    <w:tr2bl w:val="nil"/>
                  </w:tcBorders>
                  <w:noWrap w:val="0"/>
                  <w:vAlign w:val="center"/>
                </w:tcPr>
                <w:p w14:paraId="4C9A5DB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80</w:t>
                  </w:r>
                </w:p>
              </w:tc>
              <w:tc>
                <w:tcPr>
                  <w:tcW w:w="690" w:type="dxa"/>
                  <w:vMerge w:val="restart"/>
                  <w:tcBorders>
                    <w:tl2br w:val="nil"/>
                    <w:tr2bl w:val="nil"/>
                  </w:tcBorders>
                  <w:noWrap w:val="0"/>
                  <w:vAlign w:val="center"/>
                </w:tcPr>
                <w:p w14:paraId="52616A7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是</w:t>
                  </w:r>
                </w:p>
              </w:tc>
              <w:tc>
                <w:tcPr>
                  <w:tcW w:w="897" w:type="dxa"/>
                  <w:tcBorders>
                    <w:tl2br w:val="nil"/>
                    <w:tr2bl w:val="nil"/>
                  </w:tcBorders>
                  <w:noWrap w:val="0"/>
                  <w:vAlign w:val="center"/>
                </w:tcPr>
                <w:p w14:paraId="5394011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有组织</w:t>
                  </w:r>
                </w:p>
              </w:tc>
              <w:tc>
                <w:tcPr>
                  <w:tcW w:w="865" w:type="dxa"/>
                  <w:tcBorders>
                    <w:tl2br w:val="nil"/>
                    <w:tr2bl w:val="nil"/>
                  </w:tcBorders>
                  <w:noWrap w:val="0"/>
                  <w:vAlign w:val="center"/>
                </w:tcPr>
                <w:p w14:paraId="75BF10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0.1944</w:t>
                  </w:r>
                </w:p>
              </w:tc>
              <w:tc>
                <w:tcPr>
                  <w:tcW w:w="879" w:type="dxa"/>
                  <w:tcBorders>
                    <w:tl2br w:val="nil"/>
                    <w:tr2bl w:val="nil"/>
                  </w:tcBorders>
                  <w:noWrap w:val="0"/>
                  <w:tcMar>
                    <w:top w:w="0" w:type="dxa"/>
                    <w:left w:w="28" w:type="dxa"/>
                    <w:bottom w:w="0" w:type="dxa"/>
                    <w:right w:w="28" w:type="dxa"/>
                  </w:tcMar>
                  <w:vAlign w:val="center"/>
                </w:tcPr>
                <w:p w14:paraId="5ABA1D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0.081</w:t>
                  </w:r>
                </w:p>
              </w:tc>
              <w:tc>
                <w:tcPr>
                  <w:tcW w:w="721" w:type="dxa"/>
                  <w:tcBorders>
                    <w:tl2br w:val="nil"/>
                    <w:tr2bl w:val="nil"/>
                  </w:tcBorders>
                  <w:noWrap w:val="0"/>
                  <w:tcMar>
                    <w:top w:w="0" w:type="dxa"/>
                    <w:left w:w="28" w:type="dxa"/>
                    <w:bottom w:w="0" w:type="dxa"/>
                    <w:right w:w="28" w:type="dxa"/>
                  </w:tcMar>
                  <w:vAlign w:val="center"/>
                </w:tcPr>
                <w:p w14:paraId="3BC95C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10000</w:t>
                  </w:r>
                </w:p>
              </w:tc>
              <w:tc>
                <w:tcPr>
                  <w:tcW w:w="867" w:type="dxa"/>
                  <w:tcBorders>
                    <w:tl2br w:val="nil"/>
                    <w:tr2bl w:val="nil"/>
                  </w:tcBorders>
                  <w:noWrap w:val="0"/>
                  <w:tcMar>
                    <w:top w:w="0" w:type="dxa"/>
                    <w:left w:w="28" w:type="dxa"/>
                    <w:bottom w:w="0" w:type="dxa"/>
                    <w:right w:w="28" w:type="dxa"/>
                  </w:tcMar>
                  <w:vAlign w:val="center"/>
                </w:tcPr>
                <w:p w14:paraId="57080B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8.10</w:t>
                  </w:r>
                </w:p>
              </w:tc>
              <w:tc>
                <w:tcPr>
                  <w:tcW w:w="692" w:type="dxa"/>
                  <w:vMerge w:val="restart"/>
                  <w:tcBorders>
                    <w:tl2br w:val="nil"/>
                    <w:tr2bl w:val="nil"/>
                  </w:tcBorders>
                  <w:noWrap w:val="0"/>
                  <w:tcMar>
                    <w:top w:w="0" w:type="dxa"/>
                    <w:left w:w="28" w:type="dxa"/>
                    <w:bottom w:w="0" w:type="dxa"/>
                    <w:right w:w="28" w:type="dxa"/>
                  </w:tcMar>
                  <w:vAlign w:val="center"/>
                </w:tcPr>
                <w:p w14:paraId="468BEB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2400</w:t>
                  </w:r>
                </w:p>
              </w:tc>
              <w:tc>
                <w:tcPr>
                  <w:tcW w:w="854" w:type="dxa"/>
                  <w:gridSpan w:val="2"/>
                  <w:tcBorders>
                    <w:tl2br w:val="nil"/>
                    <w:tr2bl w:val="nil"/>
                  </w:tcBorders>
                  <w:noWrap w:val="0"/>
                  <w:tcMar>
                    <w:top w:w="0" w:type="dxa"/>
                    <w:left w:w="28" w:type="dxa"/>
                    <w:bottom w:w="0" w:type="dxa"/>
                    <w:right w:w="28" w:type="dxa"/>
                  </w:tcMar>
                  <w:vAlign w:val="center"/>
                </w:tcPr>
                <w:p w14:paraId="2CFBF9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DA00</w:t>
                  </w:r>
                  <w:r>
                    <w:rPr>
                      <w:rFonts w:hint="eastAsia" w:cs="Times New Roman"/>
                      <w:color w:val="auto"/>
                      <w:kern w:val="0"/>
                      <w:sz w:val="21"/>
                      <w:szCs w:val="20"/>
                      <w:lang w:val="en-US" w:eastAsia="zh-CN" w:bidi="ar-SA"/>
                    </w:rPr>
                    <w:t>1</w:t>
                  </w:r>
                </w:p>
              </w:tc>
              <w:tc>
                <w:tcPr>
                  <w:tcW w:w="495" w:type="dxa"/>
                  <w:tcBorders>
                    <w:tl2br w:val="nil"/>
                    <w:tr2bl w:val="nil"/>
                  </w:tcBorders>
                  <w:noWrap w:val="0"/>
                  <w:tcMar>
                    <w:top w:w="0" w:type="dxa"/>
                    <w:left w:w="28" w:type="dxa"/>
                    <w:bottom w:w="0" w:type="dxa"/>
                    <w:right w:w="28" w:type="dxa"/>
                  </w:tcMar>
                  <w:vAlign w:val="center"/>
                </w:tcPr>
                <w:p w14:paraId="12A0B0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25</w:t>
                  </w:r>
                </w:p>
              </w:tc>
              <w:tc>
                <w:tcPr>
                  <w:tcW w:w="555" w:type="dxa"/>
                  <w:gridSpan w:val="3"/>
                  <w:tcBorders>
                    <w:tl2br w:val="nil"/>
                    <w:tr2bl w:val="nil"/>
                  </w:tcBorders>
                  <w:noWrap w:val="0"/>
                  <w:tcMar>
                    <w:top w:w="0" w:type="dxa"/>
                    <w:left w:w="28" w:type="dxa"/>
                    <w:bottom w:w="0" w:type="dxa"/>
                    <w:right w:w="28" w:type="dxa"/>
                  </w:tcMar>
                  <w:vAlign w:val="center"/>
                </w:tcPr>
                <w:p w14:paraId="0DC7A24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0.5</w:t>
                  </w:r>
                </w:p>
              </w:tc>
              <w:tc>
                <w:tcPr>
                  <w:tcW w:w="575" w:type="dxa"/>
                  <w:tcBorders>
                    <w:tl2br w:val="nil"/>
                    <w:tr2bl w:val="nil"/>
                  </w:tcBorders>
                  <w:noWrap w:val="0"/>
                  <w:tcMar>
                    <w:top w:w="0" w:type="dxa"/>
                    <w:left w:w="28" w:type="dxa"/>
                    <w:bottom w:w="0" w:type="dxa"/>
                    <w:right w:w="28" w:type="dxa"/>
                  </w:tcMar>
                  <w:vAlign w:val="center"/>
                </w:tcPr>
                <w:p w14:paraId="04BDE3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25</w:t>
                  </w:r>
                </w:p>
              </w:tc>
            </w:tr>
            <w:tr w14:paraId="4AA461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822" w:hRule="atLeast"/>
                <w:jc w:val="center"/>
              </w:trPr>
              <w:tc>
                <w:tcPr>
                  <w:tcW w:w="898" w:type="dxa"/>
                  <w:vMerge w:val="continue"/>
                  <w:tcBorders>
                    <w:tl2br w:val="nil"/>
                    <w:tr2bl w:val="nil"/>
                  </w:tcBorders>
                  <w:noWrap w:val="0"/>
                  <w:vAlign w:val="center"/>
                </w:tcPr>
                <w:p w14:paraId="4DD63D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915" w:type="dxa"/>
                  <w:vMerge w:val="continue"/>
                  <w:tcBorders>
                    <w:tl2br w:val="nil"/>
                    <w:tr2bl w:val="nil"/>
                  </w:tcBorders>
                  <w:noWrap w:val="0"/>
                  <w:vAlign w:val="center"/>
                </w:tcPr>
                <w:p w14:paraId="287BF1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72B245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4E45E8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2A7830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585" w:type="dxa"/>
                  <w:vMerge w:val="continue"/>
                  <w:tcBorders>
                    <w:tl2br w:val="nil"/>
                    <w:tr2bl w:val="nil"/>
                  </w:tcBorders>
                  <w:noWrap w:val="0"/>
                  <w:vAlign w:val="center"/>
                </w:tcPr>
                <w:p w14:paraId="2588E1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885" w:type="dxa"/>
                  <w:vMerge w:val="continue"/>
                  <w:tcBorders>
                    <w:tl2br w:val="nil"/>
                    <w:tr2bl w:val="nil"/>
                  </w:tcBorders>
                  <w:noWrap w:val="0"/>
                  <w:vAlign w:val="center"/>
                </w:tcPr>
                <w:p w14:paraId="15F8E8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630" w:type="dxa"/>
                  <w:vMerge w:val="continue"/>
                  <w:tcBorders>
                    <w:tl2br w:val="nil"/>
                    <w:tr2bl w:val="nil"/>
                  </w:tcBorders>
                  <w:noWrap w:val="0"/>
                  <w:vAlign w:val="center"/>
                </w:tcPr>
                <w:p w14:paraId="78C82D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690" w:type="dxa"/>
                  <w:vMerge w:val="continue"/>
                  <w:tcBorders>
                    <w:tl2br w:val="nil"/>
                    <w:tr2bl w:val="nil"/>
                  </w:tcBorders>
                  <w:noWrap w:val="0"/>
                  <w:vAlign w:val="center"/>
                </w:tcPr>
                <w:p w14:paraId="7ACB30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897" w:type="dxa"/>
                  <w:tcBorders>
                    <w:tl2br w:val="nil"/>
                    <w:tr2bl w:val="nil"/>
                  </w:tcBorders>
                  <w:noWrap w:val="0"/>
                  <w:vAlign w:val="center"/>
                </w:tcPr>
                <w:p w14:paraId="5BB02B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无组织</w:t>
                  </w:r>
                </w:p>
              </w:tc>
              <w:tc>
                <w:tcPr>
                  <w:tcW w:w="865" w:type="dxa"/>
                  <w:tcBorders>
                    <w:tl2br w:val="nil"/>
                    <w:tr2bl w:val="nil"/>
                  </w:tcBorders>
                  <w:noWrap w:val="0"/>
                  <w:vAlign w:val="center"/>
                </w:tcPr>
                <w:p w14:paraId="27B8EBA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0.108</w:t>
                  </w:r>
                </w:p>
              </w:tc>
              <w:tc>
                <w:tcPr>
                  <w:tcW w:w="879" w:type="dxa"/>
                  <w:tcBorders>
                    <w:tl2br w:val="nil"/>
                    <w:tr2bl w:val="nil"/>
                  </w:tcBorders>
                  <w:noWrap w:val="0"/>
                  <w:tcMar>
                    <w:top w:w="0" w:type="dxa"/>
                    <w:left w:w="28" w:type="dxa"/>
                    <w:bottom w:w="0" w:type="dxa"/>
                    <w:right w:w="28" w:type="dxa"/>
                  </w:tcMar>
                  <w:vAlign w:val="center"/>
                </w:tcPr>
                <w:p w14:paraId="01AC0A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0.045</w:t>
                  </w:r>
                </w:p>
              </w:tc>
              <w:tc>
                <w:tcPr>
                  <w:tcW w:w="721" w:type="dxa"/>
                  <w:tcBorders>
                    <w:tl2br w:val="nil"/>
                    <w:tr2bl w:val="nil"/>
                  </w:tcBorders>
                  <w:noWrap w:val="0"/>
                  <w:tcMar>
                    <w:top w:w="0" w:type="dxa"/>
                    <w:left w:w="28" w:type="dxa"/>
                    <w:bottom w:w="0" w:type="dxa"/>
                    <w:right w:w="28" w:type="dxa"/>
                  </w:tcMar>
                  <w:vAlign w:val="center"/>
                </w:tcPr>
                <w:p w14:paraId="6ED8D8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w:t>
                  </w:r>
                </w:p>
              </w:tc>
              <w:tc>
                <w:tcPr>
                  <w:tcW w:w="867" w:type="dxa"/>
                  <w:tcBorders>
                    <w:tl2br w:val="nil"/>
                    <w:tr2bl w:val="nil"/>
                  </w:tcBorders>
                  <w:noWrap w:val="0"/>
                  <w:tcMar>
                    <w:top w:w="0" w:type="dxa"/>
                    <w:left w:w="28" w:type="dxa"/>
                    <w:bottom w:w="0" w:type="dxa"/>
                    <w:right w:w="28" w:type="dxa"/>
                  </w:tcMar>
                  <w:vAlign w:val="center"/>
                </w:tcPr>
                <w:p w14:paraId="491E8E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w:t>
                  </w:r>
                </w:p>
              </w:tc>
              <w:tc>
                <w:tcPr>
                  <w:tcW w:w="692" w:type="dxa"/>
                  <w:vMerge w:val="continue"/>
                  <w:tcBorders>
                    <w:tl2br w:val="nil"/>
                    <w:tr2bl w:val="nil"/>
                  </w:tcBorders>
                  <w:noWrap w:val="0"/>
                  <w:tcMar>
                    <w:top w:w="0" w:type="dxa"/>
                    <w:left w:w="28" w:type="dxa"/>
                    <w:bottom w:w="0" w:type="dxa"/>
                    <w:right w:w="28" w:type="dxa"/>
                  </w:tcMar>
                  <w:vAlign w:val="center"/>
                </w:tcPr>
                <w:p w14:paraId="302137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2479" w:type="dxa"/>
                  <w:gridSpan w:val="7"/>
                  <w:tcBorders>
                    <w:tl2br w:val="nil"/>
                    <w:tr2bl w:val="nil"/>
                  </w:tcBorders>
                  <w:noWrap w:val="0"/>
                  <w:tcMar>
                    <w:top w:w="0" w:type="dxa"/>
                    <w:left w:w="28" w:type="dxa"/>
                    <w:bottom w:w="0" w:type="dxa"/>
                    <w:right w:w="28" w:type="dxa"/>
                  </w:tcMar>
                  <w:vAlign w:val="center"/>
                </w:tcPr>
                <w:p w14:paraId="673D8D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w:t>
                  </w:r>
                </w:p>
              </w:tc>
            </w:tr>
            <w:tr w14:paraId="2E96A1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822" w:hRule="atLeast"/>
                <w:jc w:val="center"/>
              </w:trPr>
              <w:tc>
                <w:tcPr>
                  <w:tcW w:w="898" w:type="dxa"/>
                  <w:vMerge w:val="restart"/>
                  <w:tcBorders>
                    <w:tl2br w:val="nil"/>
                    <w:tr2bl w:val="nil"/>
                  </w:tcBorders>
                  <w:noWrap w:val="0"/>
                  <w:vAlign w:val="center"/>
                </w:tcPr>
                <w:p w14:paraId="037246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超声波清洗</w:t>
                  </w:r>
                </w:p>
              </w:tc>
              <w:tc>
                <w:tcPr>
                  <w:tcW w:w="915" w:type="dxa"/>
                  <w:vMerge w:val="restart"/>
                  <w:tcBorders>
                    <w:tl2br w:val="nil"/>
                    <w:tr2bl w:val="nil"/>
                  </w:tcBorders>
                  <w:noWrap w:val="0"/>
                  <w:vAlign w:val="center"/>
                </w:tcPr>
                <w:p w14:paraId="2AA7FD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VOCs（非甲烷总烃）</w:t>
                  </w:r>
                </w:p>
              </w:tc>
              <w:tc>
                <w:tcPr>
                  <w:tcW w:w="870" w:type="dxa"/>
                  <w:vMerge w:val="restart"/>
                  <w:tcBorders>
                    <w:tl2br w:val="nil"/>
                    <w:tr2bl w:val="nil"/>
                  </w:tcBorders>
                  <w:noWrap w:val="0"/>
                  <w:vAlign w:val="center"/>
                </w:tcPr>
                <w:p w14:paraId="4D311D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0.2924</w:t>
                  </w:r>
                </w:p>
              </w:tc>
              <w:tc>
                <w:tcPr>
                  <w:tcW w:w="870" w:type="dxa"/>
                  <w:vMerge w:val="restart"/>
                  <w:tcBorders>
                    <w:tl2br w:val="nil"/>
                    <w:tr2bl w:val="nil"/>
                  </w:tcBorders>
                  <w:noWrap w:val="0"/>
                  <w:vAlign w:val="center"/>
                </w:tcPr>
                <w:p w14:paraId="3C057C8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0.1218</w:t>
                  </w:r>
                </w:p>
              </w:tc>
              <w:tc>
                <w:tcPr>
                  <w:tcW w:w="870" w:type="dxa"/>
                  <w:vMerge w:val="restart"/>
                  <w:tcBorders>
                    <w:tl2br w:val="nil"/>
                    <w:tr2bl w:val="nil"/>
                  </w:tcBorders>
                  <w:noWrap w:val="0"/>
                  <w:vAlign w:val="center"/>
                </w:tcPr>
                <w:p w14:paraId="7D5FA1B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车间密闭无尘，负压收集</w:t>
                  </w:r>
                </w:p>
              </w:tc>
              <w:tc>
                <w:tcPr>
                  <w:tcW w:w="585" w:type="dxa"/>
                  <w:vMerge w:val="restart"/>
                  <w:tcBorders>
                    <w:tl2br w:val="nil"/>
                    <w:tr2bl w:val="nil"/>
                  </w:tcBorders>
                  <w:noWrap w:val="0"/>
                  <w:vAlign w:val="center"/>
                </w:tcPr>
                <w:p w14:paraId="642F84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90</w:t>
                  </w:r>
                </w:p>
              </w:tc>
              <w:tc>
                <w:tcPr>
                  <w:tcW w:w="885" w:type="dxa"/>
                  <w:vMerge w:val="restart"/>
                  <w:tcBorders>
                    <w:tl2br w:val="nil"/>
                    <w:tr2bl w:val="nil"/>
                  </w:tcBorders>
                  <w:noWrap w:val="0"/>
                  <w:vAlign w:val="center"/>
                </w:tcPr>
                <w:p w14:paraId="381C2A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二级</w:t>
                  </w:r>
                  <w:r>
                    <w:rPr>
                      <w:rFonts w:hint="eastAsia" w:ascii="Times New Roman" w:hAnsi="Times New Roman" w:eastAsia="宋体" w:cs="Times New Roman"/>
                      <w:color w:val="auto"/>
                      <w:kern w:val="0"/>
                      <w:sz w:val="21"/>
                      <w:szCs w:val="20"/>
                      <w:lang w:val="en-US" w:eastAsia="zh-CN" w:bidi="ar-SA"/>
                    </w:rPr>
                    <w:t>活性炭吸附装置</w:t>
                  </w:r>
                </w:p>
              </w:tc>
              <w:tc>
                <w:tcPr>
                  <w:tcW w:w="630" w:type="dxa"/>
                  <w:vMerge w:val="restart"/>
                  <w:tcBorders>
                    <w:tl2br w:val="nil"/>
                    <w:tr2bl w:val="nil"/>
                  </w:tcBorders>
                  <w:noWrap w:val="0"/>
                  <w:vAlign w:val="center"/>
                </w:tcPr>
                <w:p w14:paraId="7E6950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80</w:t>
                  </w:r>
                </w:p>
              </w:tc>
              <w:tc>
                <w:tcPr>
                  <w:tcW w:w="690" w:type="dxa"/>
                  <w:vMerge w:val="restart"/>
                  <w:tcBorders>
                    <w:tl2br w:val="nil"/>
                    <w:tr2bl w:val="nil"/>
                  </w:tcBorders>
                  <w:noWrap w:val="0"/>
                  <w:vAlign w:val="center"/>
                </w:tcPr>
                <w:p w14:paraId="1CE64E5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是</w:t>
                  </w:r>
                </w:p>
              </w:tc>
              <w:tc>
                <w:tcPr>
                  <w:tcW w:w="897" w:type="dxa"/>
                  <w:tcBorders>
                    <w:tl2br w:val="nil"/>
                    <w:tr2bl w:val="nil"/>
                  </w:tcBorders>
                  <w:noWrap w:val="0"/>
                  <w:vAlign w:val="center"/>
                </w:tcPr>
                <w:p w14:paraId="775C7D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有组织</w:t>
                  </w:r>
                </w:p>
              </w:tc>
              <w:tc>
                <w:tcPr>
                  <w:tcW w:w="865" w:type="dxa"/>
                  <w:tcBorders>
                    <w:tl2br w:val="nil"/>
                    <w:tr2bl w:val="nil"/>
                  </w:tcBorders>
                  <w:noWrap w:val="0"/>
                  <w:vAlign w:val="center"/>
                </w:tcPr>
                <w:p w14:paraId="59D29D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0.0526</w:t>
                  </w:r>
                </w:p>
              </w:tc>
              <w:tc>
                <w:tcPr>
                  <w:tcW w:w="879" w:type="dxa"/>
                  <w:tcBorders>
                    <w:tl2br w:val="nil"/>
                    <w:tr2bl w:val="nil"/>
                  </w:tcBorders>
                  <w:noWrap w:val="0"/>
                  <w:tcMar>
                    <w:top w:w="0" w:type="dxa"/>
                    <w:left w:w="28" w:type="dxa"/>
                    <w:bottom w:w="0" w:type="dxa"/>
                    <w:right w:w="28" w:type="dxa"/>
                  </w:tcMar>
                  <w:vAlign w:val="center"/>
                </w:tcPr>
                <w:p w14:paraId="0D4EB0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0.0219</w:t>
                  </w:r>
                </w:p>
              </w:tc>
              <w:tc>
                <w:tcPr>
                  <w:tcW w:w="721" w:type="dxa"/>
                  <w:tcBorders>
                    <w:tl2br w:val="nil"/>
                    <w:tr2bl w:val="nil"/>
                  </w:tcBorders>
                  <w:noWrap w:val="0"/>
                  <w:tcMar>
                    <w:top w:w="0" w:type="dxa"/>
                    <w:left w:w="28" w:type="dxa"/>
                    <w:bottom w:w="0" w:type="dxa"/>
                    <w:right w:w="28" w:type="dxa"/>
                  </w:tcMar>
                  <w:vAlign w:val="center"/>
                </w:tcPr>
                <w:p w14:paraId="16E8AB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10000</w:t>
                  </w:r>
                </w:p>
              </w:tc>
              <w:tc>
                <w:tcPr>
                  <w:tcW w:w="867" w:type="dxa"/>
                  <w:tcBorders>
                    <w:tl2br w:val="nil"/>
                    <w:tr2bl w:val="nil"/>
                  </w:tcBorders>
                  <w:noWrap w:val="0"/>
                  <w:tcMar>
                    <w:top w:w="0" w:type="dxa"/>
                    <w:left w:w="28" w:type="dxa"/>
                    <w:bottom w:w="0" w:type="dxa"/>
                    <w:right w:w="28" w:type="dxa"/>
                  </w:tcMar>
                  <w:vAlign w:val="center"/>
                </w:tcPr>
                <w:p w14:paraId="1EDDE7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2.19</w:t>
                  </w:r>
                </w:p>
              </w:tc>
              <w:tc>
                <w:tcPr>
                  <w:tcW w:w="692" w:type="dxa"/>
                  <w:vMerge w:val="restart"/>
                  <w:tcBorders>
                    <w:tl2br w:val="nil"/>
                    <w:tr2bl w:val="nil"/>
                  </w:tcBorders>
                  <w:noWrap w:val="0"/>
                  <w:tcMar>
                    <w:top w:w="0" w:type="dxa"/>
                    <w:left w:w="28" w:type="dxa"/>
                    <w:bottom w:w="0" w:type="dxa"/>
                    <w:right w:w="28" w:type="dxa"/>
                  </w:tcMar>
                  <w:vAlign w:val="center"/>
                </w:tcPr>
                <w:p w14:paraId="172FF8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2400</w:t>
                  </w:r>
                </w:p>
              </w:tc>
              <w:tc>
                <w:tcPr>
                  <w:tcW w:w="854" w:type="dxa"/>
                  <w:gridSpan w:val="2"/>
                  <w:tcBorders>
                    <w:tl2br w:val="nil"/>
                    <w:tr2bl w:val="nil"/>
                  </w:tcBorders>
                  <w:noWrap w:val="0"/>
                  <w:tcMar>
                    <w:top w:w="0" w:type="dxa"/>
                    <w:left w:w="28" w:type="dxa"/>
                    <w:bottom w:w="0" w:type="dxa"/>
                    <w:right w:w="28" w:type="dxa"/>
                  </w:tcMar>
                  <w:vAlign w:val="center"/>
                </w:tcPr>
                <w:p w14:paraId="558583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DA00</w:t>
                  </w:r>
                  <w:r>
                    <w:rPr>
                      <w:rFonts w:hint="eastAsia" w:cs="Times New Roman"/>
                      <w:color w:val="auto"/>
                      <w:kern w:val="0"/>
                      <w:sz w:val="21"/>
                      <w:szCs w:val="20"/>
                      <w:lang w:val="en-US" w:eastAsia="zh-CN" w:bidi="ar-SA"/>
                    </w:rPr>
                    <w:t>1</w:t>
                  </w:r>
                </w:p>
              </w:tc>
              <w:tc>
                <w:tcPr>
                  <w:tcW w:w="495" w:type="dxa"/>
                  <w:tcBorders>
                    <w:tl2br w:val="nil"/>
                    <w:tr2bl w:val="nil"/>
                  </w:tcBorders>
                  <w:noWrap w:val="0"/>
                  <w:tcMar>
                    <w:top w:w="0" w:type="dxa"/>
                    <w:left w:w="28" w:type="dxa"/>
                    <w:bottom w:w="0" w:type="dxa"/>
                    <w:right w:w="28" w:type="dxa"/>
                  </w:tcMar>
                  <w:vAlign w:val="center"/>
                </w:tcPr>
                <w:p w14:paraId="2A832A3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25</w:t>
                  </w:r>
                </w:p>
              </w:tc>
              <w:tc>
                <w:tcPr>
                  <w:tcW w:w="555" w:type="dxa"/>
                  <w:gridSpan w:val="3"/>
                  <w:tcBorders>
                    <w:tl2br w:val="nil"/>
                    <w:tr2bl w:val="nil"/>
                  </w:tcBorders>
                  <w:noWrap w:val="0"/>
                  <w:tcMar>
                    <w:top w:w="0" w:type="dxa"/>
                    <w:left w:w="28" w:type="dxa"/>
                    <w:bottom w:w="0" w:type="dxa"/>
                    <w:right w:w="28" w:type="dxa"/>
                  </w:tcMar>
                  <w:vAlign w:val="center"/>
                </w:tcPr>
                <w:p w14:paraId="29C2302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0.5</w:t>
                  </w:r>
                </w:p>
              </w:tc>
              <w:tc>
                <w:tcPr>
                  <w:tcW w:w="575" w:type="dxa"/>
                  <w:tcBorders>
                    <w:tl2br w:val="nil"/>
                    <w:tr2bl w:val="nil"/>
                  </w:tcBorders>
                  <w:noWrap w:val="0"/>
                  <w:tcMar>
                    <w:top w:w="0" w:type="dxa"/>
                    <w:left w:w="28" w:type="dxa"/>
                    <w:bottom w:w="0" w:type="dxa"/>
                    <w:right w:w="28" w:type="dxa"/>
                  </w:tcMar>
                  <w:vAlign w:val="center"/>
                </w:tcPr>
                <w:p w14:paraId="4C3628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25</w:t>
                  </w:r>
                </w:p>
              </w:tc>
            </w:tr>
            <w:tr w14:paraId="45D581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822" w:hRule="atLeast"/>
                <w:jc w:val="center"/>
              </w:trPr>
              <w:tc>
                <w:tcPr>
                  <w:tcW w:w="898" w:type="dxa"/>
                  <w:vMerge w:val="continue"/>
                  <w:tcBorders>
                    <w:tl2br w:val="nil"/>
                    <w:tr2bl w:val="nil"/>
                  </w:tcBorders>
                  <w:noWrap w:val="0"/>
                  <w:vAlign w:val="center"/>
                </w:tcPr>
                <w:p w14:paraId="07ED32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915" w:type="dxa"/>
                  <w:vMerge w:val="continue"/>
                  <w:tcBorders>
                    <w:tl2br w:val="nil"/>
                    <w:tr2bl w:val="nil"/>
                  </w:tcBorders>
                  <w:noWrap w:val="0"/>
                  <w:vAlign w:val="center"/>
                </w:tcPr>
                <w:p w14:paraId="6F38D60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7238ECC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06EAC0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66285DC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585" w:type="dxa"/>
                  <w:vMerge w:val="continue"/>
                  <w:tcBorders>
                    <w:tl2br w:val="nil"/>
                    <w:tr2bl w:val="nil"/>
                  </w:tcBorders>
                  <w:noWrap w:val="0"/>
                  <w:vAlign w:val="center"/>
                </w:tcPr>
                <w:p w14:paraId="1567C5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85" w:type="dxa"/>
                  <w:vMerge w:val="continue"/>
                  <w:tcBorders>
                    <w:tl2br w:val="nil"/>
                    <w:tr2bl w:val="nil"/>
                  </w:tcBorders>
                  <w:noWrap w:val="0"/>
                  <w:vAlign w:val="center"/>
                </w:tcPr>
                <w:p w14:paraId="79EA8B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630" w:type="dxa"/>
                  <w:vMerge w:val="continue"/>
                  <w:tcBorders>
                    <w:tl2br w:val="nil"/>
                    <w:tr2bl w:val="nil"/>
                  </w:tcBorders>
                  <w:noWrap w:val="0"/>
                  <w:vAlign w:val="center"/>
                </w:tcPr>
                <w:p w14:paraId="3EDB22E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690" w:type="dxa"/>
                  <w:vMerge w:val="continue"/>
                  <w:tcBorders>
                    <w:tl2br w:val="nil"/>
                    <w:tr2bl w:val="nil"/>
                  </w:tcBorders>
                  <w:noWrap w:val="0"/>
                  <w:vAlign w:val="center"/>
                </w:tcPr>
                <w:p w14:paraId="260E36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97" w:type="dxa"/>
                  <w:tcBorders>
                    <w:tl2br w:val="nil"/>
                    <w:tr2bl w:val="nil"/>
                  </w:tcBorders>
                  <w:noWrap w:val="0"/>
                  <w:vAlign w:val="center"/>
                </w:tcPr>
                <w:p w14:paraId="7174E5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无组织</w:t>
                  </w:r>
                </w:p>
              </w:tc>
              <w:tc>
                <w:tcPr>
                  <w:tcW w:w="865" w:type="dxa"/>
                  <w:tcBorders>
                    <w:tl2br w:val="nil"/>
                    <w:tr2bl w:val="nil"/>
                  </w:tcBorders>
                  <w:noWrap w:val="0"/>
                  <w:vAlign w:val="center"/>
                </w:tcPr>
                <w:p w14:paraId="7305426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0.0292</w:t>
                  </w:r>
                </w:p>
              </w:tc>
              <w:tc>
                <w:tcPr>
                  <w:tcW w:w="879" w:type="dxa"/>
                  <w:tcBorders>
                    <w:tl2br w:val="nil"/>
                    <w:tr2bl w:val="nil"/>
                  </w:tcBorders>
                  <w:noWrap w:val="0"/>
                  <w:tcMar>
                    <w:top w:w="0" w:type="dxa"/>
                    <w:left w:w="28" w:type="dxa"/>
                    <w:bottom w:w="0" w:type="dxa"/>
                    <w:right w:w="28" w:type="dxa"/>
                  </w:tcMar>
                  <w:vAlign w:val="center"/>
                </w:tcPr>
                <w:p w14:paraId="133C8A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0.0122</w:t>
                  </w:r>
                </w:p>
              </w:tc>
              <w:tc>
                <w:tcPr>
                  <w:tcW w:w="721" w:type="dxa"/>
                  <w:tcBorders>
                    <w:tl2br w:val="nil"/>
                    <w:tr2bl w:val="nil"/>
                  </w:tcBorders>
                  <w:noWrap w:val="0"/>
                  <w:tcMar>
                    <w:top w:w="0" w:type="dxa"/>
                    <w:left w:w="28" w:type="dxa"/>
                    <w:bottom w:w="0" w:type="dxa"/>
                    <w:right w:w="28" w:type="dxa"/>
                  </w:tcMar>
                  <w:vAlign w:val="center"/>
                </w:tcPr>
                <w:p w14:paraId="6464E7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w:t>
                  </w:r>
                </w:p>
              </w:tc>
              <w:tc>
                <w:tcPr>
                  <w:tcW w:w="867" w:type="dxa"/>
                  <w:tcBorders>
                    <w:tl2br w:val="nil"/>
                    <w:tr2bl w:val="nil"/>
                  </w:tcBorders>
                  <w:noWrap w:val="0"/>
                  <w:tcMar>
                    <w:top w:w="0" w:type="dxa"/>
                    <w:left w:w="28" w:type="dxa"/>
                    <w:bottom w:w="0" w:type="dxa"/>
                    <w:right w:w="28" w:type="dxa"/>
                  </w:tcMar>
                  <w:vAlign w:val="center"/>
                </w:tcPr>
                <w:p w14:paraId="0AFE72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w:t>
                  </w:r>
                </w:p>
              </w:tc>
              <w:tc>
                <w:tcPr>
                  <w:tcW w:w="692" w:type="dxa"/>
                  <w:vMerge w:val="continue"/>
                  <w:tcBorders>
                    <w:tl2br w:val="nil"/>
                    <w:tr2bl w:val="nil"/>
                  </w:tcBorders>
                  <w:noWrap w:val="0"/>
                  <w:tcMar>
                    <w:top w:w="0" w:type="dxa"/>
                    <w:left w:w="28" w:type="dxa"/>
                    <w:bottom w:w="0" w:type="dxa"/>
                    <w:right w:w="28" w:type="dxa"/>
                  </w:tcMar>
                  <w:vAlign w:val="center"/>
                </w:tcPr>
                <w:p w14:paraId="6A6EBB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2479" w:type="dxa"/>
                  <w:gridSpan w:val="7"/>
                  <w:tcBorders>
                    <w:tl2br w:val="nil"/>
                    <w:tr2bl w:val="nil"/>
                  </w:tcBorders>
                  <w:noWrap w:val="0"/>
                  <w:tcMar>
                    <w:top w:w="0" w:type="dxa"/>
                    <w:left w:w="28" w:type="dxa"/>
                    <w:bottom w:w="0" w:type="dxa"/>
                    <w:right w:w="28" w:type="dxa"/>
                  </w:tcMar>
                  <w:vAlign w:val="center"/>
                </w:tcPr>
                <w:p w14:paraId="422DA7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w:t>
                  </w:r>
                </w:p>
              </w:tc>
            </w:tr>
            <w:tr w14:paraId="5514DC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10" w:hRule="atLeast"/>
                <w:jc w:val="center"/>
              </w:trPr>
              <w:tc>
                <w:tcPr>
                  <w:tcW w:w="898" w:type="dxa"/>
                  <w:vMerge w:val="restart"/>
                  <w:tcBorders>
                    <w:tl2br w:val="nil"/>
                    <w:tr2bl w:val="nil"/>
                  </w:tcBorders>
                  <w:noWrap w:val="0"/>
                  <w:vAlign w:val="center"/>
                </w:tcPr>
                <w:p w14:paraId="2EDD16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915" w:type="dxa"/>
                  <w:vMerge w:val="restart"/>
                  <w:tcBorders>
                    <w:tl2br w:val="nil"/>
                    <w:tr2bl w:val="nil"/>
                  </w:tcBorders>
                  <w:noWrap w:val="0"/>
                  <w:vAlign w:val="center"/>
                </w:tcPr>
                <w:p w14:paraId="25D5F4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VOCs、乙醇、乙醚、丙酮（以非甲烷总烃计）</w:t>
                  </w:r>
                </w:p>
              </w:tc>
              <w:tc>
                <w:tcPr>
                  <w:tcW w:w="870" w:type="dxa"/>
                  <w:vMerge w:val="restart"/>
                  <w:tcBorders>
                    <w:tl2br w:val="nil"/>
                    <w:tr2bl w:val="nil"/>
                  </w:tcBorders>
                  <w:noWrap w:val="0"/>
                  <w:vAlign w:val="center"/>
                </w:tcPr>
                <w:p w14:paraId="1AF4EA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1.3758</w:t>
                  </w:r>
                </w:p>
              </w:tc>
              <w:tc>
                <w:tcPr>
                  <w:tcW w:w="870" w:type="dxa"/>
                  <w:vMerge w:val="restart"/>
                  <w:tcBorders>
                    <w:tl2br w:val="nil"/>
                    <w:tr2bl w:val="nil"/>
                  </w:tcBorders>
                  <w:noWrap w:val="0"/>
                  <w:vAlign w:val="center"/>
                </w:tcPr>
                <w:p w14:paraId="63E994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870" w:type="dxa"/>
                  <w:vMerge w:val="restart"/>
                  <w:tcBorders>
                    <w:tl2br w:val="nil"/>
                    <w:tr2bl w:val="nil"/>
                  </w:tcBorders>
                  <w:noWrap w:val="0"/>
                  <w:vAlign w:val="center"/>
                </w:tcPr>
                <w:p w14:paraId="1952BFA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585" w:type="dxa"/>
                  <w:vMerge w:val="restart"/>
                  <w:tcBorders>
                    <w:tl2br w:val="nil"/>
                    <w:tr2bl w:val="nil"/>
                  </w:tcBorders>
                  <w:noWrap w:val="0"/>
                  <w:vAlign w:val="center"/>
                </w:tcPr>
                <w:p w14:paraId="513EE0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885" w:type="dxa"/>
                  <w:vMerge w:val="restart"/>
                  <w:tcBorders>
                    <w:tl2br w:val="nil"/>
                    <w:tr2bl w:val="nil"/>
                  </w:tcBorders>
                  <w:noWrap w:val="0"/>
                  <w:vAlign w:val="center"/>
                </w:tcPr>
                <w:p w14:paraId="32727CA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630" w:type="dxa"/>
                  <w:vMerge w:val="restart"/>
                  <w:tcBorders>
                    <w:tl2br w:val="nil"/>
                    <w:tr2bl w:val="nil"/>
                  </w:tcBorders>
                  <w:noWrap w:val="0"/>
                  <w:vAlign w:val="center"/>
                </w:tcPr>
                <w:p w14:paraId="731DB6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690" w:type="dxa"/>
                  <w:vMerge w:val="restart"/>
                  <w:tcBorders>
                    <w:tl2br w:val="nil"/>
                    <w:tr2bl w:val="nil"/>
                  </w:tcBorders>
                  <w:noWrap w:val="0"/>
                  <w:vAlign w:val="center"/>
                </w:tcPr>
                <w:p w14:paraId="5A40E1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897" w:type="dxa"/>
                  <w:tcBorders>
                    <w:tl2br w:val="nil"/>
                    <w:tr2bl w:val="nil"/>
                  </w:tcBorders>
                  <w:noWrap w:val="0"/>
                  <w:vAlign w:val="center"/>
                </w:tcPr>
                <w:p w14:paraId="129056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有组织</w:t>
                  </w:r>
                </w:p>
              </w:tc>
              <w:tc>
                <w:tcPr>
                  <w:tcW w:w="865" w:type="dxa"/>
                  <w:tcBorders>
                    <w:tl2br w:val="nil"/>
                    <w:tr2bl w:val="nil"/>
                  </w:tcBorders>
                  <w:noWrap w:val="0"/>
                  <w:vAlign w:val="center"/>
                </w:tcPr>
                <w:p w14:paraId="2D55A3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0"/>
                      <w:lang w:val="en-US" w:eastAsia="zh-CN" w:bidi="ar-SA"/>
                    </w:rPr>
                  </w:pPr>
                  <w:r>
                    <w:rPr>
                      <w:rFonts w:hint="eastAsia" w:cs="Times New Roman"/>
                      <w:color w:val="auto"/>
                      <w:kern w:val="0"/>
                      <w:sz w:val="21"/>
                      <w:szCs w:val="20"/>
                      <w:lang w:val="en-US" w:eastAsia="zh-CN" w:bidi="ar-SA"/>
                    </w:rPr>
                    <w:t>0.2476</w:t>
                  </w:r>
                </w:p>
              </w:tc>
              <w:tc>
                <w:tcPr>
                  <w:tcW w:w="879" w:type="dxa"/>
                  <w:vMerge w:val="restart"/>
                  <w:tcBorders>
                    <w:tl2br w:val="nil"/>
                    <w:tr2bl w:val="nil"/>
                  </w:tcBorders>
                  <w:noWrap w:val="0"/>
                  <w:tcMar>
                    <w:top w:w="0" w:type="dxa"/>
                    <w:left w:w="28" w:type="dxa"/>
                    <w:bottom w:w="0" w:type="dxa"/>
                    <w:right w:w="28" w:type="dxa"/>
                  </w:tcMar>
                  <w:vAlign w:val="center"/>
                </w:tcPr>
                <w:p w14:paraId="598278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721" w:type="dxa"/>
                  <w:vMerge w:val="restart"/>
                  <w:tcBorders>
                    <w:tl2br w:val="nil"/>
                    <w:tr2bl w:val="nil"/>
                  </w:tcBorders>
                  <w:noWrap w:val="0"/>
                  <w:tcMar>
                    <w:top w:w="0" w:type="dxa"/>
                    <w:left w:w="28" w:type="dxa"/>
                    <w:bottom w:w="0" w:type="dxa"/>
                    <w:right w:w="28" w:type="dxa"/>
                  </w:tcMar>
                  <w:vAlign w:val="center"/>
                </w:tcPr>
                <w:p w14:paraId="6FE399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867" w:type="dxa"/>
                  <w:vMerge w:val="restart"/>
                  <w:tcBorders>
                    <w:tl2br w:val="nil"/>
                    <w:tr2bl w:val="nil"/>
                  </w:tcBorders>
                  <w:noWrap w:val="0"/>
                  <w:tcMar>
                    <w:top w:w="0" w:type="dxa"/>
                    <w:left w:w="28" w:type="dxa"/>
                    <w:bottom w:w="0" w:type="dxa"/>
                    <w:right w:w="28" w:type="dxa"/>
                  </w:tcMar>
                  <w:vAlign w:val="center"/>
                </w:tcPr>
                <w:p w14:paraId="5E8812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692" w:type="dxa"/>
                  <w:vMerge w:val="restart"/>
                  <w:tcBorders>
                    <w:tl2br w:val="nil"/>
                    <w:tr2bl w:val="nil"/>
                  </w:tcBorders>
                  <w:noWrap w:val="0"/>
                  <w:tcMar>
                    <w:top w:w="0" w:type="dxa"/>
                    <w:left w:w="28" w:type="dxa"/>
                    <w:bottom w:w="0" w:type="dxa"/>
                    <w:right w:w="28" w:type="dxa"/>
                  </w:tcMar>
                  <w:vAlign w:val="center"/>
                </w:tcPr>
                <w:p w14:paraId="5BA9A3B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2400</w:t>
                  </w:r>
                </w:p>
              </w:tc>
              <w:tc>
                <w:tcPr>
                  <w:tcW w:w="2479" w:type="dxa"/>
                  <w:gridSpan w:val="7"/>
                  <w:vMerge w:val="restart"/>
                  <w:tcBorders>
                    <w:tl2br w:val="nil"/>
                    <w:tr2bl w:val="nil"/>
                  </w:tcBorders>
                  <w:noWrap w:val="0"/>
                  <w:tcMar>
                    <w:top w:w="0" w:type="dxa"/>
                    <w:left w:w="28" w:type="dxa"/>
                    <w:bottom w:w="0" w:type="dxa"/>
                    <w:right w:w="28" w:type="dxa"/>
                  </w:tcMar>
                  <w:vAlign w:val="center"/>
                </w:tcPr>
                <w:p w14:paraId="776B8B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r>
            <w:tr w14:paraId="6A528D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504" w:hRule="atLeast"/>
                <w:jc w:val="center"/>
              </w:trPr>
              <w:tc>
                <w:tcPr>
                  <w:tcW w:w="898" w:type="dxa"/>
                  <w:vMerge w:val="continue"/>
                  <w:tcBorders>
                    <w:tl2br w:val="nil"/>
                    <w:tr2bl w:val="nil"/>
                  </w:tcBorders>
                  <w:noWrap w:val="0"/>
                  <w:vAlign w:val="center"/>
                </w:tcPr>
                <w:p w14:paraId="595728A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915" w:type="dxa"/>
                  <w:vMerge w:val="continue"/>
                  <w:tcBorders>
                    <w:tl2br w:val="nil"/>
                    <w:tr2bl w:val="nil"/>
                  </w:tcBorders>
                  <w:noWrap w:val="0"/>
                  <w:vAlign w:val="center"/>
                </w:tcPr>
                <w:p w14:paraId="296D68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342ED2C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5A63B2F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3F2ECA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585" w:type="dxa"/>
                  <w:vMerge w:val="continue"/>
                  <w:tcBorders>
                    <w:tl2br w:val="nil"/>
                    <w:tr2bl w:val="nil"/>
                  </w:tcBorders>
                  <w:noWrap w:val="0"/>
                  <w:vAlign w:val="center"/>
                </w:tcPr>
                <w:p w14:paraId="1BA965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85" w:type="dxa"/>
                  <w:vMerge w:val="continue"/>
                  <w:tcBorders>
                    <w:tl2br w:val="nil"/>
                    <w:tr2bl w:val="nil"/>
                  </w:tcBorders>
                  <w:noWrap w:val="0"/>
                  <w:vAlign w:val="center"/>
                </w:tcPr>
                <w:p w14:paraId="281AE6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630" w:type="dxa"/>
                  <w:vMerge w:val="continue"/>
                  <w:tcBorders>
                    <w:tl2br w:val="nil"/>
                    <w:tr2bl w:val="nil"/>
                  </w:tcBorders>
                  <w:noWrap w:val="0"/>
                  <w:vAlign w:val="center"/>
                </w:tcPr>
                <w:p w14:paraId="5B5211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690" w:type="dxa"/>
                  <w:vMerge w:val="continue"/>
                  <w:tcBorders>
                    <w:tl2br w:val="nil"/>
                    <w:tr2bl w:val="nil"/>
                  </w:tcBorders>
                  <w:noWrap w:val="0"/>
                  <w:vAlign w:val="center"/>
                </w:tcPr>
                <w:p w14:paraId="74F46D2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97" w:type="dxa"/>
                  <w:tcBorders>
                    <w:tl2br w:val="nil"/>
                    <w:tr2bl w:val="nil"/>
                  </w:tcBorders>
                  <w:noWrap w:val="0"/>
                  <w:vAlign w:val="center"/>
                </w:tcPr>
                <w:p w14:paraId="0C45FA5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无组织</w:t>
                  </w:r>
                </w:p>
              </w:tc>
              <w:tc>
                <w:tcPr>
                  <w:tcW w:w="865" w:type="dxa"/>
                  <w:tcBorders>
                    <w:tl2br w:val="nil"/>
                    <w:tr2bl w:val="nil"/>
                  </w:tcBorders>
                  <w:noWrap w:val="0"/>
                  <w:vAlign w:val="center"/>
                </w:tcPr>
                <w:p w14:paraId="1B786D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0"/>
                      <w:lang w:val="en-US" w:eastAsia="zh-CN" w:bidi="ar-SA"/>
                    </w:rPr>
                  </w:pPr>
                  <w:r>
                    <w:rPr>
                      <w:rFonts w:hint="eastAsia" w:cs="Times New Roman"/>
                      <w:color w:val="auto"/>
                      <w:kern w:val="0"/>
                      <w:sz w:val="21"/>
                      <w:szCs w:val="20"/>
                      <w:lang w:val="en-US" w:eastAsia="zh-CN" w:bidi="ar-SA"/>
                    </w:rPr>
                    <w:t>0.1376</w:t>
                  </w:r>
                </w:p>
              </w:tc>
              <w:tc>
                <w:tcPr>
                  <w:tcW w:w="879" w:type="dxa"/>
                  <w:vMerge w:val="continue"/>
                  <w:tcBorders>
                    <w:tl2br w:val="nil"/>
                    <w:tr2bl w:val="nil"/>
                  </w:tcBorders>
                  <w:noWrap w:val="0"/>
                  <w:tcMar>
                    <w:top w:w="0" w:type="dxa"/>
                    <w:left w:w="28" w:type="dxa"/>
                    <w:bottom w:w="0" w:type="dxa"/>
                    <w:right w:w="28" w:type="dxa"/>
                  </w:tcMar>
                  <w:vAlign w:val="center"/>
                </w:tcPr>
                <w:p w14:paraId="18E531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721" w:type="dxa"/>
                  <w:vMerge w:val="continue"/>
                  <w:tcBorders>
                    <w:tl2br w:val="nil"/>
                    <w:tr2bl w:val="nil"/>
                  </w:tcBorders>
                  <w:noWrap w:val="0"/>
                  <w:tcMar>
                    <w:top w:w="0" w:type="dxa"/>
                    <w:left w:w="28" w:type="dxa"/>
                    <w:bottom w:w="0" w:type="dxa"/>
                    <w:right w:w="28" w:type="dxa"/>
                  </w:tcMar>
                  <w:vAlign w:val="center"/>
                </w:tcPr>
                <w:p w14:paraId="2EB4EB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867" w:type="dxa"/>
                  <w:vMerge w:val="continue"/>
                  <w:tcBorders>
                    <w:tl2br w:val="nil"/>
                    <w:tr2bl w:val="nil"/>
                  </w:tcBorders>
                  <w:noWrap w:val="0"/>
                  <w:tcMar>
                    <w:top w:w="0" w:type="dxa"/>
                    <w:left w:w="28" w:type="dxa"/>
                    <w:bottom w:w="0" w:type="dxa"/>
                    <w:right w:w="28" w:type="dxa"/>
                  </w:tcMar>
                  <w:vAlign w:val="center"/>
                </w:tcPr>
                <w:p w14:paraId="6D7325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692" w:type="dxa"/>
                  <w:vMerge w:val="continue"/>
                  <w:tcBorders>
                    <w:tl2br w:val="nil"/>
                    <w:tr2bl w:val="nil"/>
                  </w:tcBorders>
                  <w:noWrap w:val="0"/>
                  <w:tcMar>
                    <w:top w:w="0" w:type="dxa"/>
                    <w:left w:w="28" w:type="dxa"/>
                    <w:bottom w:w="0" w:type="dxa"/>
                    <w:right w:w="28" w:type="dxa"/>
                  </w:tcMar>
                  <w:vAlign w:val="center"/>
                </w:tcPr>
                <w:p w14:paraId="79BFA5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2479" w:type="dxa"/>
                  <w:gridSpan w:val="7"/>
                  <w:vMerge w:val="continue"/>
                  <w:tcBorders>
                    <w:tl2br w:val="nil"/>
                    <w:tr2bl w:val="nil"/>
                  </w:tcBorders>
                  <w:noWrap w:val="0"/>
                  <w:tcMar>
                    <w:top w:w="0" w:type="dxa"/>
                    <w:left w:w="28" w:type="dxa"/>
                    <w:bottom w:w="0" w:type="dxa"/>
                    <w:right w:w="28" w:type="dxa"/>
                  </w:tcMar>
                  <w:vAlign w:val="center"/>
                </w:tcPr>
                <w:p w14:paraId="3FFB6E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r>
            <w:tr w14:paraId="523BB7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61" w:hRule="atLeast"/>
                <w:jc w:val="center"/>
              </w:trPr>
              <w:tc>
                <w:tcPr>
                  <w:tcW w:w="898" w:type="dxa"/>
                  <w:vMerge w:val="continue"/>
                  <w:tcBorders>
                    <w:tl2br w:val="nil"/>
                    <w:tr2bl w:val="nil"/>
                  </w:tcBorders>
                  <w:noWrap w:val="0"/>
                  <w:vAlign w:val="center"/>
                </w:tcPr>
                <w:p w14:paraId="3D1395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915" w:type="dxa"/>
                  <w:vMerge w:val="continue"/>
                  <w:tcBorders>
                    <w:tl2br w:val="nil"/>
                    <w:tr2bl w:val="nil"/>
                  </w:tcBorders>
                  <w:noWrap w:val="0"/>
                  <w:vAlign w:val="center"/>
                </w:tcPr>
                <w:p w14:paraId="44906C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67DE48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178A0E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70" w:type="dxa"/>
                  <w:vMerge w:val="continue"/>
                  <w:tcBorders>
                    <w:tl2br w:val="nil"/>
                    <w:tr2bl w:val="nil"/>
                  </w:tcBorders>
                  <w:noWrap w:val="0"/>
                  <w:vAlign w:val="center"/>
                </w:tcPr>
                <w:p w14:paraId="4C312B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585" w:type="dxa"/>
                  <w:vMerge w:val="continue"/>
                  <w:tcBorders>
                    <w:tl2br w:val="nil"/>
                    <w:tr2bl w:val="nil"/>
                  </w:tcBorders>
                  <w:noWrap w:val="0"/>
                  <w:vAlign w:val="center"/>
                </w:tcPr>
                <w:p w14:paraId="7BE37D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85" w:type="dxa"/>
                  <w:vMerge w:val="continue"/>
                  <w:tcBorders>
                    <w:tl2br w:val="nil"/>
                    <w:tr2bl w:val="nil"/>
                  </w:tcBorders>
                  <w:noWrap w:val="0"/>
                  <w:vAlign w:val="center"/>
                </w:tcPr>
                <w:p w14:paraId="4284AEA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630" w:type="dxa"/>
                  <w:vMerge w:val="continue"/>
                  <w:tcBorders>
                    <w:tl2br w:val="nil"/>
                    <w:tr2bl w:val="nil"/>
                  </w:tcBorders>
                  <w:noWrap w:val="0"/>
                  <w:vAlign w:val="center"/>
                </w:tcPr>
                <w:p w14:paraId="692A94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690" w:type="dxa"/>
                  <w:vMerge w:val="continue"/>
                  <w:tcBorders>
                    <w:tl2br w:val="nil"/>
                    <w:tr2bl w:val="nil"/>
                  </w:tcBorders>
                  <w:noWrap w:val="0"/>
                  <w:vAlign w:val="center"/>
                </w:tcPr>
                <w:p w14:paraId="7499B0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auto"/>
                      <w:kern w:val="0"/>
                      <w:sz w:val="21"/>
                      <w:szCs w:val="20"/>
                      <w:lang w:val="en-US" w:eastAsia="zh-CN" w:bidi="ar-SA"/>
                    </w:rPr>
                  </w:pPr>
                </w:p>
              </w:tc>
              <w:tc>
                <w:tcPr>
                  <w:tcW w:w="897" w:type="dxa"/>
                  <w:tcBorders>
                    <w:tl2br w:val="nil"/>
                    <w:tr2bl w:val="nil"/>
                  </w:tcBorders>
                  <w:noWrap w:val="0"/>
                  <w:vAlign w:val="center"/>
                </w:tcPr>
                <w:p w14:paraId="05CC70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合计</w:t>
                  </w:r>
                </w:p>
              </w:tc>
              <w:tc>
                <w:tcPr>
                  <w:tcW w:w="865" w:type="dxa"/>
                  <w:tcBorders>
                    <w:tl2br w:val="nil"/>
                    <w:tr2bl w:val="nil"/>
                  </w:tcBorders>
                  <w:noWrap w:val="0"/>
                  <w:vAlign w:val="center"/>
                </w:tcPr>
                <w:p w14:paraId="315159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0"/>
                      <w:lang w:val="en-US" w:eastAsia="zh-CN" w:bidi="ar-SA"/>
                    </w:rPr>
                  </w:pPr>
                  <w:r>
                    <w:rPr>
                      <w:rFonts w:hint="eastAsia" w:cs="Times New Roman"/>
                      <w:color w:val="auto"/>
                      <w:kern w:val="0"/>
                      <w:sz w:val="21"/>
                      <w:szCs w:val="20"/>
                      <w:lang w:val="en-US" w:eastAsia="zh-CN" w:bidi="ar-SA"/>
                    </w:rPr>
                    <w:t>0.3852</w:t>
                  </w:r>
                </w:p>
              </w:tc>
              <w:tc>
                <w:tcPr>
                  <w:tcW w:w="879" w:type="dxa"/>
                  <w:vMerge w:val="continue"/>
                  <w:tcBorders>
                    <w:tl2br w:val="nil"/>
                    <w:tr2bl w:val="nil"/>
                  </w:tcBorders>
                  <w:noWrap w:val="0"/>
                  <w:tcMar>
                    <w:top w:w="0" w:type="dxa"/>
                    <w:left w:w="28" w:type="dxa"/>
                    <w:bottom w:w="0" w:type="dxa"/>
                    <w:right w:w="28" w:type="dxa"/>
                  </w:tcMar>
                  <w:vAlign w:val="center"/>
                </w:tcPr>
                <w:p w14:paraId="7EEF1E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721" w:type="dxa"/>
                  <w:vMerge w:val="continue"/>
                  <w:tcBorders>
                    <w:tl2br w:val="nil"/>
                    <w:tr2bl w:val="nil"/>
                  </w:tcBorders>
                  <w:noWrap w:val="0"/>
                  <w:tcMar>
                    <w:top w:w="0" w:type="dxa"/>
                    <w:left w:w="28" w:type="dxa"/>
                    <w:bottom w:w="0" w:type="dxa"/>
                    <w:right w:w="28" w:type="dxa"/>
                  </w:tcMar>
                  <w:vAlign w:val="center"/>
                </w:tcPr>
                <w:p w14:paraId="5B4AE4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867" w:type="dxa"/>
                  <w:vMerge w:val="continue"/>
                  <w:tcBorders>
                    <w:tl2br w:val="nil"/>
                    <w:tr2bl w:val="nil"/>
                  </w:tcBorders>
                  <w:noWrap w:val="0"/>
                  <w:tcMar>
                    <w:top w:w="0" w:type="dxa"/>
                    <w:left w:w="28" w:type="dxa"/>
                    <w:bottom w:w="0" w:type="dxa"/>
                    <w:right w:w="28" w:type="dxa"/>
                  </w:tcMar>
                  <w:vAlign w:val="center"/>
                </w:tcPr>
                <w:p w14:paraId="5039C0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692" w:type="dxa"/>
                  <w:vMerge w:val="continue"/>
                  <w:tcBorders>
                    <w:tl2br w:val="nil"/>
                    <w:tr2bl w:val="nil"/>
                  </w:tcBorders>
                  <w:noWrap w:val="0"/>
                  <w:tcMar>
                    <w:top w:w="0" w:type="dxa"/>
                    <w:left w:w="28" w:type="dxa"/>
                    <w:bottom w:w="0" w:type="dxa"/>
                    <w:right w:w="28" w:type="dxa"/>
                  </w:tcMar>
                  <w:vAlign w:val="center"/>
                </w:tcPr>
                <w:p w14:paraId="11F4C4D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c>
                <w:tcPr>
                  <w:tcW w:w="2479" w:type="dxa"/>
                  <w:gridSpan w:val="7"/>
                  <w:vMerge w:val="continue"/>
                  <w:tcBorders>
                    <w:tl2br w:val="nil"/>
                    <w:tr2bl w:val="nil"/>
                  </w:tcBorders>
                  <w:noWrap w:val="0"/>
                  <w:tcMar>
                    <w:top w:w="0" w:type="dxa"/>
                    <w:left w:w="28" w:type="dxa"/>
                    <w:bottom w:w="0" w:type="dxa"/>
                    <w:right w:w="28" w:type="dxa"/>
                  </w:tcMar>
                  <w:vAlign w:val="center"/>
                </w:tcPr>
                <w:p w14:paraId="5FAEAB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kern w:val="0"/>
                      <w:sz w:val="21"/>
                      <w:szCs w:val="20"/>
                      <w:lang w:val="en-US" w:eastAsia="zh-CN" w:bidi="ar-SA"/>
                    </w:rPr>
                  </w:pPr>
                </w:p>
              </w:tc>
            </w:tr>
            <w:tr w14:paraId="4E7744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61" w:hRule="atLeast"/>
                <w:jc w:val="center"/>
              </w:trPr>
              <w:tc>
                <w:tcPr>
                  <w:tcW w:w="898" w:type="dxa"/>
                  <w:tcBorders>
                    <w:tl2br w:val="nil"/>
                    <w:tr2bl w:val="nil"/>
                  </w:tcBorders>
                  <w:noWrap w:val="0"/>
                  <w:vAlign w:val="center"/>
                </w:tcPr>
                <w:p w14:paraId="2EC0F8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铣磨抛光磨边投料废气</w:t>
                  </w:r>
                </w:p>
              </w:tc>
              <w:tc>
                <w:tcPr>
                  <w:tcW w:w="915" w:type="dxa"/>
                  <w:tcBorders>
                    <w:tl2br w:val="nil"/>
                    <w:tr2bl w:val="nil"/>
                  </w:tcBorders>
                  <w:noWrap w:val="0"/>
                  <w:vAlign w:val="center"/>
                </w:tcPr>
                <w:p w14:paraId="00CA24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颗粒物</w:t>
                  </w:r>
                </w:p>
              </w:tc>
              <w:tc>
                <w:tcPr>
                  <w:tcW w:w="870" w:type="dxa"/>
                  <w:tcBorders>
                    <w:tl2br w:val="nil"/>
                    <w:tr2bl w:val="nil"/>
                  </w:tcBorders>
                  <w:noWrap w:val="0"/>
                  <w:vAlign w:val="center"/>
                </w:tcPr>
                <w:p w14:paraId="530E05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0.0002</w:t>
                  </w:r>
                </w:p>
              </w:tc>
              <w:tc>
                <w:tcPr>
                  <w:tcW w:w="870" w:type="dxa"/>
                  <w:tcBorders>
                    <w:tl2br w:val="nil"/>
                    <w:tr2bl w:val="nil"/>
                  </w:tcBorders>
                  <w:noWrap w:val="0"/>
                  <w:vAlign w:val="center"/>
                </w:tcPr>
                <w:p w14:paraId="553CDF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870" w:type="dxa"/>
                  <w:tcBorders>
                    <w:tl2br w:val="nil"/>
                    <w:tr2bl w:val="nil"/>
                  </w:tcBorders>
                  <w:noWrap w:val="0"/>
                  <w:vAlign w:val="center"/>
                </w:tcPr>
                <w:p w14:paraId="74B52D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车间密闭</w:t>
                  </w:r>
                </w:p>
              </w:tc>
              <w:tc>
                <w:tcPr>
                  <w:tcW w:w="585" w:type="dxa"/>
                  <w:tcBorders>
                    <w:tl2br w:val="nil"/>
                    <w:tr2bl w:val="nil"/>
                  </w:tcBorders>
                  <w:noWrap w:val="0"/>
                  <w:vAlign w:val="center"/>
                </w:tcPr>
                <w:p w14:paraId="6B4B9EF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885" w:type="dxa"/>
                  <w:tcBorders>
                    <w:tl2br w:val="nil"/>
                    <w:tr2bl w:val="nil"/>
                  </w:tcBorders>
                  <w:noWrap w:val="0"/>
                  <w:vAlign w:val="center"/>
                </w:tcPr>
                <w:p w14:paraId="244A2C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630" w:type="dxa"/>
                  <w:tcBorders>
                    <w:tl2br w:val="nil"/>
                    <w:tr2bl w:val="nil"/>
                  </w:tcBorders>
                  <w:noWrap w:val="0"/>
                  <w:vAlign w:val="center"/>
                </w:tcPr>
                <w:p w14:paraId="1A5977F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690" w:type="dxa"/>
                  <w:tcBorders>
                    <w:tl2br w:val="nil"/>
                    <w:tr2bl w:val="nil"/>
                  </w:tcBorders>
                  <w:noWrap w:val="0"/>
                  <w:vAlign w:val="center"/>
                </w:tcPr>
                <w:p w14:paraId="6981B2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897" w:type="dxa"/>
                  <w:tcBorders>
                    <w:tl2br w:val="nil"/>
                    <w:tr2bl w:val="nil"/>
                  </w:tcBorders>
                  <w:noWrap w:val="0"/>
                  <w:vAlign w:val="center"/>
                </w:tcPr>
                <w:p w14:paraId="0FEA63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0"/>
                      <w:lang w:val="en-US" w:eastAsia="zh-CN" w:bidi="ar-SA"/>
                    </w:rPr>
                  </w:pPr>
                  <w:r>
                    <w:rPr>
                      <w:rFonts w:hint="eastAsia" w:cs="Times New Roman"/>
                      <w:color w:val="auto"/>
                      <w:kern w:val="0"/>
                      <w:sz w:val="21"/>
                      <w:szCs w:val="20"/>
                      <w:lang w:val="en-US" w:eastAsia="zh-CN" w:bidi="ar-SA"/>
                    </w:rPr>
                    <w:t>无组织</w:t>
                  </w:r>
                </w:p>
              </w:tc>
              <w:tc>
                <w:tcPr>
                  <w:tcW w:w="865" w:type="dxa"/>
                  <w:tcBorders>
                    <w:tl2br w:val="nil"/>
                    <w:tr2bl w:val="nil"/>
                  </w:tcBorders>
                  <w:noWrap w:val="0"/>
                  <w:vAlign w:val="center"/>
                </w:tcPr>
                <w:p w14:paraId="29C0ED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s="Times New Roman"/>
                      <w:color w:val="auto"/>
                      <w:kern w:val="0"/>
                      <w:sz w:val="21"/>
                      <w:szCs w:val="20"/>
                      <w:lang w:val="en-US" w:eastAsia="zh-CN" w:bidi="ar-SA"/>
                    </w:rPr>
                  </w:pPr>
                  <w:r>
                    <w:rPr>
                      <w:rFonts w:hint="eastAsia" w:cs="Times New Roman"/>
                      <w:color w:val="auto"/>
                      <w:kern w:val="0"/>
                      <w:sz w:val="21"/>
                      <w:szCs w:val="20"/>
                      <w:lang w:val="en-US" w:eastAsia="zh-CN" w:bidi="ar-SA"/>
                    </w:rPr>
                    <w:t>0.0002</w:t>
                  </w:r>
                </w:p>
              </w:tc>
              <w:tc>
                <w:tcPr>
                  <w:tcW w:w="879" w:type="dxa"/>
                  <w:tcBorders>
                    <w:tl2br w:val="nil"/>
                    <w:tr2bl w:val="nil"/>
                  </w:tcBorders>
                  <w:noWrap w:val="0"/>
                  <w:tcMar>
                    <w:top w:w="0" w:type="dxa"/>
                    <w:left w:w="28" w:type="dxa"/>
                    <w:bottom w:w="0" w:type="dxa"/>
                    <w:right w:w="28" w:type="dxa"/>
                  </w:tcMar>
                  <w:vAlign w:val="center"/>
                </w:tcPr>
                <w:p w14:paraId="1A57CC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721" w:type="dxa"/>
                  <w:tcBorders>
                    <w:tl2br w:val="nil"/>
                    <w:tr2bl w:val="nil"/>
                  </w:tcBorders>
                  <w:noWrap w:val="0"/>
                  <w:tcMar>
                    <w:top w:w="0" w:type="dxa"/>
                    <w:left w:w="28" w:type="dxa"/>
                    <w:bottom w:w="0" w:type="dxa"/>
                    <w:right w:w="28" w:type="dxa"/>
                  </w:tcMar>
                  <w:vAlign w:val="center"/>
                </w:tcPr>
                <w:p w14:paraId="06B1CA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867" w:type="dxa"/>
                  <w:tcBorders>
                    <w:tl2br w:val="nil"/>
                    <w:tr2bl w:val="nil"/>
                  </w:tcBorders>
                  <w:noWrap w:val="0"/>
                  <w:tcMar>
                    <w:top w:w="0" w:type="dxa"/>
                    <w:left w:w="28" w:type="dxa"/>
                    <w:bottom w:w="0" w:type="dxa"/>
                    <w:right w:w="28" w:type="dxa"/>
                  </w:tcMar>
                  <w:vAlign w:val="center"/>
                </w:tcPr>
                <w:p w14:paraId="05F3E0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c>
                <w:tcPr>
                  <w:tcW w:w="692" w:type="dxa"/>
                  <w:tcBorders>
                    <w:tl2br w:val="nil"/>
                    <w:tr2bl w:val="nil"/>
                  </w:tcBorders>
                  <w:noWrap w:val="0"/>
                  <w:tcMar>
                    <w:top w:w="0" w:type="dxa"/>
                    <w:left w:w="28" w:type="dxa"/>
                    <w:bottom w:w="0" w:type="dxa"/>
                    <w:right w:w="28" w:type="dxa"/>
                  </w:tcMar>
                  <w:vAlign w:val="center"/>
                </w:tcPr>
                <w:p w14:paraId="012EDB9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2400</w:t>
                  </w:r>
                </w:p>
              </w:tc>
              <w:tc>
                <w:tcPr>
                  <w:tcW w:w="2479" w:type="dxa"/>
                  <w:gridSpan w:val="7"/>
                  <w:tcBorders>
                    <w:tl2br w:val="nil"/>
                    <w:tr2bl w:val="nil"/>
                  </w:tcBorders>
                  <w:noWrap w:val="0"/>
                  <w:tcMar>
                    <w:top w:w="0" w:type="dxa"/>
                    <w:left w:w="28" w:type="dxa"/>
                    <w:bottom w:w="0" w:type="dxa"/>
                    <w:right w:w="28" w:type="dxa"/>
                  </w:tcMar>
                  <w:vAlign w:val="center"/>
                </w:tcPr>
                <w:p w14:paraId="0DDC8D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w:t>
                  </w:r>
                </w:p>
              </w:tc>
            </w:tr>
            <w:tr w14:paraId="1A732A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61" w:hRule="atLeast"/>
                <w:jc w:val="center"/>
              </w:trPr>
              <w:tc>
                <w:tcPr>
                  <w:tcW w:w="14613" w:type="dxa"/>
                  <w:gridSpan w:val="22"/>
                  <w:tcBorders>
                    <w:tl2br w:val="nil"/>
                    <w:tr2bl w:val="nil"/>
                  </w:tcBorders>
                  <w:noWrap w:val="0"/>
                  <w:vAlign w:val="center"/>
                </w:tcPr>
                <w:p w14:paraId="025A628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cs="Times New Roman"/>
                      <w:color w:val="auto"/>
                      <w:kern w:val="0"/>
                      <w:sz w:val="21"/>
                      <w:szCs w:val="20"/>
                      <w:lang w:val="en-US" w:eastAsia="zh-CN" w:bidi="ar-SA"/>
                    </w:rPr>
                  </w:pPr>
                  <w:r>
                    <w:rPr>
                      <w:rFonts w:hint="eastAsia"/>
                      <w:b w:val="0"/>
                      <w:bCs/>
                      <w:color w:val="auto"/>
                      <w:spacing w:val="-3"/>
                      <w:sz w:val="18"/>
                      <w:szCs w:val="21"/>
                      <w:lang w:val="en-US" w:eastAsia="zh-CN"/>
                    </w:rPr>
                    <w:t>注：</w:t>
                  </w:r>
                  <w:r>
                    <w:rPr>
                      <w:b w:val="0"/>
                      <w:bCs/>
                      <w:color w:val="auto"/>
                      <w:spacing w:val="-3"/>
                      <w:sz w:val="18"/>
                      <w:szCs w:val="21"/>
                    </w:rPr>
                    <w:t>涉及的原辅料产生的废气</w:t>
                  </w:r>
                  <w:r>
                    <w:rPr>
                      <w:rFonts w:hint="eastAsia"/>
                      <w:b w:val="0"/>
                      <w:bCs/>
                      <w:color w:val="auto"/>
                      <w:spacing w:val="-3"/>
                      <w:sz w:val="18"/>
                      <w:szCs w:val="21"/>
                      <w:lang w:val="en-US" w:eastAsia="zh-CN"/>
                    </w:rPr>
                    <w:t>VOC</w:t>
                  </w:r>
                  <w:r>
                    <w:rPr>
                      <w:rFonts w:hint="eastAsia"/>
                      <w:b w:val="0"/>
                      <w:bCs/>
                      <w:color w:val="auto"/>
                      <w:spacing w:val="-3"/>
                      <w:sz w:val="18"/>
                      <w:szCs w:val="21"/>
                      <w:vertAlign w:val="subscript"/>
                      <w:lang w:val="en-US" w:eastAsia="zh-CN"/>
                    </w:rPr>
                    <w:t>S</w:t>
                  </w:r>
                  <w:r>
                    <w:rPr>
                      <w:b w:val="0"/>
                      <w:bCs/>
                      <w:color w:val="auto"/>
                      <w:spacing w:val="-3"/>
                      <w:sz w:val="18"/>
                      <w:szCs w:val="21"/>
                    </w:rPr>
                    <w:t>，乙醇、乙醚、丙酮计</w:t>
                  </w:r>
                  <w:r>
                    <w:rPr>
                      <w:b w:val="0"/>
                      <w:bCs/>
                      <w:color w:val="auto"/>
                      <w:spacing w:val="-9"/>
                      <w:w w:val="95"/>
                      <w:sz w:val="18"/>
                      <w:szCs w:val="21"/>
                    </w:rPr>
                    <w:t>入非甲烷总烃，统一以非甲烷总烃计，丙酮</w:t>
                  </w:r>
                  <w:r>
                    <w:rPr>
                      <w:rFonts w:hint="eastAsia"/>
                      <w:b w:val="0"/>
                      <w:bCs/>
                      <w:color w:val="auto"/>
                      <w:spacing w:val="-9"/>
                      <w:w w:val="95"/>
                      <w:sz w:val="18"/>
                      <w:szCs w:val="21"/>
                      <w:lang w:eastAsia="zh-CN"/>
                    </w:rPr>
                    <w:t>、</w:t>
                  </w:r>
                  <w:r>
                    <w:rPr>
                      <w:b w:val="0"/>
                      <w:bCs/>
                      <w:color w:val="auto"/>
                      <w:spacing w:val="-9"/>
                      <w:w w:val="95"/>
                      <w:sz w:val="18"/>
                      <w:szCs w:val="21"/>
                    </w:rPr>
                    <w:t>乙醇、乙醚因</w:t>
                  </w:r>
                  <w:r>
                    <w:rPr>
                      <w:rFonts w:hint="eastAsia"/>
                      <w:b w:val="0"/>
                      <w:bCs/>
                      <w:color w:val="auto"/>
                      <w:spacing w:val="-9"/>
                      <w:w w:val="95"/>
                      <w:sz w:val="18"/>
                      <w:szCs w:val="21"/>
                      <w:lang w:val="en-US" w:eastAsia="zh-CN"/>
                    </w:rPr>
                    <w:t>无</w:t>
                  </w:r>
                  <w:r>
                    <w:rPr>
                      <w:b w:val="0"/>
                      <w:bCs/>
                      <w:color w:val="auto"/>
                      <w:spacing w:val="-9"/>
                      <w:w w:val="95"/>
                      <w:sz w:val="18"/>
                      <w:szCs w:val="21"/>
                    </w:rPr>
                    <w:t>单独的排放标准、检测及分析方法，</w:t>
                  </w:r>
                  <w:r>
                    <w:rPr>
                      <w:b w:val="0"/>
                      <w:bCs/>
                      <w:color w:val="auto"/>
                      <w:spacing w:val="-9"/>
                      <w:sz w:val="18"/>
                      <w:szCs w:val="21"/>
                    </w:rPr>
                    <w:t>故产排情况</w:t>
                  </w:r>
                  <w:r>
                    <w:rPr>
                      <w:rFonts w:hint="eastAsia"/>
                      <w:b w:val="0"/>
                      <w:bCs/>
                      <w:color w:val="auto"/>
                      <w:spacing w:val="-9"/>
                      <w:sz w:val="18"/>
                      <w:szCs w:val="21"/>
                      <w:lang w:eastAsia="zh-CN"/>
                    </w:rPr>
                    <w:t>不</w:t>
                  </w:r>
                  <w:r>
                    <w:rPr>
                      <w:b w:val="0"/>
                      <w:bCs/>
                      <w:color w:val="auto"/>
                      <w:spacing w:val="-9"/>
                      <w:sz w:val="18"/>
                      <w:szCs w:val="21"/>
                    </w:rPr>
                    <w:t>单独列出。</w:t>
                  </w:r>
                </w:p>
              </w:tc>
            </w:tr>
          </w:tbl>
          <w:p w14:paraId="28656DEB">
            <w:pPr>
              <w:bidi w:val="0"/>
              <w:jc w:val="both"/>
              <w:rPr>
                <w:rFonts w:hint="default" w:ascii="Times New Roman" w:hAnsi="Times New Roman" w:eastAsia="宋体" w:cs="Times New Roman"/>
                <w:color w:val="auto"/>
                <w:lang w:val="en-US" w:eastAsia="zh-CN"/>
              </w:rPr>
            </w:pPr>
          </w:p>
        </w:tc>
      </w:tr>
    </w:tbl>
    <w:p w14:paraId="4992DBF4">
      <w:pPr>
        <w:rPr>
          <w:rFonts w:hint="eastAsia" w:ascii="Times New Roman" w:hAnsi="Times New Roman"/>
          <w:color w:val="auto"/>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8234"/>
      </w:tblGrid>
      <w:tr w14:paraId="4C2470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88" w:hRule="atLeast"/>
          <w:jc w:val="center"/>
        </w:trPr>
        <w:tc>
          <w:tcPr>
            <w:tcW w:w="746" w:type="dxa"/>
            <w:noWrap w:val="0"/>
            <w:tcMar>
              <w:left w:w="28" w:type="dxa"/>
              <w:right w:w="28" w:type="dxa"/>
            </w:tcMar>
            <w:vAlign w:val="center"/>
          </w:tcPr>
          <w:p w14:paraId="529E8076">
            <w:pPr>
              <w:adjustRightInd w:val="0"/>
              <w:snapToGrid w:val="0"/>
              <w:jc w:val="center"/>
              <w:rPr>
                <w:rFonts w:hint="eastAsia" w:ascii="Times New Roman" w:hAnsi="Times New Roman" w:eastAsia="宋体" w:cs="宋体"/>
                <w:bCs/>
                <w:color w:val="auto"/>
                <w:szCs w:val="21"/>
              </w:rPr>
            </w:pPr>
            <w:r>
              <w:rPr>
                <w:rFonts w:hint="eastAsia" w:ascii="Times New Roman" w:hAnsi="Times New Roman" w:eastAsia="宋体" w:cs="宋体"/>
                <w:bCs/>
                <w:color w:val="auto"/>
                <w:szCs w:val="21"/>
              </w:rPr>
              <w:t>运营</w:t>
            </w:r>
          </w:p>
          <w:p w14:paraId="14086499">
            <w:pPr>
              <w:adjustRightInd w:val="0"/>
              <w:snapToGrid w:val="0"/>
              <w:jc w:val="center"/>
              <w:rPr>
                <w:rFonts w:hint="eastAsia" w:ascii="Times New Roman" w:hAnsi="Times New Roman" w:eastAsia="宋体" w:cs="宋体"/>
                <w:bCs/>
                <w:color w:val="auto"/>
                <w:szCs w:val="21"/>
              </w:rPr>
            </w:pPr>
            <w:r>
              <w:rPr>
                <w:rFonts w:hint="eastAsia" w:ascii="Times New Roman" w:hAnsi="Times New Roman" w:eastAsia="宋体" w:cs="宋体"/>
                <w:bCs/>
                <w:color w:val="auto"/>
                <w:szCs w:val="21"/>
              </w:rPr>
              <w:t>期环</w:t>
            </w:r>
          </w:p>
          <w:p w14:paraId="14B601BD">
            <w:pPr>
              <w:adjustRightInd w:val="0"/>
              <w:snapToGrid w:val="0"/>
              <w:jc w:val="center"/>
              <w:rPr>
                <w:rFonts w:hint="eastAsia" w:ascii="Times New Roman" w:hAnsi="Times New Roman" w:eastAsia="宋体" w:cs="宋体"/>
                <w:bCs/>
                <w:color w:val="auto"/>
                <w:szCs w:val="21"/>
              </w:rPr>
            </w:pPr>
            <w:r>
              <w:rPr>
                <w:rFonts w:hint="eastAsia" w:ascii="Times New Roman" w:hAnsi="Times New Roman" w:eastAsia="宋体" w:cs="宋体"/>
                <w:bCs/>
                <w:color w:val="auto"/>
                <w:szCs w:val="21"/>
              </w:rPr>
              <w:t>境影</w:t>
            </w:r>
          </w:p>
          <w:p w14:paraId="44FF43AE">
            <w:pPr>
              <w:adjustRightInd w:val="0"/>
              <w:snapToGrid w:val="0"/>
              <w:jc w:val="center"/>
              <w:rPr>
                <w:rFonts w:hint="eastAsia" w:ascii="Times New Roman" w:hAnsi="Times New Roman" w:eastAsia="宋体" w:cs="宋体"/>
                <w:bCs/>
                <w:color w:val="auto"/>
                <w:szCs w:val="21"/>
              </w:rPr>
            </w:pPr>
            <w:r>
              <w:rPr>
                <w:rFonts w:hint="eastAsia" w:ascii="Times New Roman" w:hAnsi="Times New Roman" w:eastAsia="宋体" w:cs="宋体"/>
                <w:bCs/>
                <w:color w:val="auto"/>
                <w:szCs w:val="21"/>
              </w:rPr>
              <w:t>响和</w:t>
            </w:r>
          </w:p>
          <w:p w14:paraId="2B42B53D">
            <w:pPr>
              <w:adjustRightInd w:val="0"/>
              <w:snapToGrid w:val="0"/>
              <w:jc w:val="center"/>
              <w:rPr>
                <w:rFonts w:hint="eastAsia" w:ascii="Times New Roman" w:hAnsi="Times New Roman" w:eastAsia="宋体" w:cs="宋体"/>
                <w:bCs/>
                <w:color w:val="auto"/>
                <w:szCs w:val="21"/>
              </w:rPr>
            </w:pPr>
            <w:r>
              <w:rPr>
                <w:rFonts w:hint="eastAsia" w:ascii="Times New Roman" w:hAnsi="Times New Roman" w:eastAsia="宋体" w:cs="宋体"/>
                <w:bCs/>
                <w:color w:val="auto"/>
                <w:szCs w:val="21"/>
              </w:rPr>
              <w:t>保护</w:t>
            </w:r>
          </w:p>
          <w:p w14:paraId="7721189C">
            <w:pPr>
              <w:adjustRightInd w:val="0"/>
              <w:snapToGrid w:val="0"/>
              <w:jc w:val="center"/>
              <w:rPr>
                <w:rFonts w:ascii="Times New Roman" w:hAnsi="Times New Roman" w:eastAsia="宋体" w:cs="宋体"/>
                <w:bCs/>
                <w:color w:val="auto"/>
                <w:szCs w:val="21"/>
              </w:rPr>
            </w:pPr>
            <w:r>
              <w:rPr>
                <w:rFonts w:hint="eastAsia" w:ascii="Times New Roman" w:hAnsi="Times New Roman" w:eastAsia="宋体" w:cs="宋体"/>
                <w:bCs/>
                <w:color w:val="auto"/>
                <w:szCs w:val="21"/>
              </w:rPr>
              <w:t>措施</w:t>
            </w:r>
          </w:p>
        </w:tc>
        <w:tc>
          <w:tcPr>
            <w:tcW w:w="8162" w:type="dxa"/>
            <w:noWrap w:val="0"/>
            <w:vAlign w:val="center"/>
          </w:tcPr>
          <w:p w14:paraId="6099C576">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83" w:name="_Toc18861"/>
            <w:r>
              <w:rPr>
                <w:rFonts w:hint="eastAsia" w:ascii="Times New Roman" w:hAnsi="Times New Roman" w:eastAsia="宋体" w:cs="Times New Roman"/>
                <w:b/>
                <w:color w:val="auto"/>
                <w:kern w:val="2"/>
                <w:sz w:val="24"/>
                <w:szCs w:val="24"/>
                <w:lang w:val="en-US" w:eastAsia="zh-CN" w:bidi="ar-SA"/>
              </w:rPr>
              <w:t>4.2.2运营期废气治理措施及达标分析</w:t>
            </w:r>
            <w:bookmarkEnd w:id="83"/>
          </w:p>
          <w:p w14:paraId="7456089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本项目运营期产生的废气的污染物因子均为</w:t>
            </w:r>
            <w:r>
              <w:rPr>
                <w:rFonts w:hint="eastAsia" w:cs="宋体"/>
                <w:color w:val="auto"/>
                <w:kern w:val="2"/>
                <w:sz w:val="24"/>
                <w:szCs w:val="24"/>
                <w:lang w:val="en-US" w:eastAsia="zh-CN" w:bidi="ar-SA"/>
              </w:rPr>
              <w:t>VOCs、乙醇、乙醚、丙酮（以非甲烷总烃计）</w:t>
            </w:r>
            <w:r>
              <w:rPr>
                <w:rFonts w:hint="eastAsia" w:ascii="Times New Roman" w:hAnsi="Times New Roman" w:eastAsia="宋体" w:cs="宋体"/>
                <w:color w:val="auto"/>
                <w:kern w:val="2"/>
                <w:sz w:val="24"/>
                <w:szCs w:val="24"/>
                <w:lang w:val="en-US" w:eastAsia="zh-CN" w:bidi="ar-SA"/>
              </w:rPr>
              <w:t>。</w:t>
            </w:r>
          </w:p>
          <w:p w14:paraId="7CCD10A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w:t>
            </w:r>
            <w:r>
              <w:rPr>
                <w:rFonts w:hint="eastAsia" w:cs="宋体"/>
                <w:color w:val="auto"/>
                <w:kern w:val="2"/>
                <w:sz w:val="24"/>
                <w:szCs w:val="24"/>
                <w:lang w:val="en-US" w:eastAsia="zh-CN" w:bidi="ar-SA"/>
              </w:rPr>
              <w:t>VOCs、乙醇、乙醚、丙酮（以非甲烷总烃计）</w:t>
            </w:r>
            <w:r>
              <w:rPr>
                <w:rFonts w:hint="eastAsia" w:ascii="Times New Roman" w:hAnsi="Times New Roman" w:eastAsia="宋体" w:cs="宋体"/>
                <w:color w:val="auto"/>
                <w:kern w:val="2"/>
                <w:sz w:val="24"/>
                <w:szCs w:val="24"/>
                <w:lang w:val="en-US" w:eastAsia="zh-CN" w:bidi="ar-SA"/>
              </w:rPr>
              <w:t>治理措施可行性分析</w:t>
            </w:r>
          </w:p>
          <w:p w14:paraId="34310DBA">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目前对有机废气的去除方法可分为燃烧法、溶剂吸收法和活性炭吸收法等。目前常用有机废气处理方法的优缺点比较见表4.</w:t>
            </w:r>
            <w:r>
              <w:rPr>
                <w:rFonts w:hint="eastAsia" w:ascii="Times New Roman" w:hAnsi="Times New Roman" w:eastAsia="宋体" w:cs="宋体"/>
                <w:color w:val="auto"/>
                <w:kern w:val="2"/>
                <w:sz w:val="24"/>
                <w:szCs w:val="24"/>
                <w:lang w:val="en-US" w:eastAsia="zh-CN" w:bidi="ar-SA"/>
              </w:rPr>
              <w:t>2</w:t>
            </w:r>
            <w:r>
              <w:rPr>
                <w:rFonts w:hint="default" w:ascii="Times New Roman" w:hAnsi="Times New Roman" w:eastAsia="宋体" w:cs="宋体"/>
                <w:color w:val="auto"/>
                <w:kern w:val="2"/>
                <w:sz w:val="24"/>
                <w:szCs w:val="24"/>
                <w:lang w:val="en-US" w:eastAsia="zh-CN" w:bidi="ar-SA"/>
              </w:rPr>
              <w:t>-</w:t>
            </w:r>
            <w:r>
              <w:rPr>
                <w:rFonts w:hint="eastAsia" w:cs="宋体"/>
                <w:color w:val="auto"/>
                <w:kern w:val="2"/>
                <w:sz w:val="24"/>
                <w:szCs w:val="24"/>
                <w:lang w:val="en-US" w:eastAsia="zh-CN" w:bidi="ar-SA"/>
              </w:rPr>
              <w:t>2</w:t>
            </w:r>
            <w:r>
              <w:rPr>
                <w:rFonts w:hint="eastAsia" w:ascii="Times New Roman" w:hAnsi="Times New Roman" w:eastAsia="宋体" w:cs="宋体"/>
                <w:color w:val="auto"/>
                <w:kern w:val="2"/>
                <w:sz w:val="24"/>
                <w:szCs w:val="24"/>
                <w:lang w:val="en-US" w:eastAsia="zh-CN" w:bidi="ar-SA"/>
              </w:rPr>
              <w:t>。</w:t>
            </w:r>
          </w:p>
          <w:p w14:paraId="659C73B9">
            <w:pPr>
              <w:widowControl w:val="0"/>
              <w:bidi w:val="0"/>
              <w:adjustRightInd w:val="0"/>
              <w:snapToGrid w:val="0"/>
              <w:spacing w:before="10" w:beforeLines="10" w:after="10" w:afterLines="10"/>
              <w:jc w:val="center"/>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表4.2-</w:t>
            </w:r>
            <w:r>
              <w:rPr>
                <w:rFonts w:hint="eastAsia" w:cs="Times New Roman"/>
                <w:b/>
                <w:color w:val="auto"/>
                <w:kern w:val="0"/>
                <w:sz w:val="24"/>
                <w:szCs w:val="20"/>
                <w:lang w:val="en-US" w:eastAsia="zh-CN" w:bidi="ar-SA"/>
              </w:rPr>
              <w:t xml:space="preserve">2  </w:t>
            </w:r>
            <w:r>
              <w:rPr>
                <w:rFonts w:hint="eastAsia" w:ascii="Times New Roman" w:hAnsi="Times New Roman" w:eastAsia="宋体" w:cs="Times New Roman"/>
                <w:b/>
                <w:color w:val="auto"/>
                <w:kern w:val="0"/>
                <w:sz w:val="24"/>
                <w:szCs w:val="20"/>
                <w:lang w:val="en-US" w:eastAsia="zh-CN" w:bidi="ar-SA"/>
              </w:rPr>
              <w:t>常见有机废气处理方法比较</w:t>
            </w:r>
          </w:p>
          <w:tbl>
            <w:tblPr>
              <w:tblStyle w:val="20"/>
              <w:tblW w:w="793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86"/>
              <w:gridCol w:w="1586"/>
              <w:gridCol w:w="1586"/>
              <w:gridCol w:w="1586"/>
              <w:gridCol w:w="1589"/>
            </w:tblGrid>
            <w:tr w14:paraId="402981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86" w:type="dxa"/>
                  <w:tcBorders>
                    <w:tl2br w:val="nil"/>
                    <w:tr2bl w:val="nil"/>
                  </w:tcBorders>
                  <w:noWrap w:val="0"/>
                  <w:vAlign w:val="center"/>
                </w:tcPr>
                <w:p w14:paraId="08631A7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项目</w:t>
                  </w:r>
                </w:p>
              </w:tc>
              <w:tc>
                <w:tcPr>
                  <w:tcW w:w="1586" w:type="dxa"/>
                  <w:tcBorders>
                    <w:tl2br w:val="nil"/>
                    <w:tr2bl w:val="nil"/>
                  </w:tcBorders>
                  <w:noWrap w:val="0"/>
                  <w:vAlign w:val="center"/>
                </w:tcPr>
                <w:p w14:paraId="6F10EF5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催化燃烧法</w:t>
                  </w:r>
                </w:p>
              </w:tc>
              <w:tc>
                <w:tcPr>
                  <w:tcW w:w="1586" w:type="dxa"/>
                  <w:tcBorders>
                    <w:tl2br w:val="nil"/>
                    <w:tr2bl w:val="nil"/>
                  </w:tcBorders>
                  <w:noWrap w:val="0"/>
                  <w:vAlign w:val="center"/>
                </w:tcPr>
                <w:p w14:paraId="7193446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活性炭吸附法</w:t>
                  </w:r>
                </w:p>
              </w:tc>
              <w:tc>
                <w:tcPr>
                  <w:tcW w:w="1586" w:type="dxa"/>
                  <w:tcBorders>
                    <w:tl2br w:val="nil"/>
                    <w:tr2bl w:val="nil"/>
                  </w:tcBorders>
                  <w:noWrap w:val="0"/>
                  <w:vAlign w:val="center"/>
                </w:tcPr>
                <w:p w14:paraId="7720C9A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溶剂吸收法</w:t>
                  </w:r>
                </w:p>
              </w:tc>
              <w:tc>
                <w:tcPr>
                  <w:tcW w:w="1589" w:type="dxa"/>
                  <w:tcBorders>
                    <w:tl2br w:val="nil"/>
                    <w:tr2bl w:val="nil"/>
                  </w:tcBorders>
                  <w:noWrap w:val="0"/>
                  <w:vAlign w:val="center"/>
                </w:tcPr>
                <w:p w14:paraId="7013A28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直接燃烧法</w:t>
                  </w:r>
                </w:p>
              </w:tc>
            </w:tr>
            <w:tr w14:paraId="088C57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86" w:type="dxa"/>
                  <w:tcBorders>
                    <w:tl2br w:val="nil"/>
                    <w:tr2bl w:val="nil"/>
                  </w:tcBorders>
                  <w:noWrap w:val="0"/>
                  <w:vAlign w:val="center"/>
                </w:tcPr>
                <w:p w14:paraId="25D2EBAF">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适用范围</w:t>
                  </w:r>
                </w:p>
              </w:tc>
              <w:tc>
                <w:tcPr>
                  <w:tcW w:w="1586" w:type="dxa"/>
                  <w:tcBorders>
                    <w:tl2br w:val="nil"/>
                    <w:tr2bl w:val="nil"/>
                  </w:tcBorders>
                  <w:noWrap w:val="0"/>
                  <w:vAlign w:val="center"/>
                </w:tcPr>
                <w:p w14:paraId="4123123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连续生产的高浓度有机废气</w:t>
                  </w:r>
                </w:p>
              </w:tc>
              <w:tc>
                <w:tcPr>
                  <w:tcW w:w="1586" w:type="dxa"/>
                  <w:tcBorders>
                    <w:tl2br w:val="nil"/>
                    <w:tr2bl w:val="nil"/>
                  </w:tcBorders>
                  <w:noWrap w:val="0"/>
                  <w:vAlign w:val="center"/>
                </w:tcPr>
                <w:p w14:paraId="31F44A4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间歇式生产低浓度有机废气</w:t>
                  </w:r>
                </w:p>
                <w:p w14:paraId="1CF0AC6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p>
              </w:tc>
              <w:tc>
                <w:tcPr>
                  <w:tcW w:w="1586" w:type="dxa"/>
                  <w:tcBorders>
                    <w:tl2br w:val="nil"/>
                    <w:tr2bl w:val="nil"/>
                  </w:tcBorders>
                  <w:noWrap w:val="0"/>
                  <w:vAlign w:val="center"/>
                </w:tcPr>
                <w:p w14:paraId="174CB78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低浓度有机废气</w:t>
                  </w:r>
                </w:p>
                <w:p w14:paraId="0F8BF1E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p>
              </w:tc>
              <w:tc>
                <w:tcPr>
                  <w:tcW w:w="1589" w:type="dxa"/>
                  <w:tcBorders>
                    <w:tl2br w:val="nil"/>
                    <w:tr2bl w:val="nil"/>
                  </w:tcBorders>
                  <w:noWrap w:val="0"/>
                  <w:vAlign w:val="center"/>
                </w:tcPr>
                <w:p w14:paraId="745DAE1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连续生产的高浓度有机废气</w:t>
                  </w:r>
                </w:p>
                <w:p w14:paraId="6AC2589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p>
              </w:tc>
            </w:tr>
            <w:tr w14:paraId="1B73DC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86" w:type="dxa"/>
                  <w:tcBorders>
                    <w:tl2br w:val="nil"/>
                    <w:tr2bl w:val="nil"/>
                  </w:tcBorders>
                  <w:noWrap w:val="0"/>
                  <w:vAlign w:val="center"/>
                </w:tcPr>
                <w:p w14:paraId="0142D8C8">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处理效果</w:t>
                  </w:r>
                </w:p>
                <w:p w14:paraId="4D4F6C1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（净化效率）</w:t>
                  </w:r>
                </w:p>
              </w:tc>
              <w:tc>
                <w:tcPr>
                  <w:tcW w:w="1586" w:type="dxa"/>
                  <w:tcBorders>
                    <w:tl2br w:val="nil"/>
                    <w:tr2bl w:val="nil"/>
                  </w:tcBorders>
                  <w:noWrap w:val="0"/>
                  <w:vAlign w:val="center"/>
                </w:tcPr>
                <w:p w14:paraId="558AA6B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95%</w:t>
                  </w:r>
                  <w:r>
                    <w:rPr>
                      <w:rFonts w:hint="eastAsia" w:cs="Times New Roman"/>
                      <w:color w:val="auto"/>
                      <w:kern w:val="0"/>
                      <w:sz w:val="21"/>
                      <w:szCs w:val="21"/>
                      <w:lang w:val="en-US" w:eastAsia="zh-CN" w:bidi="ar-SA"/>
                    </w:rPr>
                    <w:t>~</w:t>
                  </w:r>
                  <w:r>
                    <w:rPr>
                      <w:rFonts w:hint="eastAsia" w:ascii="Times New Roman" w:hAnsi="Times New Roman" w:eastAsia="宋体" w:cs="Times New Roman"/>
                      <w:color w:val="auto"/>
                      <w:kern w:val="0"/>
                      <w:sz w:val="21"/>
                      <w:szCs w:val="21"/>
                      <w:lang w:val="en-US" w:eastAsia="zh-CN" w:bidi="ar-SA"/>
                    </w:rPr>
                    <w:t>99%</w:t>
                  </w:r>
                </w:p>
              </w:tc>
              <w:tc>
                <w:tcPr>
                  <w:tcW w:w="1586" w:type="dxa"/>
                  <w:tcBorders>
                    <w:tl2br w:val="nil"/>
                    <w:tr2bl w:val="nil"/>
                  </w:tcBorders>
                  <w:noWrap w:val="0"/>
                  <w:vAlign w:val="center"/>
                </w:tcPr>
                <w:p w14:paraId="37EA9B6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8</w:t>
                  </w:r>
                  <w:r>
                    <w:rPr>
                      <w:rFonts w:hint="default" w:ascii="Times New Roman" w:hAnsi="Times New Roman" w:eastAsia="宋体" w:cs="Times New Roman"/>
                      <w:color w:val="auto"/>
                      <w:kern w:val="0"/>
                      <w:sz w:val="21"/>
                      <w:szCs w:val="21"/>
                      <w:lang w:val="en-US" w:eastAsia="zh-CN" w:bidi="ar-SA"/>
                    </w:rPr>
                    <w:t>0%左右</w:t>
                  </w:r>
                </w:p>
              </w:tc>
              <w:tc>
                <w:tcPr>
                  <w:tcW w:w="1586" w:type="dxa"/>
                  <w:tcBorders>
                    <w:tl2br w:val="nil"/>
                    <w:tr2bl w:val="nil"/>
                  </w:tcBorders>
                  <w:noWrap w:val="0"/>
                  <w:vAlign w:val="center"/>
                </w:tcPr>
                <w:p w14:paraId="6813072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7</w:t>
                  </w:r>
                  <w:r>
                    <w:rPr>
                      <w:rFonts w:hint="default" w:ascii="Times New Roman" w:hAnsi="Times New Roman" w:eastAsia="宋体" w:cs="Times New Roman"/>
                      <w:color w:val="auto"/>
                      <w:kern w:val="0"/>
                      <w:sz w:val="21"/>
                      <w:szCs w:val="21"/>
                      <w:lang w:val="en-US" w:eastAsia="zh-CN" w:bidi="ar-SA"/>
                    </w:rPr>
                    <w:t>0%左右</w:t>
                  </w:r>
                </w:p>
              </w:tc>
              <w:tc>
                <w:tcPr>
                  <w:tcW w:w="1589" w:type="dxa"/>
                  <w:tcBorders>
                    <w:tl2br w:val="nil"/>
                    <w:tr2bl w:val="nil"/>
                  </w:tcBorders>
                  <w:noWrap w:val="0"/>
                  <w:vAlign w:val="center"/>
                </w:tcPr>
                <w:p w14:paraId="311317F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95%</w:t>
                  </w:r>
                  <w:r>
                    <w:rPr>
                      <w:rFonts w:hint="eastAsia" w:cs="Times New Roman"/>
                      <w:color w:val="auto"/>
                      <w:kern w:val="0"/>
                      <w:sz w:val="21"/>
                      <w:szCs w:val="21"/>
                      <w:lang w:val="en-US" w:eastAsia="zh-CN" w:bidi="ar-SA"/>
                    </w:rPr>
                    <w:t>~</w:t>
                  </w:r>
                  <w:r>
                    <w:rPr>
                      <w:rFonts w:hint="eastAsia" w:ascii="Times New Roman" w:hAnsi="Times New Roman" w:eastAsia="宋体" w:cs="Times New Roman"/>
                      <w:color w:val="auto"/>
                      <w:kern w:val="0"/>
                      <w:sz w:val="21"/>
                      <w:szCs w:val="21"/>
                      <w:lang w:val="en-US" w:eastAsia="zh-CN" w:bidi="ar-SA"/>
                    </w:rPr>
                    <w:t>99%</w:t>
                  </w:r>
                </w:p>
              </w:tc>
            </w:tr>
            <w:tr w14:paraId="2B8A8D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86" w:type="dxa"/>
                  <w:tcBorders>
                    <w:tl2br w:val="nil"/>
                    <w:tr2bl w:val="nil"/>
                  </w:tcBorders>
                  <w:noWrap w:val="0"/>
                  <w:vAlign w:val="center"/>
                </w:tcPr>
                <w:p w14:paraId="48E460AA">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运行费用</w:t>
                  </w:r>
                </w:p>
              </w:tc>
              <w:tc>
                <w:tcPr>
                  <w:tcW w:w="1586" w:type="dxa"/>
                  <w:tcBorders>
                    <w:tl2br w:val="nil"/>
                    <w:tr2bl w:val="nil"/>
                  </w:tcBorders>
                  <w:noWrap w:val="0"/>
                  <w:vAlign w:val="center"/>
                </w:tcPr>
                <w:p w14:paraId="18D9EC52">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高</w:t>
                  </w:r>
                </w:p>
              </w:tc>
              <w:tc>
                <w:tcPr>
                  <w:tcW w:w="1586" w:type="dxa"/>
                  <w:tcBorders>
                    <w:tl2br w:val="nil"/>
                    <w:tr2bl w:val="nil"/>
                  </w:tcBorders>
                  <w:noWrap w:val="0"/>
                  <w:vAlign w:val="center"/>
                </w:tcPr>
                <w:p w14:paraId="6037006F">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高</w:t>
                  </w:r>
                </w:p>
              </w:tc>
              <w:tc>
                <w:tcPr>
                  <w:tcW w:w="1586" w:type="dxa"/>
                  <w:tcBorders>
                    <w:tl2br w:val="nil"/>
                    <w:tr2bl w:val="nil"/>
                  </w:tcBorders>
                  <w:noWrap w:val="0"/>
                  <w:vAlign w:val="center"/>
                </w:tcPr>
                <w:p w14:paraId="41BC1C94">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低</w:t>
                  </w:r>
                </w:p>
              </w:tc>
              <w:tc>
                <w:tcPr>
                  <w:tcW w:w="1589" w:type="dxa"/>
                  <w:tcBorders>
                    <w:tl2br w:val="nil"/>
                    <w:tr2bl w:val="nil"/>
                  </w:tcBorders>
                  <w:noWrap w:val="0"/>
                  <w:vAlign w:val="center"/>
                </w:tcPr>
                <w:p w14:paraId="30EBAE86">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高</w:t>
                  </w:r>
                </w:p>
              </w:tc>
            </w:tr>
            <w:tr w14:paraId="386B25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86" w:type="dxa"/>
                  <w:tcBorders>
                    <w:tl2br w:val="nil"/>
                    <w:tr2bl w:val="nil"/>
                  </w:tcBorders>
                  <w:noWrap w:val="0"/>
                  <w:vAlign w:val="center"/>
                </w:tcPr>
                <w:p w14:paraId="5B223EC6">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投资</w:t>
                  </w:r>
                </w:p>
              </w:tc>
              <w:tc>
                <w:tcPr>
                  <w:tcW w:w="1586" w:type="dxa"/>
                  <w:tcBorders>
                    <w:tl2br w:val="nil"/>
                    <w:tr2bl w:val="nil"/>
                  </w:tcBorders>
                  <w:noWrap w:val="0"/>
                  <w:vAlign w:val="center"/>
                </w:tcPr>
                <w:p w14:paraId="2AE52962">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高</w:t>
                  </w:r>
                </w:p>
              </w:tc>
              <w:tc>
                <w:tcPr>
                  <w:tcW w:w="1586" w:type="dxa"/>
                  <w:tcBorders>
                    <w:tl2br w:val="nil"/>
                    <w:tr2bl w:val="nil"/>
                  </w:tcBorders>
                  <w:noWrap w:val="0"/>
                  <w:vAlign w:val="center"/>
                </w:tcPr>
                <w:p w14:paraId="66022C7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低</w:t>
                  </w:r>
                </w:p>
              </w:tc>
              <w:tc>
                <w:tcPr>
                  <w:tcW w:w="1586" w:type="dxa"/>
                  <w:tcBorders>
                    <w:tl2br w:val="nil"/>
                    <w:tr2bl w:val="nil"/>
                  </w:tcBorders>
                  <w:noWrap w:val="0"/>
                  <w:vAlign w:val="center"/>
                </w:tcPr>
                <w:p w14:paraId="17CA7910">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低</w:t>
                  </w:r>
                </w:p>
              </w:tc>
              <w:tc>
                <w:tcPr>
                  <w:tcW w:w="1589" w:type="dxa"/>
                  <w:tcBorders>
                    <w:tl2br w:val="nil"/>
                    <w:tr2bl w:val="nil"/>
                  </w:tcBorders>
                  <w:noWrap w:val="0"/>
                  <w:vAlign w:val="center"/>
                </w:tcPr>
                <w:p w14:paraId="05618266">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高</w:t>
                  </w:r>
                </w:p>
              </w:tc>
            </w:tr>
            <w:tr w14:paraId="0FF7EA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86" w:type="dxa"/>
                  <w:tcBorders>
                    <w:tl2br w:val="nil"/>
                    <w:tr2bl w:val="nil"/>
                  </w:tcBorders>
                  <w:noWrap w:val="0"/>
                  <w:vAlign w:val="center"/>
                </w:tcPr>
                <w:p w14:paraId="6699C095">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主要优点</w:t>
                  </w:r>
                </w:p>
              </w:tc>
              <w:tc>
                <w:tcPr>
                  <w:tcW w:w="1586" w:type="dxa"/>
                  <w:tcBorders>
                    <w:tl2br w:val="nil"/>
                    <w:tr2bl w:val="nil"/>
                  </w:tcBorders>
                  <w:noWrap w:val="0"/>
                  <w:vAlign w:val="center"/>
                </w:tcPr>
                <w:p w14:paraId="4E0CDC4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效率高</w:t>
                  </w:r>
                  <w:r>
                    <w:rPr>
                      <w:rFonts w:hint="default" w:ascii="Times New Roman" w:hAnsi="Times New Roman" w:eastAsia="宋体" w:cs="Times New Roman"/>
                      <w:color w:val="auto"/>
                      <w:kern w:val="0"/>
                      <w:sz w:val="21"/>
                      <w:szCs w:val="21"/>
                      <w:lang w:val="en-US" w:eastAsia="zh-CN" w:bidi="ar-SA"/>
                    </w:rPr>
                    <w:t>、净化率高</w:t>
                  </w:r>
                </w:p>
              </w:tc>
              <w:tc>
                <w:tcPr>
                  <w:tcW w:w="1586" w:type="dxa"/>
                  <w:tcBorders>
                    <w:tl2br w:val="nil"/>
                    <w:tr2bl w:val="nil"/>
                  </w:tcBorders>
                  <w:noWrap w:val="0"/>
                  <w:vAlign w:val="center"/>
                </w:tcPr>
                <w:p w14:paraId="45A1A8F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处理</w:t>
                  </w:r>
                  <w:r>
                    <w:rPr>
                      <w:rFonts w:hint="eastAsia" w:cs="Times New Roman"/>
                      <w:color w:val="auto"/>
                      <w:kern w:val="0"/>
                      <w:sz w:val="21"/>
                      <w:szCs w:val="21"/>
                      <w:lang w:val="en-US" w:eastAsia="zh-CN" w:bidi="ar-SA"/>
                    </w:rPr>
                    <w:t>效率高</w:t>
                  </w:r>
                  <w:r>
                    <w:rPr>
                      <w:rFonts w:hint="default" w:ascii="Times New Roman" w:hAnsi="Times New Roman" w:eastAsia="宋体" w:cs="Times New Roman"/>
                      <w:color w:val="auto"/>
                      <w:kern w:val="0"/>
                      <w:sz w:val="21"/>
                      <w:szCs w:val="21"/>
                      <w:lang w:val="en-US" w:eastAsia="zh-CN" w:bidi="ar-SA"/>
                    </w:rPr>
                    <w:t>、净化率高</w:t>
                  </w:r>
                </w:p>
              </w:tc>
              <w:tc>
                <w:tcPr>
                  <w:tcW w:w="1586" w:type="dxa"/>
                  <w:tcBorders>
                    <w:tl2br w:val="nil"/>
                    <w:tr2bl w:val="nil"/>
                  </w:tcBorders>
                  <w:noWrap w:val="0"/>
                  <w:vAlign w:val="center"/>
                </w:tcPr>
                <w:p w14:paraId="751508E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方法简单、</w:t>
                  </w:r>
                  <w:r>
                    <w:rPr>
                      <w:rFonts w:hint="eastAsia" w:ascii="Times New Roman" w:hAnsi="Times New Roman" w:eastAsia="宋体" w:cs="Times New Roman"/>
                      <w:color w:val="auto"/>
                      <w:kern w:val="0"/>
                      <w:sz w:val="21"/>
                      <w:szCs w:val="21"/>
                      <w:lang w:val="en-US" w:eastAsia="zh-CN" w:bidi="ar-SA"/>
                    </w:rPr>
                    <w:t>使用方便</w:t>
                  </w:r>
                  <w:r>
                    <w:rPr>
                      <w:rFonts w:hint="default" w:ascii="Times New Roman" w:hAnsi="Times New Roman" w:eastAsia="宋体" w:cs="Times New Roman"/>
                      <w:color w:val="auto"/>
                      <w:kern w:val="0"/>
                      <w:sz w:val="21"/>
                      <w:szCs w:val="21"/>
                      <w:lang w:val="en-US" w:eastAsia="zh-CN" w:bidi="ar-SA"/>
                    </w:rPr>
                    <w:t>、运行费用低、安全</w:t>
                  </w:r>
                </w:p>
              </w:tc>
              <w:tc>
                <w:tcPr>
                  <w:tcW w:w="1589" w:type="dxa"/>
                  <w:tcBorders>
                    <w:tl2br w:val="nil"/>
                    <w:tr2bl w:val="nil"/>
                  </w:tcBorders>
                  <w:noWrap w:val="0"/>
                  <w:vAlign w:val="center"/>
                </w:tcPr>
                <w:p w14:paraId="5F7596A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处理效果好、净化彻底</w:t>
                  </w:r>
                </w:p>
              </w:tc>
            </w:tr>
            <w:tr w14:paraId="6007DF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86" w:type="dxa"/>
                  <w:tcBorders>
                    <w:tl2br w:val="nil"/>
                    <w:tr2bl w:val="nil"/>
                  </w:tcBorders>
                  <w:noWrap w:val="0"/>
                  <w:vAlign w:val="center"/>
                </w:tcPr>
                <w:p w14:paraId="5E92419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主要缺点</w:t>
                  </w:r>
                </w:p>
              </w:tc>
              <w:tc>
                <w:tcPr>
                  <w:tcW w:w="1586" w:type="dxa"/>
                  <w:tcBorders>
                    <w:tl2br w:val="nil"/>
                    <w:tr2bl w:val="nil"/>
                  </w:tcBorders>
                  <w:noWrap w:val="0"/>
                  <w:vAlign w:val="center"/>
                </w:tcPr>
                <w:p w14:paraId="39625C0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投资高、操作复杂，运行费用高，运行不稳定</w:t>
                  </w:r>
                </w:p>
              </w:tc>
              <w:tc>
                <w:tcPr>
                  <w:tcW w:w="1586" w:type="dxa"/>
                  <w:tcBorders>
                    <w:tl2br w:val="nil"/>
                    <w:tr2bl w:val="nil"/>
                  </w:tcBorders>
                  <w:noWrap w:val="0"/>
                  <w:vAlign w:val="center"/>
                </w:tcPr>
                <w:p w14:paraId="0661F9A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操作复杂、活性炭需定期更换、运行费用高</w:t>
                  </w:r>
                </w:p>
              </w:tc>
              <w:tc>
                <w:tcPr>
                  <w:tcW w:w="1586" w:type="dxa"/>
                  <w:tcBorders>
                    <w:tl2br w:val="nil"/>
                    <w:tr2bl w:val="nil"/>
                  </w:tcBorders>
                  <w:noWrap w:val="0"/>
                  <w:vAlign w:val="center"/>
                </w:tcPr>
                <w:p w14:paraId="39A80FA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净化效果一般</w:t>
                  </w:r>
                </w:p>
              </w:tc>
              <w:tc>
                <w:tcPr>
                  <w:tcW w:w="1589" w:type="dxa"/>
                  <w:tcBorders>
                    <w:tl2br w:val="nil"/>
                    <w:tr2bl w:val="nil"/>
                  </w:tcBorders>
                  <w:noWrap w:val="0"/>
                  <w:vAlign w:val="center"/>
                </w:tcPr>
                <w:p w14:paraId="4DF480F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需燃料费高，燃烧装置等造价高、处理低浓度、风量大废气经济不合适</w:t>
                  </w:r>
                </w:p>
              </w:tc>
            </w:tr>
          </w:tbl>
          <w:p w14:paraId="0B43A1D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有机废气处理目前可行工艺为活性炭吸附法、燃烧法、浓缩</w:t>
            </w:r>
            <w:r>
              <w:rPr>
                <w:rFonts w:hint="eastAsia"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燃烧法。项目有机废气产生浓度低，且不连续，不适合采用燃烧法，可以采用活性炭吸附法。根据《吸附法工业有机废气治理工程技术规定》（HJ2026-2013），为保证废气与活性炭的接触时间和吸附效果，要求控制吸附装置吸附层的风速，一般取0.10m/s～0.15m/s之间；吸附剂和气体的接触时间宜按不低于3s计；同时确保项目活性炭吸附装置一次性装置量，定期更换活性炭，采取以上治理措</w:t>
            </w:r>
            <w:r>
              <w:rPr>
                <w:rFonts w:hint="eastAsia" w:cs="宋体"/>
                <w:color w:val="auto"/>
                <w:kern w:val="2"/>
                <w:sz w:val="24"/>
                <w:szCs w:val="24"/>
                <w:lang w:val="en-US" w:eastAsia="zh-CN" w:bidi="ar-SA"/>
              </w:rPr>
              <w:t>施和</w:t>
            </w:r>
            <w:r>
              <w:rPr>
                <w:rFonts w:hint="default" w:ascii="Times New Roman" w:hAnsi="Times New Roman" w:eastAsia="宋体" w:cs="宋体"/>
                <w:color w:val="auto"/>
                <w:kern w:val="2"/>
                <w:sz w:val="24"/>
                <w:szCs w:val="24"/>
                <w:lang w:val="en-US" w:eastAsia="zh-CN" w:bidi="ar-SA"/>
              </w:rPr>
              <w:t>综合治理措施后，运行维护良好的活性炭吸附可使有机废气净化效率≥</w:t>
            </w:r>
            <w:r>
              <w:rPr>
                <w:rFonts w:hint="eastAsia" w:ascii="Times New Roman" w:hAnsi="Times New Roman" w:eastAsia="宋体" w:cs="宋体"/>
                <w:color w:val="auto"/>
                <w:kern w:val="2"/>
                <w:sz w:val="24"/>
                <w:szCs w:val="24"/>
                <w:lang w:val="en-US" w:eastAsia="zh-CN" w:bidi="ar-SA"/>
              </w:rPr>
              <w:t>9</w:t>
            </w:r>
            <w:r>
              <w:rPr>
                <w:rFonts w:hint="default" w:ascii="Times New Roman" w:hAnsi="Times New Roman" w:eastAsia="宋体" w:cs="宋体"/>
                <w:color w:val="auto"/>
                <w:kern w:val="2"/>
                <w:sz w:val="24"/>
                <w:szCs w:val="24"/>
                <w:lang w:val="en-US" w:eastAsia="zh-CN" w:bidi="ar-SA"/>
              </w:rPr>
              <w:t>0%。工业实际应用中，受废气的成分、设计参数、设备维护、环境因素等影响，活性炭吸附装置的去除效率随污染物浓度而变化。考虑到生产过程中产生有机物的工艺节点较多，有机物的产生浓度存在一定的波动性，活性炭吸附装置综合去除效率按</w:t>
            </w:r>
            <w:r>
              <w:rPr>
                <w:rFonts w:hint="eastAsia" w:ascii="Times New Roman" w:hAnsi="Times New Roman" w:eastAsia="宋体" w:cs="宋体"/>
                <w:color w:val="auto"/>
                <w:kern w:val="2"/>
                <w:sz w:val="24"/>
                <w:szCs w:val="24"/>
                <w:lang w:val="en-US" w:eastAsia="zh-CN" w:bidi="ar-SA"/>
              </w:rPr>
              <w:t>8</w:t>
            </w:r>
            <w:r>
              <w:rPr>
                <w:rFonts w:hint="default" w:ascii="Times New Roman" w:hAnsi="Times New Roman" w:eastAsia="宋体" w:cs="宋体"/>
                <w:color w:val="auto"/>
                <w:kern w:val="2"/>
                <w:sz w:val="24"/>
                <w:szCs w:val="24"/>
                <w:lang w:val="en-US" w:eastAsia="zh-CN" w:bidi="ar-SA"/>
              </w:rPr>
              <w:t>0%</w:t>
            </w:r>
            <w:r>
              <w:rPr>
                <w:rFonts w:hint="eastAsia" w:cs="宋体"/>
                <w:color w:val="auto"/>
                <w:kern w:val="2"/>
                <w:sz w:val="24"/>
                <w:szCs w:val="24"/>
                <w:lang w:val="en-US" w:eastAsia="zh-CN" w:bidi="ar-SA"/>
              </w:rPr>
              <w:t>计算</w:t>
            </w:r>
            <w:r>
              <w:rPr>
                <w:rFonts w:hint="default" w:ascii="Times New Roman" w:hAnsi="Times New Roman" w:eastAsia="宋体" w:cs="宋体"/>
                <w:color w:val="auto"/>
                <w:kern w:val="2"/>
                <w:sz w:val="24"/>
                <w:szCs w:val="24"/>
                <w:lang w:val="en-US" w:eastAsia="zh-CN" w:bidi="ar-SA"/>
              </w:rPr>
              <w:t>。</w:t>
            </w:r>
          </w:p>
          <w:p w14:paraId="6411B37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①活性炭吸附装置分析</w:t>
            </w:r>
          </w:p>
          <w:p w14:paraId="29AD333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活性炭，是一种具有多孔结构和大的内部比表面积的材料。由于其大的比表面积、微孔结构、高的吸附能力和很高的表面活性而成为独特的多功能吸附剂，且其价廉易得，可再生活化，同时它可有效去除废水、废气中的大部分有机物和某些无机物，所以它被世界各国广泛地应用于污水及废气的处理、空气净化、回收溶剂等环境保护和资源回收等领域。活性炭分为粉末活性炭、粒状活性炭及活性炭纤维，但是由于粉末活性炭产生二次污染且不能再生而被限制使用。粒状活性炭粒径500～5000μm，有机废气通过吸附床，与活性炭接触，废气中的有机污染物被吸附在活性炭表面，从而从气流中脱离出来，达到净化效果。采用颗粒活性炭作为吸附剂时，其碘值不宜低于800mg/g，采用蜂窝活性炭作为吸附剂时，其碘值不宜低于6</w:t>
            </w:r>
            <w:r>
              <w:rPr>
                <w:rFonts w:hint="eastAsia" w:cs="宋体"/>
                <w:color w:val="auto"/>
                <w:kern w:val="2"/>
                <w:sz w:val="24"/>
                <w:szCs w:val="24"/>
                <w:lang w:val="en-US" w:eastAsia="zh-CN" w:bidi="ar-SA"/>
              </w:rPr>
              <w:t>25m</w:t>
            </w:r>
            <w:r>
              <w:rPr>
                <w:rFonts w:hint="default" w:ascii="Times New Roman" w:hAnsi="Times New Roman" w:eastAsia="宋体" w:cs="宋体"/>
                <w:color w:val="auto"/>
                <w:kern w:val="2"/>
                <w:sz w:val="24"/>
                <w:szCs w:val="24"/>
                <w:lang w:val="en-US" w:eastAsia="zh-CN" w:bidi="ar-SA"/>
              </w:rPr>
              <w:t>g/g，采用活性炭纤维作为吸附剂时，其比表面积不低于1100m</w:t>
            </w:r>
            <w:r>
              <w:rPr>
                <w:rFonts w:hint="default" w:ascii="Times New Roman" w:hAnsi="Times New Roman" w:eastAsia="宋体" w:cs="宋体"/>
                <w:color w:val="auto"/>
                <w:kern w:val="2"/>
                <w:sz w:val="24"/>
                <w:szCs w:val="24"/>
                <w:vertAlign w:val="superscript"/>
                <w:lang w:val="en-US" w:eastAsia="zh-CN" w:bidi="ar-SA"/>
              </w:rPr>
              <w:t>2</w:t>
            </w:r>
            <w:r>
              <w:rPr>
                <w:rFonts w:hint="default" w:ascii="Times New Roman" w:hAnsi="Times New Roman" w:eastAsia="宋体" w:cs="宋体"/>
                <w:color w:val="auto"/>
                <w:kern w:val="2"/>
                <w:sz w:val="24"/>
                <w:szCs w:val="24"/>
                <w:lang w:val="en-US" w:eastAsia="zh-CN" w:bidi="ar-SA"/>
              </w:rPr>
              <w:t>/g（BET法）。一次性活性炭吸附工艺宜采用颗粒活性炭作为吸附剂。活性炭、活性炭纤维产品销售时应提供产品质量证明材料，项目计划每两个月更换一次活性炭。活性炭对有机废气具有良好的吸附效果，可使得有机废气处理能力达到</w:t>
            </w:r>
            <w:r>
              <w:rPr>
                <w:rFonts w:hint="eastAsia" w:ascii="Times New Roman" w:hAnsi="Times New Roman" w:eastAsia="宋体" w:cs="宋体"/>
                <w:color w:val="auto"/>
                <w:kern w:val="2"/>
                <w:sz w:val="24"/>
                <w:szCs w:val="24"/>
                <w:lang w:val="en-US" w:eastAsia="zh-CN" w:bidi="ar-SA"/>
              </w:rPr>
              <w:t>8</w:t>
            </w:r>
            <w:r>
              <w:rPr>
                <w:rFonts w:hint="default" w:ascii="Times New Roman" w:hAnsi="Times New Roman" w:eastAsia="宋体" w:cs="宋体"/>
                <w:color w:val="auto"/>
                <w:kern w:val="2"/>
                <w:sz w:val="24"/>
                <w:szCs w:val="24"/>
                <w:lang w:val="en-US" w:eastAsia="zh-CN" w:bidi="ar-SA"/>
              </w:rPr>
              <w:t>0%以上。</w:t>
            </w:r>
          </w:p>
          <w:p w14:paraId="710C8864">
            <w:pPr>
              <w:pStyle w:val="5"/>
              <w:bidi w:val="0"/>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②</w:t>
            </w:r>
            <w:r>
              <w:rPr>
                <w:rFonts w:hint="default" w:ascii="Times New Roman" w:hAnsi="Times New Roman" w:eastAsia="宋体" w:cs="宋体"/>
                <w:color w:val="auto"/>
                <w:kern w:val="2"/>
                <w:sz w:val="24"/>
                <w:szCs w:val="24"/>
                <w:lang w:val="en-US" w:eastAsia="zh-CN" w:bidi="ar-SA"/>
              </w:rPr>
              <w:t>集气效率要求及可靠性分析</w:t>
            </w:r>
          </w:p>
          <w:p w14:paraId="2A81C8A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根据《福建省环保厅关于印发福建省重点行业挥发性有机物排放控制要求（试行）的通知》（闽环保大气〔2017〕9号）中提出的密闭式局部收集的逸散的VOCs废气收集率应达到80%以上。本项目挥发性有机物排放主要为有机废气。项目车间除出入外，其他均为密闭，收集效率按</w:t>
            </w:r>
            <w:r>
              <w:rPr>
                <w:rFonts w:hint="eastAsia" w:ascii="Times New Roman" w:hAnsi="Times New Roman" w:eastAsia="宋体" w:cs="宋体"/>
                <w:color w:val="auto"/>
                <w:kern w:val="2"/>
                <w:sz w:val="24"/>
                <w:szCs w:val="24"/>
                <w:lang w:val="en-US" w:eastAsia="zh-CN" w:bidi="ar-SA"/>
              </w:rPr>
              <w:t>90</w:t>
            </w:r>
            <w:r>
              <w:rPr>
                <w:rFonts w:hint="default" w:ascii="Times New Roman" w:hAnsi="Times New Roman" w:eastAsia="宋体" w:cs="宋体"/>
                <w:color w:val="auto"/>
                <w:kern w:val="2"/>
                <w:sz w:val="24"/>
                <w:szCs w:val="24"/>
                <w:lang w:val="en-US" w:eastAsia="zh-CN" w:bidi="ar-SA"/>
              </w:rPr>
              <w:t>%计，要求废气收集系统与生产设备自动同步启动，采取以上措施，正常情</w:t>
            </w:r>
            <w:r>
              <w:rPr>
                <w:rFonts w:hint="eastAsia" w:cs="宋体"/>
                <w:color w:val="auto"/>
                <w:kern w:val="2"/>
                <w:sz w:val="24"/>
                <w:szCs w:val="24"/>
                <w:lang w:val="en-US" w:eastAsia="zh-CN" w:bidi="ar-SA"/>
              </w:rPr>
              <w:t>况下</w:t>
            </w:r>
            <w:r>
              <w:rPr>
                <w:rFonts w:hint="default" w:ascii="Times New Roman" w:hAnsi="Times New Roman" w:eastAsia="宋体" w:cs="宋体"/>
                <w:color w:val="auto"/>
                <w:kern w:val="2"/>
                <w:sz w:val="24"/>
                <w:szCs w:val="24"/>
                <w:lang w:val="en-US" w:eastAsia="zh-CN" w:bidi="ar-SA"/>
              </w:rPr>
              <w:t>，可确保收集效率可达</w:t>
            </w:r>
            <w:r>
              <w:rPr>
                <w:rFonts w:hint="eastAsia" w:ascii="Times New Roman" w:hAnsi="Times New Roman" w:eastAsia="宋体" w:cs="宋体"/>
                <w:color w:val="auto"/>
                <w:kern w:val="2"/>
                <w:sz w:val="24"/>
                <w:szCs w:val="24"/>
                <w:lang w:val="en-US" w:eastAsia="zh-CN" w:bidi="ar-SA"/>
              </w:rPr>
              <w:t>90%</w:t>
            </w:r>
            <w:r>
              <w:rPr>
                <w:rFonts w:hint="default" w:ascii="Times New Roman" w:hAnsi="Times New Roman" w:eastAsia="宋体" w:cs="宋体"/>
                <w:color w:val="auto"/>
                <w:kern w:val="2"/>
                <w:sz w:val="24"/>
                <w:szCs w:val="24"/>
                <w:lang w:val="en-US" w:eastAsia="zh-CN" w:bidi="ar-SA"/>
              </w:rPr>
              <w:t>，可符合闽环保大气〔2017〕9号提出VOCs废气收集率应达到80%以上，可符合要求。</w:t>
            </w:r>
          </w:p>
          <w:p w14:paraId="19E3B4C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综上，通过采取以上废气治理措施后，对周边环境影响较小。</w:t>
            </w:r>
          </w:p>
          <w:p w14:paraId="28392282">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（2）无组织废气防治措施及达标分析</w:t>
            </w:r>
          </w:p>
          <w:p w14:paraId="768A9F0C">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项目无组织废气主要为</w:t>
            </w:r>
            <w:r>
              <w:rPr>
                <w:rFonts w:hint="eastAsia" w:ascii="Times New Roman" w:hAnsi="Times New Roman"/>
                <w:color w:val="auto"/>
                <w:lang w:val="en-US" w:eastAsia="zh-CN"/>
              </w:rPr>
              <w:t>使用有机溶剂时</w:t>
            </w:r>
            <w:r>
              <w:rPr>
                <w:rFonts w:hint="default" w:ascii="Times New Roman" w:hAnsi="Times New Roman"/>
                <w:color w:val="auto"/>
                <w:lang w:val="en-US" w:eastAsia="zh-CN"/>
              </w:rPr>
              <w:t>产生的</w:t>
            </w:r>
            <w:r>
              <w:rPr>
                <w:rFonts w:hint="eastAsia" w:ascii="Times New Roman" w:hAnsi="Times New Roman"/>
                <w:color w:val="auto"/>
                <w:lang w:val="en-US" w:eastAsia="zh-CN"/>
              </w:rPr>
              <w:t>有机废气（以非甲烷总烃计）</w:t>
            </w:r>
            <w:r>
              <w:rPr>
                <w:rFonts w:hint="default" w:ascii="Times New Roman" w:hAnsi="Times New Roman"/>
                <w:color w:val="auto"/>
                <w:lang w:val="en-US" w:eastAsia="zh-CN"/>
              </w:rPr>
              <w:t>。采取的防止无组织气体排放的主要措施有：</w:t>
            </w:r>
          </w:p>
          <w:p w14:paraId="65409A83">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A</w:t>
            </w:r>
            <w:r>
              <w:rPr>
                <w:rFonts w:hint="eastAsia"/>
                <w:color w:val="auto"/>
                <w:lang w:val="en-US" w:eastAsia="zh-CN"/>
              </w:rPr>
              <w:t>.</w:t>
            </w:r>
            <w:r>
              <w:rPr>
                <w:rFonts w:hint="default" w:ascii="Times New Roman" w:hAnsi="Times New Roman"/>
                <w:color w:val="auto"/>
                <w:lang w:val="en-US" w:eastAsia="zh-CN"/>
              </w:rPr>
              <w:t>加强废气集中收集和处理，确保</w:t>
            </w:r>
            <w:r>
              <w:rPr>
                <w:rFonts w:hint="eastAsia" w:ascii="Times New Roman" w:hAnsi="Times New Roman"/>
                <w:color w:val="auto"/>
                <w:lang w:val="en-US" w:eastAsia="zh-CN"/>
              </w:rPr>
              <w:t>密闭负压车间的</w:t>
            </w:r>
            <w:r>
              <w:rPr>
                <w:rFonts w:hint="default" w:ascii="Times New Roman" w:hAnsi="Times New Roman"/>
                <w:color w:val="auto"/>
                <w:lang w:val="en-US" w:eastAsia="zh-CN"/>
              </w:rPr>
              <w:t>废气收集系统的密闭性，减少废气的无组织排放。</w:t>
            </w:r>
          </w:p>
          <w:p w14:paraId="49F9A526">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B</w:t>
            </w:r>
            <w:r>
              <w:rPr>
                <w:rFonts w:hint="eastAsia"/>
                <w:color w:val="auto"/>
                <w:lang w:val="en-US" w:eastAsia="zh-CN"/>
              </w:rPr>
              <w:t>.</w:t>
            </w:r>
            <w:r>
              <w:rPr>
                <w:rFonts w:hint="eastAsia" w:ascii="Times New Roman" w:hAnsi="Times New Roman"/>
                <w:color w:val="auto"/>
                <w:lang w:val="en-US" w:eastAsia="zh-CN"/>
              </w:rPr>
              <w:t>定期检查密闭负压车间的密闭情况、负压情况，确保废气能被连续、稳定</w:t>
            </w:r>
            <w:r>
              <w:rPr>
                <w:rFonts w:hint="eastAsia"/>
                <w:color w:val="auto"/>
                <w:lang w:val="en-US" w:eastAsia="zh-CN"/>
              </w:rPr>
              <w:t>地</w:t>
            </w:r>
            <w:r>
              <w:rPr>
                <w:rFonts w:hint="eastAsia" w:ascii="Times New Roman" w:hAnsi="Times New Roman"/>
                <w:color w:val="auto"/>
                <w:lang w:val="en-US" w:eastAsia="zh-CN"/>
              </w:rPr>
              <w:t>收集。</w:t>
            </w:r>
          </w:p>
          <w:p w14:paraId="03AB33EA">
            <w:pPr>
              <w:pStyle w:val="5"/>
              <w:bidi w:val="0"/>
              <w:rPr>
                <w:rFonts w:hint="default" w:ascii="Times New Roman" w:hAnsi="Times New Roman"/>
                <w:color w:val="auto"/>
                <w:lang w:val="en-US" w:eastAsia="zh-CN"/>
              </w:rPr>
            </w:pPr>
            <w:r>
              <w:rPr>
                <w:rFonts w:hint="default" w:ascii="Times New Roman" w:hAnsi="Times New Roman"/>
                <w:color w:val="auto"/>
                <w:lang w:val="en-US" w:eastAsia="zh-CN"/>
              </w:rPr>
              <w:t>C</w:t>
            </w:r>
            <w:r>
              <w:rPr>
                <w:rFonts w:hint="eastAsia"/>
                <w:color w:val="auto"/>
                <w:lang w:val="en-US" w:eastAsia="zh-CN"/>
              </w:rPr>
              <w:t>.</w:t>
            </w:r>
            <w:r>
              <w:rPr>
                <w:rFonts w:hint="default" w:ascii="Times New Roman" w:hAnsi="Times New Roman"/>
                <w:color w:val="auto"/>
                <w:lang w:val="en-US" w:eastAsia="zh-CN"/>
              </w:rPr>
              <w:t>加强运行管理和环境管理，提高工人操作水平，通过宣传增强职工环保意识，积极推行清洁生产，节能降耗，多种措施并举，减少污染物排放。</w:t>
            </w:r>
          </w:p>
          <w:p w14:paraId="346FB1A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综上，通过采取以上废气治理措施后，</w:t>
            </w:r>
            <w:r>
              <w:rPr>
                <w:rFonts w:hint="eastAsia" w:ascii="Times New Roman" w:hAnsi="Times New Roman" w:eastAsia="宋体" w:cs="宋体"/>
                <w:color w:val="auto"/>
                <w:kern w:val="2"/>
                <w:sz w:val="24"/>
                <w:szCs w:val="24"/>
                <w:lang w:val="en-US" w:eastAsia="zh-CN" w:bidi="ar-SA"/>
              </w:rPr>
              <w:t>有组织废气能够达到《工业企业挥发性有机物排放标准》（DB35/1782-2018）表1中其他行业标准。</w:t>
            </w:r>
            <w:r>
              <w:rPr>
                <w:rFonts w:hint="default" w:ascii="Times New Roman" w:hAnsi="Times New Roman" w:eastAsia="宋体" w:cs="宋体"/>
                <w:color w:val="auto"/>
                <w:kern w:val="2"/>
                <w:sz w:val="24"/>
                <w:szCs w:val="24"/>
                <w:lang w:val="en-US" w:eastAsia="zh-CN" w:bidi="ar-SA"/>
              </w:rPr>
              <w:t>对周边环境影响较小。</w:t>
            </w:r>
          </w:p>
          <w:p w14:paraId="28FE4B84">
            <w:pPr>
              <w:keepNext/>
              <w:keepLines/>
              <w:widowControl w:val="0"/>
              <w:bidi w:val="0"/>
              <w:spacing w:beforeLines="0" w:beforeAutospacing="0" w:afterLines="0" w:afterAutospacing="0" w:line="360" w:lineRule="auto"/>
              <w:jc w:val="left"/>
              <w:outlineLvl w:val="2"/>
              <w:rPr>
                <w:rFonts w:hint="default" w:ascii="Times New Roman" w:hAnsi="Times New Roman" w:eastAsia="宋体" w:cs="Times New Roman"/>
                <w:b/>
                <w:color w:val="auto"/>
                <w:kern w:val="2"/>
                <w:sz w:val="24"/>
                <w:szCs w:val="24"/>
                <w:lang w:val="en-US" w:eastAsia="zh-CN" w:bidi="ar-SA"/>
              </w:rPr>
            </w:pPr>
            <w:bookmarkStart w:id="84" w:name="_Toc24218"/>
            <w:r>
              <w:rPr>
                <w:rFonts w:hint="default" w:ascii="Times New Roman" w:hAnsi="Times New Roman" w:eastAsia="宋体" w:cs="Times New Roman"/>
                <w:b/>
                <w:color w:val="auto"/>
                <w:kern w:val="2"/>
                <w:sz w:val="24"/>
                <w:szCs w:val="24"/>
                <w:lang w:val="en-US" w:eastAsia="zh-CN" w:bidi="ar-SA"/>
              </w:rPr>
              <w:t>4.2.3非正常工况排放量核算</w:t>
            </w:r>
            <w:bookmarkEnd w:id="84"/>
          </w:p>
          <w:p w14:paraId="5569019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（1）非正常排放情形及排放源强</w:t>
            </w:r>
          </w:p>
          <w:p w14:paraId="592D615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非正常排放情况指设备检修、污染物排放控制措施达不到应有效率、工艺设备运转异常等情况下的排污。根据本项目的情况，结合同类企业运营情况，确定项目非正常排放情况为污染治理设施发生故障、运转异常（如风机故障、集气管道破裂等），或维护不到位导致废气处理设施效率降低等非正常工况，情形如下：</w:t>
            </w:r>
          </w:p>
          <w:p w14:paraId="4BE7579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①有机废气处理设施故障，导致有机废气非正常排放。</w:t>
            </w:r>
          </w:p>
          <w:p w14:paraId="5A02B47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本评价按最不利情况考虑，即废气处理效率降低为0%的情况下污染物排放对周边环境的影响。由于有机废气事故排放效果不显著，短时间内难以发现，非正常工况持续时间按1h计，发生频率按1次/年。非正常工况下废气排放源强核算结果见下表4.2-</w:t>
            </w:r>
            <w:r>
              <w:rPr>
                <w:rFonts w:hint="eastAsia" w:cs="宋体"/>
                <w:color w:val="auto"/>
                <w:kern w:val="2"/>
                <w:sz w:val="24"/>
                <w:szCs w:val="24"/>
                <w:lang w:val="en-US" w:eastAsia="zh-CN" w:bidi="ar-SA"/>
              </w:rPr>
              <w:t>3</w:t>
            </w:r>
            <w:r>
              <w:rPr>
                <w:rFonts w:hint="default" w:ascii="Times New Roman" w:hAnsi="Times New Roman" w:eastAsia="宋体" w:cs="宋体"/>
                <w:color w:val="auto"/>
                <w:kern w:val="2"/>
                <w:sz w:val="24"/>
                <w:szCs w:val="24"/>
                <w:lang w:val="en-US" w:eastAsia="zh-CN" w:bidi="ar-SA"/>
              </w:rPr>
              <w:t>。</w:t>
            </w:r>
          </w:p>
          <w:p w14:paraId="1167AE34">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default" w:ascii="Times New Roman" w:hAnsi="Times New Roman" w:eastAsia="宋体" w:cs="Times New Roman"/>
                <w:b/>
                <w:color w:val="auto"/>
                <w:kern w:val="0"/>
                <w:sz w:val="24"/>
                <w:szCs w:val="20"/>
                <w:lang w:val="en-US" w:eastAsia="zh-CN" w:bidi="ar-SA"/>
              </w:rPr>
              <w:t>表4.2-</w:t>
            </w:r>
            <w:r>
              <w:rPr>
                <w:rFonts w:hint="eastAsia" w:cs="Times New Roman"/>
                <w:b/>
                <w:color w:val="auto"/>
                <w:kern w:val="0"/>
                <w:sz w:val="24"/>
                <w:szCs w:val="20"/>
                <w:lang w:val="en-US" w:eastAsia="zh-CN" w:bidi="ar-SA"/>
              </w:rPr>
              <w:t xml:space="preserve">3  </w:t>
            </w:r>
            <w:r>
              <w:rPr>
                <w:rFonts w:hint="default" w:ascii="Times New Roman" w:hAnsi="Times New Roman" w:eastAsia="宋体" w:cs="Times New Roman"/>
                <w:b/>
                <w:color w:val="auto"/>
                <w:kern w:val="0"/>
                <w:sz w:val="24"/>
                <w:szCs w:val="20"/>
                <w:lang w:val="en-US" w:eastAsia="zh-CN" w:bidi="ar-SA"/>
              </w:rPr>
              <w:t>污染源非正常排放量核算</w:t>
            </w:r>
          </w:p>
          <w:tbl>
            <w:tblPr>
              <w:tblStyle w:val="20"/>
              <w:tblW w:w="779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28"/>
              <w:gridCol w:w="779"/>
              <w:gridCol w:w="960"/>
              <w:gridCol w:w="870"/>
              <w:gridCol w:w="1380"/>
              <w:gridCol w:w="1170"/>
              <w:gridCol w:w="705"/>
              <w:gridCol w:w="675"/>
              <w:gridCol w:w="825"/>
            </w:tblGrid>
            <w:tr w14:paraId="077AB6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28" w:type="dxa"/>
                  <w:tcBorders>
                    <w:tl2br w:val="nil"/>
                    <w:tr2bl w:val="nil"/>
                  </w:tcBorders>
                  <w:noWrap w:val="0"/>
                  <w:vAlign w:val="center"/>
                </w:tcPr>
                <w:p w14:paraId="74BA45B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序号</w:t>
                  </w:r>
                </w:p>
              </w:tc>
              <w:tc>
                <w:tcPr>
                  <w:tcW w:w="779" w:type="dxa"/>
                  <w:tcBorders>
                    <w:tl2br w:val="nil"/>
                    <w:tr2bl w:val="nil"/>
                  </w:tcBorders>
                  <w:noWrap w:val="0"/>
                  <w:vAlign w:val="center"/>
                </w:tcPr>
                <w:p w14:paraId="2C3DCE6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排放源</w:t>
                  </w:r>
                </w:p>
              </w:tc>
              <w:tc>
                <w:tcPr>
                  <w:tcW w:w="960" w:type="dxa"/>
                  <w:tcBorders>
                    <w:tl2br w:val="nil"/>
                    <w:tr2bl w:val="nil"/>
                  </w:tcBorders>
                  <w:noWrap w:val="0"/>
                  <w:vAlign w:val="center"/>
                </w:tcPr>
                <w:p w14:paraId="78B5977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非正常排放原因</w:t>
                  </w:r>
                </w:p>
              </w:tc>
              <w:tc>
                <w:tcPr>
                  <w:tcW w:w="870" w:type="dxa"/>
                  <w:tcBorders>
                    <w:tl2br w:val="nil"/>
                    <w:tr2bl w:val="nil"/>
                  </w:tcBorders>
                  <w:noWrap w:val="0"/>
                  <w:vAlign w:val="center"/>
                </w:tcPr>
                <w:p w14:paraId="0D88EE7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eastAsia" w:ascii="Times New Roman" w:hAnsi="Times New Roman" w:eastAsia="宋体" w:cs="Times New Roman"/>
                      <w:b/>
                      <w:bCs/>
                      <w:color w:val="auto"/>
                      <w:kern w:val="0"/>
                      <w:sz w:val="21"/>
                      <w:szCs w:val="21"/>
                      <w:lang w:val="en-US" w:eastAsia="zh-CN" w:bidi="ar-SA"/>
                    </w:rPr>
                    <w:t>污染源</w:t>
                  </w:r>
                </w:p>
              </w:tc>
              <w:tc>
                <w:tcPr>
                  <w:tcW w:w="1380" w:type="dxa"/>
                  <w:tcBorders>
                    <w:tl2br w:val="nil"/>
                    <w:tr2bl w:val="nil"/>
                  </w:tcBorders>
                  <w:noWrap w:val="0"/>
                  <w:vAlign w:val="center"/>
                </w:tcPr>
                <w:p w14:paraId="3DE6478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非正常排放浓 度</w:t>
                  </w:r>
                </w:p>
              </w:tc>
              <w:tc>
                <w:tcPr>
                  <w:tcW w:w="1170" w:type="dxa"/>
                  <w:tcBorders>
                    <w:tl2br w:val="nil"/>
                    <w:tr2bl w:val="nil"/>
                  </w:tcBorders>
                  <w:noWrap w:val="0"/>
                  <w:vAlign w:val="center"/>
                </w:tcPr>
                <w:p w14:paraId="6C82195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非正常排放速率</w:t>
                  </w:r>
                </w:p>
              </w:tc>
              <w:tc>
                <w:tcPr>
                  <w:tcW w:w="705" w:type="dxa"/>
                  <w:tcBorders>
                    <w:tl2br w:val="nil"/>
                    <w:tr2bl w:val="nil"/>
                  </w:tcBorders>
                  <w:noWrap w:val="0"/>
                  <w:vAlign w:val="center"/>
                </w:tcPr>
                <w:p w14:paraId="4029B96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单次维持时间</w:t>
                  </w:r>
                </w:p>
              </w:tc>
              <w:tc>
                <w:tcPr>
                  <w:tcW w:w="675" w:type="dxa"/>
                  <w:tcBorders>
                    <w:tl2br w:val="nil"/>
                    <w:tr2bl w:val="nil"/>
                  </w:tcBorders>
                  <w:noWrap w:val="0"/>
                  <w:vAlign w:val="center"/>
                </w:tcPr>
                <w:p w14:paraId="267041D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年发生次数</w:t>
                  </w:r>
                </w:p>
              </w:tc>
              <w:tc>
                <w:tcPr>
                  <w:tcW w:w="825" w:type="dxa"/>
                  <w:tcBorders>
                    <w:tl2br w:val="nil"/>
                    <w:tr2bl w:val="nil"/>
                  </w:tcBorders>
                  <w:noWrap w:val="0"/>
                  <w:vAlign w:val="center"/>
                </w:tcPr>
                <w:p w14:paraId="1758F7F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应对措施</w:t>
                  </w:r>
                </w:p>
              </w:tc>
            </w:tr>
            <w:tr w14:paraId="4A2312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428" w:type="dxa"/>
                  <w:tcBorders>
                    <w:tl2br w:val="nil"/>
                    <w:tr2bl w:val="nil"/>
                  </w:tcBorders>
                  <w:noWrap w:val="0"/>
                  <w:vAlign w:val="center"/>
                </w:tcPr>
                <w:p w14:paraId="47ACBBE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w:t>
                  </w:r>
                </w:p>
              </w:tc>
              <w:tc>
                <w:tcPr>
                  <w:tcW w:w="779" w:type="dxa"/>
                  <w:tcBorders>
                    <w:tl2br w:val="nil"/>
                    <w:tr2bl w:val="nil"/>
                  </w:tcBorders>
                  <w:noWrap w:val="0"/>
                  <w:vAlign w:val="center"/>
                </w:tcPr>
                <w:p w14:paraId="21A0649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DA00</w:t>
                  </w:r>
                  <w:r>
                    <w:rPr>
                      <w:rFonts w:hint="eastAsia" w:cs="Times New Roman"/>
                      <w:color w:val="auto"/>
                      <w:kern w:val="0"/>
                      <w:sz w:val="21"/>
                      <w:szCs w:val="21"/>
                      <w:lang w:val="en-US" w:eastAsia="zh-CN" w:bidi="ar-SA"/>
                    </w:rPr>
                    <w:t>1</w:t>
                  </w:r>
                </w:p>
              </w:tc>
              <w:tc>
                <w:tcPr>
                  <w:tcW w:w="960" w:type="dxa"/>
                  <w:tcBorders>
                    <w:tl2br w:val="nil"/>
                    <w:tr2bl w:val="nil"/>
                  </w:tcBorders>
                  <w:noWrap w:val="0"/>
                  <w:vAlign w:val="center"/>
                </w:tcPr>
                <w:p w14:paraId="1BC1B54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废气治理设施故障</w:t>
                  </w:r>
                </w:p>
              </w:tc>
              <w:tc>
                <w:tcPr>
                  <w:tcW w:w="870" w:type="dxa"/>
                  <w:tcBorders>
                    <w:tl2br w:val="nil"/>
                    <w:tr2bl w:val="nil"/>
                  </w:tcBorders>
                  <w:noWrap w:val="0"/>
                  <w:vAlign w:val="center"/>
                </w:tcPr>
                <w:p w14:paraId="0565F5F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VOCs、乙醇、乙醚、丙酮（以非甲烷总烃计）</w:t>
                  </w:r>
                </w:p>
              </w:tc>
              <w:tc>
                <w:tcPr>
                  <w:tcW w:w="1380" w:type="dxa"/>
                  <w:tcBorders>
                    <w:tl2br w:val="nil"/>
                    <w:tr2bl w:val="nil"/>
                  </w:tcBorders>
                  <w:noWrap w:val="0"/>
                  <w:vAlign w:val="center"/>
                </w:tcPr>
                <w:p w14:paraId="3440BB3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51.59</w:t>
                  </w:r>
                  <w:r>
                    <w:rPr>
                      <w:rFonts w:hint="eastAsia" w:ascii="Times New Roman" w:hAnsi="Times New Roman" w:eastAsia="宋体" w:cs="Times New Roman"/>
                      <w:color w:val="auto"/>
                      <w:kern w:val="0"/>
                      <w:sz w:val="21"/>
                      <w:szCs w:val="21"/>
                      <w:lang w:val="en-US" w:eastAsia="zh-CN" w:bidi="ar-SA"/>
                    </w:rPr>
                    <w:t>mg/m</w:t>
                  </w:r>
                  <w:r>
                    <w:rPr>
                      <w:rFonts w:hint="eastAsia" w:ascii="Times New Roman" w:hAnsi="Times New Roman" w:eastAsia="宋体" w:cs="Times New Roman"/>
                      <w:color w:val="auto"/>
                      <w:kern w:val="0"/>
                      <w:sz w:val="21"/>
                      <w:szCs w:val="21"/>
                      <w:vertAlign w:val="superscript"/>
                      <w:lang w:val="en-US" w:eastAsia="zh-CN" w:bidi="ar-SA"/>
                    </w:rPr>
                    <w:t>3</w:t>
                  </w:r>
                </w:p>
              </w:tc>
              <w:tc>
                <w:tcPr>
                  <w:tcW w:w="1170" w:type="dxa"/>
                  <w:tcBorders>
                    <w:tl2br w:val="nil"/>
                    <w:tr2bl w:val="nil"/>
                  </w:tcBorders>
                  <w:noWrap w:val="0"/>
                  <w:vAlign w:val="center"/>
                </w:tcPr>
                <w:p w14:paraId="2D27984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0.5159</w:t>
                  </w:r>
                  <w:r>
                    <w:rPr>
                      <w:rFonts w:hint="eastAsia" w:ascii="Times New Roman" w:hAnsi="Times New Roman" w:eastAsia="宋体" w:cs="Times New Roman"/>
                      <w:color w:val="auto"/>
                      <w:kern w:val="0"/>
                      <w:sz w:val="21"/>
                      <w:szCs w:val="21"/>
                      <w:lang w:val="en-US" w:eastAsia="zh-CN" w:bidi="ar-SA"/>
                    </w:rPr>
                    <w:t>kg/h</w:t>
                  </w:r>
                </w:p>
              </w:tc>
              <w:tc>
                <w:tcPr>
                  <w:tcW w:w="705" w:type="dxa"/>
                  <w:tcBorders>
                    <w:tl2br w:val="nil"/>
                    <w:tr2bl w:val="nil"/>
                  </w:tcBorders>
                  <w:noWrap w:val="0"/>
                  <w:vAlign w:val="center"/>
                </w:tcPr>
                <w:p w14:paraId="0C45877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1h</w:t>
                  </w:r>
                </w:p>
              </w:tc>
              <w:tc>
                <w:tcPr>
                  <w:tcW w:w="675" w:type="dxa"/>
                  <w:tcBorders>
                    <w:tl2br w:val="nil"/>
                    <w:tr2bl w:val="nil"/>
                  </w:tcBorders>
                  <w:noWrap w:val="0"/>
                  <w:vAlign w:val="center"/>
                </w:tcPr>
                <w:p w14:paraId="17917EF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1次</w:t>
                  </w:r>
                </w:p>
              </w:tc>
              <w:tc>
                <w:tcPr>
                  <w:tcW w:w="825" w:type="dxa"/>
                  <w:tcBorders>
                    <w:tl2br w:val="nil"/>
                    <w:tr2bl w:val="nil"/>
                  </w:tcBorders>
                  <w:noWrap w:val="0"/>
                  <w:vAlign w:val="center"/>
                </w:tcPr>
                <w:p w14:paraId="3CAF659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立即停产，修复后生产</w:t>
                  </w:r>
                </w:p>
              </w:tc>
            </w:tr>
          </w:tbl>
          <w:p w14:paraId="4115934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（2）非正常排放防治措施</w:t>
            </w:r>
          </w:p>
          <w:p w14:paraId="28584677">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针对以上非正常排放情形，本评价建议建设单位在生产运营期间采取以下控制措施以避免或减少废气非正常排放。</w:t>
            </w:r>
          </w:p>
          <w:p w14:paraId="7391C33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①规范车间生产操作，避免因员工操作不当导致工艺设备、环保设施故障引发废气事故排放。</w:t>
            </w:r>
          </w:p>
          <w:p w14:paraId="6C37F9E5">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②定期对生产设施及废气处理设施进行检查维护，杜绝非正常工况发生，避免非正常排放出现后才采取维护措施。</w:t>
            </w:r>
          </w:p>
          <w:p w14:paraId="04E55BB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综上，项目在采取上述非正常排放防范措施后，非正常排放发生频率较低，非正常排放下污染物排放量较少，非正常工况可及时得到处理，因此本项目废气非正常排放对周边大气环境影响较小。</w:t>
            </w:r>
          </w:p>
          <w:p w14:paraId="566E54DC">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85" w:name="_Toc23845"/>
            <w:r>
              <w:rPr>
                <w:rFonts w:hint="eastAsia" w:ascii="Times New Roman" w:hAnsi="Times New Roman" w:eastAsia="宋体" w:cs="Times New Roman"/>
                <w:b/>
                <w:color w:val="auto"/>
                <w:kern w:val="2"/>
                <w:sz w:val="24"/>
                <w:szCs w:val="24"/>
                <w:lang w:val="en-US" w:eastAsia="zh-CN" w:bidi="ar-SA"/>
              </w:rPr>
              <w:t>4.2.4运营期废气自行监测计划</w:t>
            </w:r>
            <w:bookmarkEnd w:id="85"/>
          </w:p>
          <w:p w14:paraId="0438F8DE">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bookmarkStart w:id="86" w:name="_Toc8322"/>
            <w:bookmarkStart w:id="87" w:name="_Toc15541"/>
            <w:r>
              <w:rPr>
                <w:rFonts w:hint="eastAsia" w:ascii="Times New Roman" w:hAnsi="Times New Roman" w:eastAsia="宋体" w:cs="宋体"/>
                <w:color w:val="auto"/>
                <w:kern w:val="2"/>
                <w:sz w:val="24"/>
                <w:szCs w:val="24"/>
                <w:lang w:val="en-US" w:eastAsia="zh-CN" w:bidi="ar-SA"/>
              </w:rPr>
              <w:t>根据《固定污染源排污许可分类管理名录（2019年版）》（生态环境部第11号）可知，本项目属于光学仪器制造业，对应《固定污染源排污许可分类管理名录（2019年版）》中三十五、仪器仪表制造业40光学仪器制造404，见表4.1-3，年使用有机溶剂10吨以下，不涉及通用工序简化管理的。本项目应当进行登记管理，登记管理无自行监测要求。</w:t>
            </w:r>
          </w:p>
          <w:p w14:paraId="3B35DB0E">
            <w:pPr>
              <w:keepNext/>
              <w:keepLines/>
              <w:widowControl w:val="0"/>
              <w:bidi w:val="0"/>
              <w:spacing w:beforeLines="0" w:beforeAutospacing="0" w:afterLines="0" w:afterAutospacing="0" w:line="360" w:lineRule="auto"/>
              <w:jc w:val="left"/>
              <w:outlineLvl w:val="1"/>
              <w:rPr>
                <w:rFonts w:hint="default" w:ascii="Times New Roman" w:hAnsi="Times New Roman" w:eastAsia="宋体" w:cs="Times New Roman"/>
                <w:b/>
                <w:color w:val="auto"/>
                <w:kern w:val="2"/>
                <w:sz w:val="28"/>
                <w:szCs w:val="24"/>
                <w:lang w:val="en-US" w:eastAsia="zh-CN" w:bidi="ar-SA"/>
              </w:rPr>
            </w:pPr>
            <w:r>
              <w:rPr>
                <w:rFonts w:hint="eastAsia" w:ascii="Times New Roman" w:hAnsi="Times New Roman" w:eastAsia="宋体" w:cs="Times New Roman"/>
                <w:b/>
                <w:color w:val="auto"/>
                <w:kern w:val="2"/>
                <w:sz w:val="28"/>
                <w:szCs w:val="24"/>
                <w:lang w:val="en-US" w:eastAsia="zh-CN" w:bidi="ar-SA"/>
              </w:rPr>
              <w:t>4.3运营期声环境影响分析和污染防控措施</w:t>
            </w:r>
            <w:bookmarkEnd w:id="86"/>
            <w:bookmarkEnd w:id="87"/>
          </w:p>
          <w:p w14:paraId="76580A11">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88" w:name="_Toc29859"/>
            <w:r>
              <w:rPr>
                <w:rFonts w:hint="eastAsia" w:ascii="Times New Roman" w:hAnsi="Times New Roman" w:eastAsia="宋体" w:cs="Times New Roman"/>
                <w:b/>
                <w:color w:val="auto"/>
                <w:kern w:val="2"/>
                <w:sz w:val="24"/>
                <w:szCs w:val="24"/>
                <w:lang w:val="en-US" w:eastAsia="zh-CN" w:bidi="ar-SA"/>
              </w:rPr>
              <w:t>4.3.1声环境污染源分析</w:t>
            </w:r>
            <w:bookmarkEnd w:id="88"/>
          </w:p>
          <w:p w14:paraId="6F88BAE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本项目主要生产设备噪声一览表见表4.3-1。</w:t>
            </w:r>
          </w:p>
          <w:p w14:paraId="47C72C3A">
            <w:pPr>
              <w:widowControl w:val="0"/>
              <w:bidi w:val="0"/>
              <w:adjustRightInd w:val="0"/>
              <w:snapToGrid w:val="0"/>
              <w:spacing w:before="10" w:beforeLines="10" w:after="10" w:afterLines="10"/>
              <w:jc w:val="center"/>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表4.3-1</w:t>
            </w:r>
            <w:r>
              <w:rPr>
                <w:rFonts w:hint="eastAsia" w:cs="Times New Roman"/>
                <w:b/>
                <w:color w:val="auto"/>
                <w:kern w:val="0"/>
                <w:sz w:val="24"/>
                <w:szCs w:val="20"/>
                <w:lang w:val="en-US" w:eastAsia="zh-CN" w:bidi="ar-SA"/>
              </w:rPr>
              <w:t xml:space="preserve">  </w:t>
            </w:r>
            <w:r>
              <w:rPr>
                <w:rFonts w:hint="eastAsia" w:ascii="Times New Roman" w:hAnsi="Times New Roman" w:eastAsia="宋体" w:cs="Times New Roman"/>
                <w:b/>
                <w:color w:val="auto"/>
                <w:kern w:val="0"/>
                <w:sz w:val="24"/>
                <w:szCs w:val="20"/>
                <w:lang w:val="en-US" w:eastAsia="zh-CN" w:bidi="ar-SA"/>
              </w:rPr>
              <w:t>项目设备噪声一览表</w:t>
            </w:r>
          </w:p>
          <w:tbl>
            <w:tblPr>
              <w:tblStyle w:val="19"/>
              <w:tblW w:w="795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796"/>
              <w:gridCol w:w="1348"/>
              <w:gridCol w:w="849"/>
              <w:gridCol w:w="1469"/>
              <w:gridCol w:w="1573"/>
              <w:gridCol w:w="1269"/>
            </w:tblGrid>
            <w:tr w14:paraId="61007F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647" w:type="dxa"/>
                  <w:tcBorders>
                    <w:tl2br w:val="nil"/>
                    <w:tr2bl w:val="nil"/>
                  </w:tcBorders>
                  <w:noWrap w:val="0"/>
                  <w:vAlign w:val="center"/>
                </w:tcPr>
                <w:p w14:paraId="72EF6433">
                  <w:pPr>
                    <w:pStyle w:val="30"/>
                    <w:bidi w:val="0"/>
                    <w:rPr>
                      <w:rFonts w:ascii="Times New Roman" w:hAnsi="Times New Roman"/>
                      <w:b/>
                      <w:bCs/>
                      <w:color w:val="auto"/>
                      <w:lang w:val="en-US" w:eastAsia="zh-CN"/>
                    </w:rPr>
                  </w:pPr>
                  <w:r>
                    <w:rPr>
                      <w:rFonts w:ascii="Times New Roman" w:hAnsi="Times New Roman"/>
                      <w:b/>
                      <w:bCs/>
                      <w:color w:val="auto"/>
                      <w:lang w:val="en-US" w:eastAsia="zh-CN"/>
                    </w:rPr>
                    <w:t>编号</w:t>
                  </w:r>
                </w:p>
              </w:tc>
              <w:tc>
                <w:tcPr>
                  <w:tcW w:w="2145" w:type="dxa"/>
                  <w:gridSpan w:val="2"/>
                  <w:tcBorders>
                    <w:tl2br w:val="nil"/>
                    <w:tr2bl w:val="nil"/>
                  </w:tcBorders>
                  <w:noWrap w:val="0"/>
                  <w:vAlign w:val="center"/>
                </w:tcPr>
                <w:p w14:paraId="1541CFED">
                  <w:pPr>
                    <w:pStyle w:val="30"/>
                    <w:bidi w:val="0"/>
                    <w:rPr>
                      <w:rFonts w:ascii="Times New Roman" w:hAnsi="Times New Roman"/>
                      <w:b/>
                      <w:bCs/>
                      <w:color w:val="auto"/>
                      <w:lang w:val="en-US" w:eastAsia="zh-CN"/>
                    </w:rPr>
                  </w:pPr>
                  <w:r>
                    <w:rPr>
                      <w:rFonts w:ascii="Times New Roman" w:hAnsi="Times New Roman"/>
                      <w:b/>
                      <w:bCs/>
                      <w:color w:val="auto"/>
                      <w:lang w:val="en-US" w:eastAsia="zh-CN"/>
                    </w:rPr>
                    <w:t>噪声源</w:t>
                  </w:r>
                </w:p>
              </w:tc>
              <w:tc>
                <w:tcPr>
                  <w:tcW w:w="846" w:type="dxa"/>
                  <w:tcBorders>
                    <w:tl2br w:val="nil"/>
                    <w:tr2bl w:val="nil"/>
                  </w:tcBorders>
                  <w:noWrap w:val="0"/>
                  <w:vAlign w:val="center"/>
                </w:tcPr>
                <w:p w14:paraId="36F6C501">
                  <w:pPr>
                    <w:pStyle w:val="30"/>
                    <w:bidi w:val="0"/>
                    <w:rPr>
                      <w:rFonts w:ascii="Times New Roman" w:hAnsi="Times New Roman"/>
                      <w:b/>
                      <w:bCs/>
                      <w:color w:val="auto"/>
                      <w:lang w:val="en-US" w:eastAsia="zh-CN"/>
                    </w:rPr>
                  </w:pPr>
                  <w:r>
                    <w:rPr>
                      <w:rFonts w:ascii="Times New Roman" w:hAnsi="Times New Roman"/>
                      <w:b/>
                      <w:bCs/>
                      <w:color w:val="auto"/>
                      <w:lang w:val="en-US" w:eastAsia="zh-CN"/>
                    </w:rPr>
                    <w:t>数量</w:t>
                  </w:r>
                  <w:r>
                    <w:rPr>
                      <w:rFonts w:hint="eastAsia"/>
                      <w:b/>
                      <w:bCs/>
                      <w:color w:val="auto"/>
                      <w:lang w:val="en-US" w:eastAsia="zh-CN"/>
                    </w:rPr>
                    <w:t>（台）</w:t>
                  </w:r>
                </w:p>
              </w:tc>
              <w:tc>
                <w:tcPr>
                  <w:tcW w:w="1470" w:type="dxa"/>
                  <w:tcBorders>
                    <w:tl2br w:val="nil"/>
                    <w:tr2bl w:val="nil"/>
                  </w:tcBorders>
                  <w:noWrap w:val="0"/>
                  <w:vAlign w:val="center"/>
                </w:tcPr>
                <w:p w14:paraId="3BD4D923">
                  <w:pPr>
                    <w:pStyle w:val="30"/>
                    <w:bidi w:val="0"/>
                    <w:rPr>
                      <w:rFonts w:ascii="Times New Roman" w:hAnsi="Times New Roman"/>
                      <w:b/>
                      <w:bCs/>
                      <w:color w:val="auto"/>
                      <w:lang w:val="en-US" w:eastAsia="zh-CN"/>
                    </w:rPr>
                  </w:pPr>
                  <w:r>
                    <w:rPr>
                      <w:rFonts w:ascii="Times New Roman" w:hAnsi="Times New Roman"/>
                      <w:b/>
                      <w:bCs/>
                      <w:color w:val="auto"/>
                      <w:lang w:val="en-US" w:eastAsia="zh-CN"/>
                    </w:rPr>
                    <w:t>产生噪声值</w:t>
                  </w:r>
                </w:p>
              </w:tc>
              <w:tc>
                <w:tcPr>
                  <w:tcW w:w="1574" w:type="dxa"/>
                  <w:tcBorders>
                    <w:tl2br w:val="nil"/>
                    <w:tr2bl w:val="nil"/>
                  </w:tcBorders>
                  <w:noWrap w:val="0"/>
                  <w:vAlign w:val="center"/>
                </w:tcPr>
                <w:p w14:paraId="7BAF03C1">
                  <w:pPr>
                    <w:pStyle w:val="30"/>
                    <w:bidi w:val="0"/>
                    <w:rPr>
                      <w:rFonts w:ascii="Times New Roman" w:hAnsi="Times New Roman"/>
                      <w:b/>
                      <w:bCs/>
                      <w:color w:val="auto"/>
                      <w:lang w:val="en-US" w:eastAsia="zh-CN"/>
                    </w:rPr>
                  </w:pPr>
                  <w:r>
                    <w:rPr>
                      <w:rFonts w:ascii="Times New Roman" w:hAnsi="Times New Roman"/>
                      <w:b/>
                      <w:bCs/>
                      <w:color w:val="auto"/>
                      <w:lang w:val="en-US" w:eastAsia="zh-CN"/>
                    </w:rPr>
                    <w:t>降噪措施</w:t>
                  </w:r>
                </w:p>
              </w:tc>
              <w:tc>
                <w:tcPr>
                  <w:tcW w:w="1269" w:type="dxa"/>
                  <w:tcBorders>
                    <w:tl2br w:val="nil"/>
                    <w:tr2bl w:val="nil"/>
                  </w:tcBorders>
                  <w:noWrap w:val="0"/>
                  <w:vAlign w:val="center"/>
                </w:tcPr>
                <w:p w14:paraId="0FE9F08C">
                  <w:pPr>
                    <w:pStyle w:val="30"/>
                    <w:bidi w:val="0"/>
                    <w:rPr>
                      <w:rFonts w:ascii="Times New Roman" w:hAnsi="Times New Roman"/>
                      <w:b/>
                      <w:bCs/>
                      <w:color w:val="auto"/>
                      <w:lang w:val="en-US" w:eastAsia="zh-CN"/>
                    </w:rPr>
                  </w:pPr>
                  <w:r>
                    <w:rPr>
                      <w:rFonts w:ascii="Times New Roman" w:hAnsi="Times New Roman"/>
                      <w:b/>
                      <w:bCs/>
                      <w:color w:val="auto"/>
                      <w:lang w:val="en-US" w:eastAsia="zh-CN"/>
                    </w:rPr>
                    <w:t>持续时间</w:t>
                  </w:r>
                </w:p>
              </w:tc>
            </w:tr>
            <w:tr w14:paraId="5D9E0F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47" w:type="dxa"/>
                  <w:tcBorders>
                    <w:tl2br w:val="nil"/>
                    <w:tr2bl w:val="nil"/>
                  </w:tcBorders>
                  <w:noWrap w:val="0"/>
                  <w:vAlign w:val="center"/>
                </w:tcPr>
                <w:p w14:paraId="0A81423A">
                  <w:pPr>
                    <w:pStyle w:val="30"/>
                    <w:bidi w:val="0"/>
                    <w:rPr>
                      <w:rFonts w:ascii="Times New Roman" w:hAnsi="Times New Roman"/>
                      <w:color w:val="auto"/>
                      <w:lang w:val="en-US" w:eastAsia="zh-CN"/>
                    </w:rPr>
                  </w:pPr>
                  <w:r>
                    <w:rPr>
                      <w:rFonts w:hint="eastAsia" w:ascii="Times New Roman" w:hAnsi="Times New Roman"/>
                      <w:color w:val="auto"/>
                      <w:lang w:val="en-US" w:eastAsia="zh-CN"/>
                    </w:rPr>
                    <w:t>1</w:t>
                  </w:r>
                </w:p>
              </w:tc>
              <w:tc>
                <w:tcPr>
                  <w:tcW w:w="796" w:type="dxa"/>
                  <w:vMerge w:val="restart"/>
                  <w:tcBorders>
                    <w:tl2br w:val="nil"/>
                    <w:tr2bl w:val="nil"/>
                  </w:tcBorders>
                  <w:noWrap w:val="0"/>
                  <w:vAlign w:val="center"/>
                </w:tcPr>
                <w:p w14:paraId="5A6626C3">
                  <w:pPr>
                    <w:pStyle w:val="30"/>
                    <w:bidi w:val="0"/>
                    <w:rPr>
                      <w:rFonts w:hint="eastAsia" w:ascii="Times New Roman" w:hAnsi="Times New Roman"/>
                      <w:color w:val="auto"/>
                      <w:lang w:val="en-US" w:eastAsia="zh-CN"/>
                    </w:rPr>
                  </w:pPr>
                  <w:r>
                    <w:rPr>
                      <w:rFonts w:hint="eastAsia" w:ascii="Times New Roman" w:hAnsi="Times New Roman"/>
                      <w:color w:val="auto"/>
                      <w:lang w:val="en-US" w:eastAsia="zh-CN"/>
                    </w:rPr>
                    <w:t>生产车间</w:t>
                  </w:r>
                </w:p>
              </w:tc>
              <w:tc>
                <w:tcPr>
                  <w:tcW w:w="1349" w:type="dxa"/>
                  <w:tcBorders>
                    <w:tl2br w:val="nil"/>
                    <w:tr2bl w:val="nil"/>
                  </w:tcBorders>
                  <w:noWrap w:val="0"/>
                  <w:vAlign w:val="center"/>
                </w:tcPr>
                <w:p w14:paraId="13FF824A">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球面铣磨机</w:t>
                  </w:r>
                </w:p>
              </w:tc>
              <w:tc>
                <w:tcPr>
                  <w:tcW w:w="846" w:type="dxa"/>
                  <w:tcBorders>
                    <w:tl2br w:val="nil"/>
                    <w:tr2bl w:val="nil"/>
                  </w:tcBorders>
                  <w:noWrap w:val="0"/>
                  <w:vAlign w:val="center"/>
                </w:tcPr>
                <w:p w14:paraId="2287AF79">
                  <w:pPr>
                    <w:jc w:val="center"/>
                    <w:rPr>
                      <w:rFonts w:hint="eastAsia"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7FD54763">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75-80</w:t>
                  </w:r>
                </w:p>
              </w:tc>
              <w:tc>
                <w:tcPr>
                  <w:tcW w:w="1574" w:type="dxa"/>
                  <w:vMerge w:val="restart"/>
                  <w:tcBorders>
                    <w:tl2br w:val="nil"/>
                    <w:tr2bl w:val="nil"/>
                  </w:tcBorders>
                  <w:noWrap w:val="0"/>
                  <w:vAlign w:val="center"/>
                </w:tcPr>
                <w:p w14:paraId="0D436A67">
                  <w:pPr>
                    <w:pStyle w:val="30"/>
                    <w:bidi w:val="0"/>
                    <w:rPr>
                      <w:rFonts w:hint="default" w:ascii="Times New Roman" w:hAnsi="Times New Roman"/>
                      <w:color w:val="auto"/>
                      <w:lang w:val="en-US" w:eastAsia="zh-CN"/>
                    </w:rPr>
                  </w:pPr>
                  <w:r>
                    <w:rPr>
                      <w:rFonts w:ascii="Times New Roman" w:hAnsi="Times New Roman"/>
                      <w:color w:val="auto"/>
                      <w:lang w:val="en-US" w:eastAsia="zh-CN"/>
                    </w:rPr>
                    <w:t>车间隔声</w:t>
                  </w:r>
                  <w:r>
                    <w:rPr>
                      <w:rFonts w:hint="eastAsia" w:ascii="Times New Roman" w:hAnsi="Times New Roman"/>
                      <w:color w:val="auto"/>
                      <w:lang w:val="en-US" w:eastAsia="zh-CN"/>
                    </w:rPr>
                    <w:t>、设备基础减振</w:t>
                  </w:r>
                </w:p>
              </w:tc>
              <w:tc>
                <w:tcPr>
                  <w:tcW w:w="1269" w:type="dxa"/>
                  <w:tcBorders>
                    <w:tl2br w:val="nil"/>
                    <w:tr2bl w:val="nil"/>
                  </w:tcBorders>
                  <w:noWrap w:val="0"/>
                  <w:vAlign w:val="center"/>
                </w:tcPr>
                <w:p w14:paraId="0548EF5B">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5E2C9A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47" w:type="dxa"/>
                  <w:tcBorders>
                    <w:tl2br w:val="nil"/>
                    <w:tr2bl w:val="nil"/>
                  </w:tcBorders>
                  <w:noWrap w:val="0"/>
                  <w:vAlign w:val="center"/>
                </w:tcPr>
                <w:p w14:paraId="20A9F7C0">
                  <w:pPr>
                    <w:pStyle w:val="30"/>
                    <w:bidi w:val="0"/>
                    <w:rPr>
                      <w:rFonts w:ascii="Times New Roman" w:hAnsi="Times New Roman"/>
                      <w:color w:val="auto"/>
                      <w:lang w:val="en-US" w:eastAsia="zh-CN"/>
                    </w:rPr>
                  </w:pPr>
                  <w:r>
                    <w:rPr>
                      <w:rFonts w:hint="eastAsia" w:ascii="Times New Roman" w:hAnsi="Times New Roman"/>
                      <w:color w:val="auto"/>
                      <w:lang w:val="en-US" w:eastAsia="zh-CN"/>
                    </w:rPr>
                    <w:t>2</w:t>
                  </w:r>
                </w:p>
              </w:tc>
              <w:tc>
                <w:tcPr>
                  <w:tcW w:w="796" w:type="dxa"/>
                  <w:vMerge w:val="continue"/>
                  <w:tcBorders>
                    <w:tl2br w:val="nil"/>
                    <w:tr2bl w:val="nil"/>
                  </w:tcBorders>
                  <w:noWrap w:val="0"/>
                  <w:vAlign w:val="center"/>
                </w:tcPr>
                <w:p w14:paraId="50DE7C39">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4A70A268">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球面精磨机</w:t>
                  </w:r>
                </w:p>
              </w:tc>
              <w:tc>
                <w:tcPr>
                  <w:tcW w:w="846" w:type="dxa"/>
                  <w:tcBorders>
                    <w:tl2br w:val="nil"/>
                    <w:tr2bl w:val="nil"/>
                  </w:tcBorders>
                  <w:noWrap w:val="0"/>
                  <w:vAlign w:val="center"/>
                </w:tcPr>
                <w:p w14:paraId="4EED1340">
                  <w:pPr>
                    <w:jc w:val="center"/>
                    <w:rPr>
                      <w:rFonts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4</w:t>
                  </w:r>
                </w:p>
              </w:tc>
              <w:tc>
                <w:tcPr>
                  <w:tcW w:w="1470" w:type="dxa"/>
                  <w:tcBorders>
                    <w:tl2br w:val="nil"/>
                    <w:tr2bl w:val="nil"/>
                  </w:tcBorders>
                  <w:noWrap w:val="0"/>
                  <w:vAlign w:val="center"/>
                </w:tcPr>
                <w:p w14:paraId="4C61D3C3">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75-80</w:t>
                  </w:r>
                </w:p>
              </w:tc>
              <w:tc>
                <w:tcPr>
                  <w:tcW w:w="1574" w:type="dxa"/>
                  <w:vMerge w:val="continue"/>
                  <w:tcBorders>
                    <w:tl2br w:val="nil"/>
                    <w:tr2bl w:val="nil"/>
                  </w:tcBorders>
                  <w:noWrap w:val="0"/>
                  <w:vAlign w:val="center"/>
                </w:tcPr>
                <w:p w14:paraId="1F81B363">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586E1119">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0027D5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647" w:type="dxa"/>
                  <w:tcBorders>
                    <w:tl2br w:val="nil"/>
                    <w:tr2bl w:val="nil"/>
                  </w:tcBorders>
                  <w:noWrap w:val="0"/>
                  <w:vAlign w:val="center"/>
                </w:tcPr>
                <w:p w14:paraId="0630F965">
                  <w:pPr>
                    <w:pStyle w:val="30"/>
                    <w:bidi w:val="0"/>
                    <w:rPr>
                      <w:rFonts w:ascii="Times New Roman" w:hAnsi="Times New Roman"/>
                      <w:color w:val="auto"/>
                      <w:lang w:val="en-US" w:eastAsia="zh-CN"/>
                    </w:rPr>
                  </w:pPr>
                  <w:r>
                    <w:rPr>
                      <w:rFonts w:hint="eastAsia" w:ascii="Times New Roman" w:hAnsi="Times New Roman"/>
                      <w:color w:val="auto"/>
                      <w:lang w:val="en-US" w:eastAsia="zh-CN"/>
                    </w:rPr>
                    <w:t>3</w:t>
                  </w:r>
                </w:p>
              </w:tc>
              <w:tc>
                <w:tcPr>
                  <w:tcW w:w="796" w:type="dxa"/>
                  <w:vMerge w:val="continue"/>
                  <w:tcBorders>
                    <w:tl2br w:val="nil"/>
                    <w:tr2bl w:val="nil"/>
                  </w:tcBorders>
                  <w:noWrap w:val="0"/>
                  <w:vAlign w:val="center"/>
                </w:tcPr>
                <w:p w14:paraId="728D8D7A">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69348425">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球面抛光机</w:t>
                  </w:r>
                </w:p>
              </w:tc>
              <w:tc>
                <w:tcPr>
                  <w:tcW w:w="846" w:type="dxa"/>
                  <w:tcBorders>
                    <w:tl2br w:val="nil"/>
                    <w:tr2bl w:val="nil"/>
                  </w:tcBorders>
                  <w:noWrap w:val="0"/>
                  <w:vAlign w:val="center"/>
                </w:tcPr>
                <w:p w14:paraId="7D20FDCE">
                  <w:pPr>
                    <w:jc w:val="center"/>
                    <w:rPr>
                      <w:rFonts w:hint="default"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6</w:t>
                  </w:r>
                </w:p>
              </w:tc>
              <w:tc>
                <w:tcPr>
                  <w:tcW w:w="1470" w:type="dxa"/>
                  <w:tcBorders>
                    <w:tl2br w:val="nil"/>
                    <w:tr2bl w:val="nil"/>
                  </w:tcBorders>
                  <w:noWrap w:val="0"/>
                  <w:vAlign w:val="center"/>
                </w:tcPr>
                <w:p w14:paraId="27CA3B4C">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75-80</w:t>
                  </w:r>
                </w:p>
              </w:tc>
              <w:tc>
                <w:tcPr>
                  <w:tcW w:w="1574" w:type="dxa"/>
                  <w:vMerge w:val="continue"/>
                  <w:tcBorders>
                    <w:tl2br w:val="nil"/>
                    <w:tr2bl w:val="nil"/>
                  </w:tcBorders>
                  <w:noWrap w:val="0"/>
                  <w:vAlign w:val="center"/>
                </w:tcPr>
                <w:p w14:paraId="6446FE3A">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7CDF280A">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11A991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647" w:type="dxa"/>
                  <w:tcBorders>
                    <w:tl2br w:val="nil"/>
                    <w:tr2bl w:val="nil"/>
                  </w:tcBorders>
                  <w:noWrap w:val="0"/>
                  <w:vAlign w:val="center"/>
                </w:tcPr>
                <w:p w14:paraId="282FE20F">
                  <w:pPr>
                    <w:pStyle w:val="30"/>
                    <w:bidi w:val="0"/>
                    <w:rPr>
                      <w:rFonts w:hint="eastAsia" w:ascii="Times New Roman" w:hAnsi="Times New Roman"/>
                      <w:color w:val="auto"/>
                      <w:lang w:val="en-US" w:eastAsia="zh-CN"/>
                    </w:rPr>
                  </w:pPr>
                  <w:r>
                    <w:rPr>
                      <w:rFonts w:hint="eastAsia" w:ascii="Times New Roman" w:hAnsi="Times New Roman"/>
                      <w:color w:val="auto"/>
                      <w:lang w:val="en-US" w:eastAsia="zh-CN"/>
                    </w:rPr>
                    <w:t>4</w:t>
                  </w:r>
                </w:p>
              </w:tc>
              <w:tc>
                <w:tcPr>
                  <w:tcW w:w="796" w:type="dxa"/>
                  <w:vMerge w:val="continue"/>
                  <w:tcBorders>
                    <w:tl2br w:val="nil"/>
                    <w:tr2bl w:val="nil"/>
                  </w:tcBorders>
                  <w:noWrap w:val="0"/>
                  <w:vAlign w:val="center"/>
                </w:tcPr>
                <w:p w14:paraId="7639464B">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46CD6F93">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磨边机</w:t>
                  </w:r>
                </w:p>
              </w:tc>
              <w:tc>
                <w:tcPr>
                  <w:tcW w:w="846" w:type="dxa"/>
                  <w:tcBorders>
                    <w:tl2br w:val="nil"/>
                    <w:tr2bl w:val="nil"/>
                  </w:tcBorders>
                  <w:noWrap w:val="0"/>
                  <w:vAlign w:val="center"/>
                </w:tcPr>
                <w:p w14:paraId="50A188E2">
                  <w:pPr>
                    <w:jc w:val="center"/>
                    <w:rPr>
                      <w:rFonts w:hint="default"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7CEFE7A3">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75-80</w:t>
                  </w:r>
                </w:p>
              </w:tc>
              <w:tc>
                <w:tcPr>
                  <w:tcW w:w="1574" w:type="dxa"/>
                  <w:vMerge w:val="continue"/>
                  <w:tcBorders>
                    <w:tl2br w:val="nil"/>
                    <w:tr2bl w:val="nil"/>
                  </w:tcBorders>
                  <w:noWrap w:val="0"/>
                  <w:vAlign w:val="center"/>
                </w:tcPr>
                <w:p w14:paraId="69B50A88">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4B2403D1">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511DA8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tcBorders>
                    <w:tl2br w:val="nil"/>
                    <w:tr2bl w:val="nil"/>
                  </w:tcBorders>
                  <w:noWrap w:val="0"/>
                  <w:vAlign w:val="center"/>
                </w:tcPr>
                <w:p w14:paraId="43070CCF">
                  <w:pPr>
                    <w:pStyle w:val="30"/>
                    <w:bidi w:val="0"/>
                    <w:rPr>
                      <w:rFonts w:hint="eastAsia" w:ascii="Times New Roman" w:hAnsi="Times New Roman"/>
                      <w:color w:val="auto"/>
                      <w:lang w:val="en-US" w:eastAsia="zh-CN"/>
                    </w:rPr>
                  </w:pPr>
                  <w:r>
                    <w:rPr>
                      <w:rFonts w:hint="eastAsia" w:ascii="Times New Roman" w:hAnsi="Times New Roman"/>
                      <w:color w:val="auto"/>
                      <w:lang w:val="en-US" w:eastAsia="zh-CN"/>
                    </w:rPr>
                    <w:t>5</w:t>
                  </w:r>
                </w:p>
              </w:tc>
              <w:tc>
                <w:tcPr>
                  <w:tcW w:w="796" w:type="dxa"/>
                  <w:vMerge w:val="continue"/>
                  <w:tcBorders>
                    <w:tl2br w:val="nil"/>
                    <w:tr2bl w:val="nil"/>
                  </w:tcBorders>
                  <w:noWrap w:val="0"/>
                  <w:vAlign w:val="center"/>
                </w:tcPr>
                <w:p w14:paraId="5F3ED4BC">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1863DAFB">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超洗机</w:t>
                  </w:r>
                </w:p>
              </w:tc>
              <w:tc>
                <w:tcPr>
                  <w:tcW w:w="846" w:type="dxa"/>
                  <w:tcBorders>
                    <w:tl2br w:val="nil"/>
                    <w:tr2bl w:val="nil"/>
                  </w:tcBorders>
                  <w:noWrap w:val="0"/>
                  <w:vAlign w:val="center"/>
                </w:tcPr>
                <w:p w14:paraId="06A6E896">
                  <w:pPr>
                    <w:jc w:val="center"/>
                    <w:rPr>
                      <w:rFonts w:hint="default"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52558862">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85-90</w:t>
                  </w:r>
                </w:p>
              </w:tc>
              <w:tc>
                <w:tcPr>
                  <w:tcW w:w="1574" w:type="dxa"/>
                  <w:vMerge w:val="continue"/>
                  <w:tcBorders>
                    <w:tl2br w:val="nil"/>
                    <w:tr2bl w:val="nil"/>
                  </w:tcBorders>
                  <w:noWrap w:val="0"/>
                  <w:vAlign w:val="center"/>
                </w:tcPr>
                <w:p w14:paraId="693FA0A5">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472C6952">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31E25A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tcBorders>
                    <w:tl2br w:val="nil"/>
                    <w:tr2bl w:val="nil"/>
                  </w:tcBorders>
                  <w:noWrap w:val="0"/>
                  <w:vAlign w:val="center"/>
                </w:tcPr>
                <w:p w14:paraId="37942E3D">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6</w:t>
                  </w:r>
                </w:p>
              </w:tc>
              <w:tc>
                <w:tcPr>
                  <w:tcW w:w="796" w:type="dxa"/>
                  <w:vMerge w:val="continue"/>
                  <w:tcBorders>
                    <w:tl2br w:val="nil"/>
                    <w:tr2bl w:val="nil"/>
                  </w:tcBorders>
                  <w:noWrap w:val="0"/>
                  <w:vAlign w:val="center"/>
                </w:tcPr>
                <w:p w14:paraId="0DE60FB3">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12774248">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平面精磨机</w:t>
                  </w:r>
                </w:p>
              </w:tc>
              <w:tc>
                <w:tcPr>
                  <w:tcW w:w="846" w:type="dxa"/>
                  <w:tcBorders>
                    <w:tl2br w:val="nil"/>
                    <w:tr2bl w:val="nil"/>
                  </w:tcBorders>
                  <w:noWrap w:val="0"/>
                  <w:vAlign w:val="center"/>
                </w:tcPr>
                <w:p w14:paraId="53CC7846">
                  <w:pPr>
                    <w:jc w:val="center"/>
                    <w:rPr>
                      <w:rFonts w:hint="default"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634BFB06">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75-80</w:t>
                  </w:r>
                </w:p>
              </w:tc>
              <w:tc>
                <w:tcPr>
                  <w:tcW w:w="1574" w:type="dxa"/>
                  <w:vMerge w:val="continue"/>
                  <w:tcBorders>
                    <w:tl2br w:val="nil"/>
                    <w:tr2bl w:val="nil"/>
                  </w:tcBorders>
                  <w:noWrap w:val="0"/>
                  <w:vAlign w:val="center"/>
                </w:tcPr>
                <w:p w14:paraId="53430DD7">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38B71F27">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2C7AD5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tcBorders>
                    <w:tl2br w:val="nil"/>
                    <w:tr2bl w:val="nil"/>
                  </w:tcBorders>
                  <w:noWrap w:val="0"/>
                  <w:vAlign w:val="center"/>
                </w:tcPr>
                <w:p w14:paraId="1C5AF992">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w:t>
                  </w:r>
                </w:p>
              </w:tc>
              <w:tc>
                <w:tcPr>
                  <w:tcW w:w="796" w:type="dxa"/>
                  <w:vMerge w:val="continue"/>
                  <w:tcBorders>
                    <w:tl2br w:val="nil"/>
                    <w:tr2bl w:val="nil"/>
                  </w:tcBorders>
                  <w:noWrap w:val="0"/>
                  <w:vAlign w:val="center"/>
                </w:tcPr>
                <w:p w14:paraId="2754C5C8">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0F570F5D">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平面抛光机</w:t>
                  </w:r>
                </w:p>
              </w:tc>
              <w:tc>
                <w:tcPr>
                  <w:tcW w:w="846" w:type="dxa"/>
                  <w:tcBorders>
                    <w:tl2br w:val="nil"/>
                    <w:tr2bl w:val="nil"/>
                  </w:tcBorders>
                  <w:noWrap w:val="0"/>
                  <w:vAlign w:val="center"/>
                </w:tcPr>
                <w:p w14:paraId="79302309">
                  <w:pPr>
                    <w:jc w:val="center"/>
                    <w:rPr>
                      <w:rFonts w:hint="default"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4C936E9A">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75-80</w:t>
                  </w:r>
                </w:p>
              </w:tc>
              <w:tc>
                <w:tcPr>
                  <w:tcW w:w="1574" w:type="dxa"/>
                  <w:vMerge w:val="continue"/>
                  <w:tcBorders>
                    <w:tl2br w:val="nil"/>
                    <w:tr2bl w:val="nil"/>
                  </w:tcBorders>
                  <w:noWrap w:val="0"/>
                  <w:vAlign w:val="center"/>
                </w:tcPr>
                <w:p w14:paraId="3C723691">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0C27527B">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5E679E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tcBorders>
                    <w:tl2br w:val="nil"/>
                    <w:tr2bl w:val="nil"/>
                  </w:tcBorders>
                  <w:noWrap w:val="0"/>
                  <w:vAlign w:val="center"/>
                </w:tcPr>
                <w:p w14:paraId="0E61F699">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w:t>
                  </w:r>
                </w:p>
              </w:tc>
              <w:tc>
                <w:tcPr>
                  <w:tcW w:w="796" w:type="dxa"/>
                  <w:vMerge w:val="continue"/>
                  <w:tcBorders>
                    <w:tl2br w:val="nil"/>
                    <w:tr2bl w:val="nil"/>
                  </w:tcBorders>
                  <w:noWrap w:val="0"/>
                  <w:vAlign w:val="center"/>
                </w:tcPr>
                <w:p w14:paraId="14AE617E">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720EAE9F">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环抛机</w:t>
                  </w:r>
                </w:p>
              </w:tc>
              <w:tc>
                <w:tcPr>
                  <w:tcW w:w="846" w:type="dxa"/>
                  <w:tcBorders>
                    <w:tl2br w:val="nil"/>
                    <w:tr2bl w:val="nil"/>
                  </w:tcBorders>
                  <w:noWrap w:val="0"/>
                  <w:vAlign w:val="center"/>
                </w:tcPr>
                <w:p w14:paraId="50EDDB4D">
                  <w:pPr>
                    <w:jc w:val="center"/>
                    <w:rPr>
                      <w:rFonts w:hint="default"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22AB771C">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75-80</w:t>
                  </w:r>
                </w:p>
              </w:tc>
              <w:tc>
                <w:tcPr>
                  <w:tcW w:w="1574" w:type="dxa"/>
                  <w:vMerge w:val="continue"/>
                  <w:tcBorders>
                    <w:tl2br w:val="nil"/>
                    <w:tr2bl w:val="nil"/>
                  </w:tcBorders>
                  <w:noWrap w:val="0"/>
                  <w:vAlign w:val="center"/>
                </w:tcPr>
                <w:p w14:paraId="706B1F21">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194D3973">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282B2C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tcBorders>
                    <w:tl2br w:val="nil"/>
                    <w:tr2bl w:val="nil"/>
                  </w:tcBorders>
                  <w:noWrap w:val="0"/>
                  <w:vAlign w:val="center"/>
                </w:tcPr>
                <w:p w14:paraId="3A74F8CF">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9</w:t>
                  </w:r>
                </w:p>
              </w:tc>
              <w:tc>
                <w:tcPr>
                  <w:tcW w:w="796" w:type="dxa"/>
                  <w:vMerge w:val="continue"/>
                  <w:tcBorders>
                    <w:tl2br w:val="nil"/>
                    <w:tr2bl w:val="nil"/>
                  </w:tcBorders>
                  <w:noWrap w:val="0"/>
                  <w:vAlign w:val="center"/>
                </w:tcPr>
                <w:p w14:paraId="12A629F7">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1C0137FB">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双面抛9B</w:t>
                  </w:r>
                </w:p>
              </w:tc>
              <w:tc>
                <w:tcPr>
                  <w:tcW w:w="846" w:type="dxa"/>
                  <w:tcBorders>
                    <w:tl2br w:val="nil"/>
                    <w:tr2bl w:val="nil"/>
                  </w:tcBorders>
                  <w:noWrap w:val="0"/>
                  <w:vAlign w:val="center"/>
                </w:tcPr>
                <w:p w14:paraId="091DCED0">
                  <w:pPr>
                    <w:jc w:val="center"/>
                    <w:rPr>
                      <w:rFonts w:hint="default"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2798B048">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70-75</w:t>
                  </w:r>
                </w:p>
              </w:tc>
              <w:tc>
                <w:tcPr>
                  <w:tcW w:w="1574" w:type="dxa"/>
                  <w:vMerge w:val="continue"/>
                  <w:tcBorders>
                    <w:tl2br w:val="nil"/>
                    <w:tr2bl w:val="nil"/>
                  </w:tcBorders>
                  <w:noWrap w:val="0"/>
                  <w:vAlign w:val="center"/>
                </w:tcPr>
                <w:p w14:paraId="24599869">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33AD82C1">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08A465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tcBorders>
                    <w:tl2br w:val="nil"/>
                    <w:tr2bl w:val="nil"/>
                  </w:tcBorders>
                  <w:noWrap w:val="0"/>
                  <w:vAlign w:val="center"/>
                </w:tcPr>
                <w:p w14:paraId="6D5920FC">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10</w:t>
                  </w:r>
                </w:p>
              </w:tc>
              <w:tc>
                <w:tcPr>
                  <w:tcW w:w="796" w:type="dxa"/>
                  <w:vMerge w:val="continue"/>
                  <w:tcBorders>
                    <w:tl2br w:val="nil"/>
                    <w:tr2bl w:val="nil"/>
                  </w:tcBorders>
                  <w:noWrap w:val="0"/>
                  <w:vAlign w:val="center"/>
                </w:tcPr>
                <w:p w14:paraId="738BA081">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3C1C9C82">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双面抛6B</w:t>
                  </w:r>
                </w:p>
              </w:tc>
              <w:tc>
                <w:tcPr>
                  <w:tcW w:w="846" w:type="dxa"/>
                  <w:tcBorders>
                    <w:tl2br w:val="nil"/>
                    <w:tr2bl w:val="nil"/>
                  </w:tcBorders>
                  <w:noWrap w:val="0"/>
                  <w:vAlign w:val="center"/>
                </w:tcPr>
                <w:p w14:paraId="0E52E0C9">
                  <w:pPr>
                    <w:jc w:val="center"/>
                    <w:rPr>
                      <w:rFonts w:hint="default"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4AFB1513">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70-75</w:t>
                  </w:r>
                </w:p>
              </w:tc>
              <w:tc>
                <w:tcPr>
                  <w:tcW w:w="1574" w:type="dxa"/>
                  <w:vMerge w:val="continue"/>
                  <w:tcBorders>
                    <w:tl2br w:val="nil"/>
                    <w:tr2bl w:val="nil"/>
                  </w:tcBorders>
                  <w:noWrap w:val="0"/>
                  <w:vAlign w:val="center"/>
                </w:tcPr>
                <w:p w14:paraId="524A83D3">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42C71CB5">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0C099E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tcBorders>
                    <w:tl2br w:val="nil"/>
                    <w:tr2bl w:val="nil"/>
                  </w:tcBorders>
                  <w:noWrap w:val="0"/>
                  <w:vAlign w:val="center"/>
                </w:tcPr>
                <w:p w14:paraId="68DAB19B">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11</w:t>
                  </w:r>
                </w:p>
              </w:tc>
              <w:tc>
                <w:tcPr>
                  <w:tcW w:w="796" w:type="dxa"/>
                  <w:vMerge w:val="continue"/>
                  <w:tcBorders>
                    <w:tl2br w:val="nil"/>
                    <w:tr2bl w:val="nil"/>
                  </w:tcBorders>
                  <w:noWrap w:val="0"/>
                  <w:vAlign w:val="center"/>
                </w:tcPr>
                <w:p w14:paraId="43A2B240">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59F4C981">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切割机</w:t>
                  </w:r>
                </w:p>
              </w:tc>
              <w:tc>
                <w:tcPr>
                  <w:tcW w:w="846" w:type="dxa"/>
                  <w:tcBorders>
                    <w:tl2br w:val="nil"/>
                    <w:tr2bl w:val="nil"/>
                  </w:tcBorders>
                  <w:noWrap w:val="0"/>
                  <w:vAlign w:val="center"/>
                </w:tcPr>
                <w:p w14:paraId="67AB71E1">
                  <w:pPr>
                    <w:jc w:val="center"/>
                    <w:rPr>
                      <w:rFonts w:hint="default"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1F0F8A7A">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75-80</w:t>
                  </w:r>
                </w:p>
              </w:tc>
              <w:tc>
                <w:tcPr>
                  <w:tcW w:w="1574" w:type="dxa"/>
                  <w:vMerge w:val="continue"/>
                  <w:tcBorders>
                    <w:tl2br w:val="nil"/>
                    <w:tr2bl w:val="nil"/>
                  </w:tcBorders>
                  <w:noWrap w:val="0"/>
                  <w:vAlign w:val="center"/>
                </w:tcPr>
                <w:p w14:paraId="0E633221">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69F4A481">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467226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tcBorders>
                    <w:tl2br w:val="nil"/>
                    <w:tr2bl w:val="nil"/>
                  </w:tcBorders>
                  <w:noWrap w:val="0"/>
                  <w:vAlign w:val="center"/>
                </w:tcPr>
                <w:p w14:paraId="1069FE81">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12</w:t>
                  </w:r>
                </w:p>
              </w:tc>
              <w:tc>
                <w:tcPr>
                  <w:tcW w:w="796" w:type="dxa"/>
                  <w:vMerge w:val="continue"/>
                  <w:tcBorders>
                    <w:tl2br w:val="nil"/>
                    <w:tr2bl w:val="nil"/>
                  </w:tcBorders>
                  <w:noWrap w:val="0"/>
                  <w:vAlign w:val="center"/>
                </w:tcPr>
                <w:p w14:paraId="3C57D32E">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5FD12DB8">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倒边机</w:t>
                  </w:r>
                </w:p>
              </w:tc>
              <w:tc>
                <w:tcPr>
                  <w:tcW w:w="846" w:type="dxa"/>
                  <w:tcBorders>
                    <w:tl2br w:val="nil"/>
                    <w:tr2bl w:val="nil"/>
                  </w:tcBorders>
                  <w:noWrap w:val="0"/>
                  <w:vAlign w:val="center"/>
                </w:tcPr>
                <w:p w14:paraId="32D5E827">
                  <w:pPr>
                    <w:jc w:val="center"/>
                    <w:rPr>
                      <w:rFonts w:hint="default"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412206C5">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70-75</w:t>
                  </w:r>
                </w:p>
              </w:tc>
              <w:tc>
                <w:tcPr>
                  <w:tcW w:w="1574" w:type="dxa"/>
                  <w:vMerge w:val="continue"/>
                  <w:tcBorders>
                    <w:tl2br w:val="nil"/>
                    <w:tr2bl w:val="nil"/>
                  </w:tcBorders>
                  <w:noWrap w:val="0"/>
                  <w:vAlign w:val="center"/>
                </w:tcPr>
                <w:p w14:paraId="31773E6B">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4F53B4A7">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38855D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tcBorders>
                    <w:tl2br w:val="nil"/>
                    <w:tr2bl w:val="nil"/>
                  </w:tcBorders>
                  <w:noWrap w:val="0"/>
                  <w:vAlign w:val="center"/>
                </w:tcPr>
                <w:p w14:paraId="6DAAFC9F">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13</w:t>
                  </w:r>
                </w:p>
              </w:tc>
              <w:tc>
                <w:tcPr>
                  <w:tcW w:w="796" w:type="dxa"/>
                  <w:vMerge w:val="continue"/>
                  <w:tcBorders>
                    <w:tl2br w:val="nil"/>
                    <w:tr2bl w:val="nil"/>
                  </w:tcBorders>
                  <w:noWrap w:val="0"/>
                  <w:vAlign w:val="center"/>
                </w:tcPr>
                <w:p w14:paraId="2B0D2A5C">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6E21352A">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开料机</w:t>
                  </w:r>
                </w:p>
              </w:tc>
              <w:tc>
                <w:tcPr>
                  <w:tcW w:w="846" w:type="dxa"/>
                  <w:tcBorders>
                    <w:tl2br w:val="nil"/>
                    <w:tr2bl w:val="nil"/>
                  </w:tcBorders>
                  <w:noWrap w:val="0"/>
                  <w:vAlign w:val="center"/>
                </w:tcPr>
                <w:p w14:paraId="0E8007A8">
                  <w:pPr>
                    <w:jc w:val="center"/>
                    <w:rPr>
                      <w:rFonts w:hint="default"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184A2709">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65-70</w:t>
                  </w:r>
                </w:p>
              </w:tc>
              <w:tc>
                <w:tcPr>
                  <w:tcW w:w="1574" w:type="dxa"/>
                  <w:vMerge w:val="continue"/>
                  <w:tcBorders>
                    <w:tl2br w:val="nil"/>
                    <w:tr2bl w:val="nil"/>
                  </w:tcBorders>
                  <w:noWrap w:val="0"/>
                  <w:vAlign w:val="center"/>
                </w:tcPr>
                <w:p w14:paraId="092F5CE4">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4183E29A">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44893C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47" w:type="dxa"/>
                  <w:tcBorders>
                    <w:tl2br w:val="nil"/>
                    <w:tr2bl w:val="nil"/>
                  </w:tcBorders>
                  <w:noWrap w:val="0"/>
                  <w:vAlign w:val="center"/>
                </w:tcPr>
                <w:p w14:paraId="08EA571B">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14</w:t>
                  </w:r>
                </w:p>
              </w:tc>
              <w:tc>
                <w:tcPr>
                  <w:tcW w:w="796" w:type="dxa"/>
                  <w:vMerge w:val="continue"/>
                  <w:tcBorders>
                    <w:tl2br w:val="nil"/>
                    <w:tr2bl w:val="nil"/>
                  </w:tcBorders>
                  <w:noWrap w:val="0"/>
                  <w:vAlign w:val="center"/>
                </w:tcPr>
                <w:p w14:paraId="133F9426">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53B48728">
                  <w:pPr>
                    <w:jc w:val="center"/>
                    <w:rPr>
                      <w:rFonts w:hint="default" w:ascii="Times New Roman" w:hAnsi="Times New Roman"/>
                      <w:color w:val="auto"/>
                      <w:lang w:val="en-US" w:eastAsia="zh-CN"/>
                    </w:rPr>
                  </w:pPr>
                  <w:r>
                    <w:rPr>
                      <w:rFonts w:hint="default" w:ascii="Times New Roman" w:hAnsi="Times New Roman" w:eastAsia="宋体" w:cs="Times New Roman"/>
                      <w:b w:val="0"/>
                      <w:bCs/>
                      <w:color w:val="auto"/>
                      <w:sz w:val="21"/>
                      <w:szCs w:val="21"/>
                    </w:rPr>
                    <w:t>CNC精雕机</w:t>
                  </w:r>
                </w:p>
              </w:tc>
              <w:tc>
                <w:tcPr>
                  <w:tcW w:w="846" w:type="dxa"/>
                  <w:tcBorders>
                    <w:tl2br w:val="nil"/>
                    <w:tr2bl w:val="nil"/>
                  </w:tcBorders>
                  <w:noWrap w:val="0"/>
                  <w:vAlign w:val="center"/>
                </w:tcPr>
                <w:p w14:paraId="224ADC26">
                  <w:pPr>
                    <w:jc w:val="center"/>
                    <w:rPr>
                      <w:rFonts w:hint="default"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047B6896">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70-75</w:t>
                  </w:r>
                </w:p>
              </w:tc>
              <w:tc>
                <w:tcPr>
                  <w:tcW w:w="1574" w:type="dxa"/>
                  <w:vMerge w:val="continue"/>
                  <w:tcBorders>
                    <w:tl2br w:val="nil"/>
                    <w:tr2bl w:val="nil"/>
                  </w:tcBorders>
                  <w:noWrap w:val="0"/>
                  <w:vAlign w:val="center"/>
                </w:tcPr>
                <w:p w14:paraId="0B6887AE">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6CF8409B">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4D797E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tcBorders>
                    <w:tl2br w:val="nil"/>
                    <w:tr2bl w:val="nil"/>
                  </w:tcBorders>
                  <w:noWrap w:val="0"/>
                  <w:vAlign w:val="center"/>
                </w:tcPr>
                <w:p w14:paraId="055369B0">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15</w:t>
                  </w:r>
                </w:p>
              </w:tc>
              <w:tc>
                <w:tcPr>
                  <w:tcW w:w="796" w:type="dxa"/>
                  <w:vMerge w:val="continue"/>
                  <w:tcBorders>
                    <w:tl2br w:val="nil"/>
                    <w:tr2bl w:val="nil"/>
                  </w:tcBorders>
                  <w:noWrap w:val="0"/>
                  <w:vAlign w:val="center"/>
                </w:tcPr>
                <w:p w14:paraId="7A620C91">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18EAED4F">
                  <w:pPr>
                    <w:jc w:val="center"/>
                    <w:rPr>
                      <w:rFonts w:hint="eastAsia" w:ascii="Times New Roman" w:hAnsi="Times New Roman"/>
                      <w:color w:val="auto"/>
                      <w:lang w:val="en-US" w:eastAsia="zh-CN"/>
                    </w:rPr>
                  </w:pPr>
                  <w:r>
                    <w:rPr>
                      <w:rFonts w:hint="default" w:ascii="Times New Roman" w:hAnsi="Times New Roman" w:eastAsia="宋体" w:cs="Times New Roman"/>
                      <w:b w:val="0"/>
                      <w:bCs/>
                      <w:color w:val="auto"/>
                      <w:sz w:val="21"/>
                      <w:szCs w:val="21"/>
                    </w:rPr>
                    <w:t>喷砂机</w:t>
                  </w:r>
                </w:p>
              </w:tc>
              <w:tc>
                <w:tcPr>
                  <w:tcW w:w="846" w:type="dxa"/>
                  <w:tcBorders>
                    <w:tl2br w:val="nil"/>
                    <w:tr2bl w:val="nil"/>
                  </w:tcBorders>
                  <w:noWrap w:val="0"/>
                  <w:vAlign w:val="center"/>
                </w:tcPr>
                <w:p w14:paraId="18CB7A40">
                  <w:pPr>
                    <w:jc w:val="center"/>
                    <w:rPr>
                      <w:rFonts w:hint="eastAsia"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377003F4">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65-70</w:t>
                  </w:r>
                </w:p>
              </w:tc>
              <w:tc>
                <w:tcPr>
                  <w:tcW w:w="1574" w:type="dxa"/>
                  <w:vMerge w:val="continue"/>
                  <w:tcBorders>
                    <w:tl2br w:val="nil"/>
                    <w:tr2bl w:val="nil"/>
                  </w:tcBorders>
                  <w:noWrap w:val="0"/>
                  <w:vAlign w:val="center"/>
                </w:tcPr>
                <w:p w14:paraId="0177D9AD">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0D78BA07">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r w14:paraId="371677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47" w:type="dxa"/>
                  <w:tcBorders>
                    <w:tl2br w:val="nil"/>
                    <w:tr2bl w:val="nil"/>
                  </w:tcBorders>
                  <w:noWrap w:val="0"/>
                  <w:vAlign w:val="center"/>
                </w:tcPr>
                <w:p w14:paraId="05F824FE">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16</w:t>
                  </w:r>
                </w:p>
              </w:tc>
              <w:tc>
                <w:tcPr>
                  <w:tcW w:w="796" w:type="dxa"/>
                  <w:vMerge w:val="continue"/>
                  <w:tcBorders>
                    <w:tl2br w:val="nil"/>
                    <w:tr2bl w:val="nil"/>
                  </w:tcBorders>
                  <w:noWrap w:val="0"/>
                  <w:vAlign w:val="center"/>
                </w:tcPr>
                <w:p w14:paraId="2E60EB5A">
                  <w:pPr>
                    <w:pStyle w:val="30"/>
                    <w:bidi w:val="0"/>
                    <w:rPr>
                      <w:rFonts w:ascii="Times New Roman" w:hAnsi="Times New Roman"/>
                      <w:color w:val="auto"/>
                      <w:lang w:val="en-US" w:eastAsia="zh-CN"/>
                    </w:rPr>
                  </w:pPr>
                </w:p>
              </w:tc>
              <w:tc>
                <w:tcPr>
                  <w:tcW w:w="1349" w:type="dxa"/>
                  <w:tcBorders>
                    <w:tl2br w:val="nil"/>
                    <w:tr2bl w:val="nil"/>
                  </w:tcBorders>
                  <w:noWrap w:val="0"/>
                  <w:vAlign w:val="center"/>
                </w:tcPr>
                <w:p w14:paraId="6EF0F0CF">
                  <w:pPr>
                    <w:jc w:val="center"/>
                    <w:rPr>
                      <w:rFonts w:hint="eastAsia" w:ascii="Times New Roman" w:hAnsi="Times New Roman"/>
                      <w:color w:val="auto"/>
                      <w:lang w:val="en-US" w:eastAsia="zh-CN"/>
                    </w:rPr>
                  </w:pPr>
                  <w:r>
                    <w:rPr>
                      <w:rFonts w:hint="default" w:ascii="Times New Roman" w:hAnsi="Times New Roman" w:eastAsia="宋体" w:cs="Times New Roman"/>
                      <w:b w:val="0"/>
                      <w:bCs/>
                      <w:color w:val="auto"/>
                      <w:sz w:val="21"/>
                      <w:szCs w:val="21"/>
                    </w:rPr>
                    <w:t>光驰镀膜机</w:t>
                  </w:r>
                </w:p>
              </w:tc>
              <w:tc>
                <w:tcPr>
                  <w:tcW w:w="846" w:type="dxa"/>
                  <w:tcBorders>
                    <w:tl2br w:val="nil"/>
                    <w:tr2bl w:val="nil"/>
                  </w:tcBorders>
                  <w:noWrap w:val="0"/>
                  <w:vAlign w:val="center"/>
                </w:tcPr>
                <w:p w14:paraId="6771332D">
                  <w:pPr>
                    <w:jc w:val="center"/>
                    <w:rPr>
                      <w:rFonts w:hint="eastAsia" w:ascii="Times New Roman" w:hAnsi="Times New Roman"/>
                      <w:color w:val="auto"/>
                      <w:lang w:val="en-US" w:eastAsia="zh-CN"/>
                    </w:rPr>
                  </w:pPr>
                  <w:r>
                    <w:rPr>
                      <w:rFonts w:hint="eastAsia" w:ascii="Times New Roman" w:hAnsi="Times New Roman" w:eastAsia="宋体" w:cs="Times New Roman"/>
                      <w:b w:val="0"/>
                      <w:bCs/>
                      <w:color w:val="auto"/>
                      <w:sz w:val="21"/>
                      <w:szCs w:val="21"/>
                      <w:lang w:val="en-US" w:eastAsia="zh-CN"/>
                    </w:rPr>
                    <w:t>1</w:t>
                  </w:r>
                </w:p>
              </w:tc>
              <w:tc>
                <w:tcPr>
                  <w:tcW w:w="1470" w:type="dxa"/>
                  <w:tcBorders>
                    <w:tl2br w:val="nil"/>
                    <w:tr2bl w:val="nil"/>
                  </w:tcBorders>
                  <w:noWrap w:val="0"/>
                  <w:vAlign w:val="center"/>
                </w:tcPr>
                <w:p w14:paraId="7285B7CA">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75-80</w:t>
                  </w:r>
                </w:p>
              </w:tc>
              <w:tc>
                <w:tcPr>
                  <w:tcW w:w="1574" w:type="dxa"/>
                  <w:vMerge w:val="continue"/>
                  <w:tcBorders>
                    <w:tl2br w:val="nil"/>
                    <w:tr2bl w:val="nil"/>
                  </w:tcBorders>
                  <w:noWrap w:val="0"/>
                  <w:vAlign w:val="center"/>
                </w:tcPr>
                <w:p w14:paraId="54BD80EB">
                  <w:pPr>
                    <w:pStyle w:val="30"/>
                    <w:bidi w:val="0"/>
                    <w:rPr>
                      <w:rFonts w:ascii="Times New Roman" w:hAnsi="Times New Roman"/>
                      <w:color w:val="auto"/>
                      <w:lang w:val="en-US" w:eastAsia="zh-CN"/>
                    </w:rPr>
                  </w:pPr>
                </w:p>
              </w:tc>
              <w:tc>
                <w:tcPr>
                  <w:tcW w:w="1269" w:type="dxa"/>
                  <w:tcBorders>
                    <w:tl2br w:val="nil"/>
                    <w:tr2bl w:val="nil"/>
                  </w:tcBorders>
                  <w:noWrap w:val="0"/>
                  <w:vAlign w:val="center"/>
                </w:tcPr>
                <w:p w14:paraId="0680783E">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8h</w:t>
                  </w:r>
                </w:p>
              </w:tc>
            </w:tr>
          </w:tbl>
          <w:p w14:paraId="438711F9">
            <w:pPr>
              <w:pStyle w:val="52"/>
              <w:keepNext w:val="0"/>
              <w:keepLines w:val="0"/>
              <w:pageBreakBefore w:val="0"/>
              <w:widowControl w:val="0"/>
              <w:kinsoku/>
              <w:wordWrap/>
              <w:overflowPunct/>
              <w:topLinePunct w:val="0"/>
              <w:autoSpaceDE/>
              <w:autoSpaceDN/>
              <w:bidi w:val="0"/>
              <w:adjustRightInd/>
              <w:snapToGrid w:val="0"/>
              <w:spacing w:before="0" w:after="0"/>
              <w:textAlignment w:val="auto"/>
              <w:rPr>
                <w:rFonts w:hint="eastAsia"/>
                <w:color w:val="auto"/>
                <w:lang w:eastAsia="zh-CN"/>
              </w:rPr>
            </w:pPr>
            <w:r>
              <w:rPr>
                <w:rFonts w:hint="eastAsia"/>
                <w:color w:val="auto"/>
                <w:lang w:val="en-US" w:eastAsia="zh-CN"/>
              </w:rPr>
              <w:t xml:space="preserve">表4.3-2  </w:t>
            </w:r>
            <w:r>
              <w:rPr>
                <w:rFonts w:hint="eastAsia"/>
                <w:color w:val="auto"/>
              </w:rPr>
              <w:t>项目设备噪声一览表</w:t>
            </w:r>
            <w:r>
              <w:rPr>
                <w:rFonts w:hint="eastAsia"/>
                <w:color w:val="auto"/>
                <w:lang w:eastAsia="zh-CN"/>
              </w:rPr>
              <w:t>（</w:t>
            </w:r>
            <w:r>
              <w:rPr>
                <w:rFonts w:hint="eastAsia"/>
                <w:color w:val="auto"/>
                <w:lang w:val="en-US" w:eastAsia="zh-CN"/>
              </w:rPr>
              <w:t>室外声源</w:t>
            </w:r>
            <w:r>
              <w:rPr>
                <w:rFonts w:hint="eastAsia"/>
                <w:color w:val="auto"/>
                <w:lang w:eastAsia="zh-CN"/>
              </w:rPr>
              <w:t>）</w:t>
            </w:r>
          </w:p>
          <w:tbl>
            <w:tblPr>
              <w:tblStyle w:val="20"/>
              <w:tblW w:w="8018" w:type="dxa"/>
              <w:tblInd w:w="0"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506"/>
              <w:gridCol w:w="1125"/>
              <w:gridCol w:w="737"/>
              <w:gridCol w:w="1050"/>
              <w:gridCol w:w="713"/>
              <w:gridCol w:w="737"/>
              <w:gridCol w:w="650"/>
              <w:gridCol w:w="1475"/>
              <w:gridCol w:w="1025"/>
            </w:tblGrid>
            <w:tr w14:paraId="30DC44D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8" w:hRule="atLeast"/>
              </w:trPr>
              <w:tc>
                <w:tcPr>
                  <w:tcW w:w="506" w:type="dxa"/>
                  <w:vMerge w:val="restart"/>
                  <w:tcBorders>
                    <w:tl2br w:val="nil"/>
                    <w:tr2bl w:val="nil"/>
                  </w:tcBorders>
                  <w:vAlign w:val="center"/>
                </w:tcPr>
                <w:p w14:paraId="1C78472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b/>
                      <w:bCs/>
                      <w:color w:val="auto"/>
                      <w:sz w:val="21"/>
                      <w:szCs w:val="21"/>
                      <w:vertAlign w:val="baseline"/>
                    </w:rPr>
                  </w:pPr>
                  <w:r>
                    <w:rPr>
                      <w:rFonts w:hint="eastAsia" w:ascii="Times New Roman" w:hAnsi="Times New Roman" w:eastAsia="宋体" w:cs="宋体"/>
                      <w:b/>
                      <w:bCs/>
                      <w:color w:val="auto"/>
                      <w:sz w:val="21"/>
                      <w:szCs w:val="21"/>
                      <w:lang w:val="en-US" w:eastAsia="zh-CN"/>
                    </w:rPr>
                    <w:t>序</w:t>
                  </w:r>
                  <w:r>
                    <w:rPr>
                      <w:rFonts w:ascii="Times New Roman" w:hAnsi="Times New Roman" w:eastAsia="宋体" w:cs="宋体"/>
                      <w:b/>
                      <w:bCs/>
                      <w:color w:val="auto"/>
                      <w:sz w:val="21"/>
                      <w:szCs w:val="21"/>
                    </w:rPr>
                    <w:t>号</w:t>
                  </w:r>
                </w:p>
              </w:tc>
              <w:tc>
                <w:tcPr>
                  <w:tcW w:w="1125" w:type="dxa"/>
                  <w:vMerge w:val="restart"/>
                  <w:tcBorders>
                    <w:tl2br w:val="nil"/>
                    <w:tr2bl w:val="nil"/>
                  </w:tcBorders>
                  <w:vAlign w:val="center"/>
                </w:tcPr>
                <w:p w14:paraId="19E8BF9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b/>
                      <w:bCs/>
                      <w:color w:val="auto"/>
                      <w:sz w:val="21"/>
                      <w:szCs w:val="21"/>
                      <w:vertAlign w:val="baseline"/>
                    </w:rPr>
                  </w:pPr>
                  <w:r>
                    <w:rPr>
                      <w:rFonts w:ascii="Times New Roman" w:hAnsi="Times New Roman" w:eastAsia="宋体" w:cs="宋体"/>
                      <w:b/>
                      <w:bCs/>
                      <w:color w:val="auto"/>
                      <w:sz w:val="21"/>
                      <w:szCs w:val="21"/>
                    </w:rPr>
                    <w:t>设备名称</w:t>
                  </w:r>
                </w:p>
              </w:tc>
              <w:tc>
                <w:tcPr>
                  <w:tcW w:w="737" w:type="dxa"/>
                  <w:vMerge w:val="restart"/>
                  <w:tcBorders>
                    <w:tl2br w:val="nil"/>
                    <w:tr2bl w:val="nil"/>
                  </w:tcBorders>
                  <w:vAlign w:val="center"/>
                </w:tcPr>
                <w:p w14:paraId="5BE5762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b/>
                      <w:bCs/>
                      <w:color w:val="auto"/>
                      <w:sz w:val="21"/>
                      <w:szCs w:val="21"/>
                      <w:vertAlign w:val="baseline"/>
                    </w:rPr>
                  </w:pPr>
                  <w:r>
                    <w:rPr>
                      <w:rFonts w:ascii="Times New Roman" w:hAnsi="Times New Roman" w:eastAsia="宋体" w:cs="宋体"/>
                      <w:b/>
                      <w:bCs/>
                      <w:color w:val="auto"/>
                      <w:sz w:val="21"/>
                      <w:szCs w:val="21"/>
                    </w:rPr>
                    <w:t>数量</w:t>
                  </w:r>
                </w:p>
              </w:tc>
              <w:tc>
                <w:tcPr>
                  <w:tcW w:w="1050" w:type="dxa"/>
                  <w:vMerge w:val="restart"/>
                  <w:tcBorders>
                    <w:tl2br w:val="nil"/>
                    <w:tr2bl w:val="nil"/>
                  </w:tcBorders>
                  <w:vAlign w:val="center"/>
                </w:tcPr>
                <w:p w14:paraId="33D4E04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b/>
                      <w:bCs/>
                      <w:color w:val="auto"/>
                      <w:sz w:val="21"/>
                      <w:szCs w:val="21"/>
                      <w:vertAlign w:val="baseline"/>
                      <w:lang w:val="en-US" w:eastAsia="zh-CN"/>
                    </w:rPr>
                  </w:pPr>
                  <w:r>
                    <w:rPr>
                      <w:rFonts w:ascii="Times New Roman" w:hAnsi="Times New Roman" w:eastAsia="宋体" w:cs="宋体"/>
                      <w:b/>
                      <w:bCs/>
                      <w:color w:val="auto"/>
                      <w:sz w:val="21"/>
                      <w:szCs w:val="21"/>
                    </w:rPr>
                    <w:t>治理前声级</w:t>
                  </w:r>
                  <w:r>
                    <w:rPr>
                      <w:rFonts w:hint="eastAsia" w:cs="宋体"/>
                      <w:b/>
                      <w:bCs/>
                      <w:color w:val="auto"/>
                      <w:sz w:val="21"/>
                      <w:szCs w:val="21"/>
                      <w:lang w:val="en-US" w:eastAsia="zh-CN"/>
                    </w:rPr>
                    <w:t>/dB（A）</w:t>
                  </w:r>
                </w:p>
              </w:tc>
              <w:tc>
                <w:tcPr>
                  <w:tcW w:w="2100" w:type="dxa"/>
                  <w:gridSpan w:val="3"/>
                  <w:tcBorders>
                    <w:tl2br w:val="nil"/>
                    <w:tr2bl w:val="nil"/>
                  </w:tcBorders>
                  <w:vAlign w:val="center"/>
                </w:tcPr>
                <w:p w14:paraId="0BF6C45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宋体"/>
                      <w:b/>
                      <w:bCs/>
                      <w:color w:val="auto"/>
                      <w:sz w:val="21"/>
                      <w:szCs w:val="21"/>
                      <w:lang w:val="en-US" w:eastAsia="zh-CN"/>
                    </w:rPr>
                  </w:pPr>
                  <w:r>
                    <w:rPr>
                      <w:rFonts w:hint="eastAsia" w:ascii="Times New Roman" w:hAnsi="Times New Roman" w:eastAsia="宋体" w:cs="宋体"/>
                      <w:b/>
                      <w:bCs/>
                      <w:color w:val="auto"/>
                      <w:sz w:val="21"/>
                      <w:szCs w:val="21"/>
                      <w:lang w:val="en-US" w:eastAsia="zh-CN"/>
                    </w:rPr>
                    <w:t>空间相对位置/m</w:t>
                  </w:r>
                </w:p>
              </w:tc>
              <w:tc>
                <w:tcPr>
                  <w:tcW w:w="1475" w:type="dxa"/>
                  <w:vMerge w:val="restart"/>
                  <w:tcBorders>
                    <w:tl2br w:val="nil"/>
                    <w:tr2bl w:val="nil"/>
                  </w:tcBorders>
                  <w:vAlign w:val="center"/>
                </w:tcPr>
                <w:p w14:paraId="7F2831A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b/>
                      <w:bCs/>
                      <w:color w:val="auto"/>
                      <w:sz w:val="21"/>
                      <w:szCs w:val="21"/>
                      <w:vertAlign w:val="baseline"/>
                    </w:rPr>
                  </w:pPr>
                  <w:r>
                    <w:rPr>
                      <w:rFonts w:ascii="Times New Roman" w:hAnsi="Times New Roman" w:eastAsia="宋体" w:cs="宋体"/>
                      <w:b/>
                      <w:bCs/>
                      <w:color w:val="auto"/>
                      <w:sz w:val="21"/>
                      <w:szCs w:val="21"/>
                    </w:rPr>
                    <w:t>治理措施</w:t>
                  </w:r>
                </w:p>
              </w:tc>
              <w:tc>
                <w:tcPr>
                  <w:tcW w:w="1025" w:type="dxa"/>
                  <w:vMerge w:val="restart"/>
                  <w:tcBorders>
                    <w:tl2br w:val="nil"/>
                    <w:tr2bl w:val="nil"/>
                  </w:tcBorders>
                  <w:vAlign w:val="center"/>
                </w:tcPr>
                <w:p w14:paraId="59F7467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b/>
                      <w:bCs/>
                      <w:color w:val="auto"/>
                      <w:sz w:val="21"/>
                      <w:szCs w:val="21"/>
                      <w:vertAlign w:val="baseline"/>
                    </w:rPr>
                  </w:pPr>
                  <w:r>
                    <w:rPr>
                      <w:rFonts w:ascii="Times New Roman" w:hAnsi="Times New Roman" w:eastAsia="宋体" w:cs="宋体"/>
                      <w:b/>
                      <w:bCs/>
                      <w:color w:val="auto"/>
                      <w:sz w:val="21"/>
                      <w:szCs w:val="21"/>
                    </w:rPr>
                    <w:t>治理后</w:t>
                  </w:r>
                </w:p>
              </w:tc>
            </w:tr>
            <w:tr w14:paraId="34EDBE6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8" w:hRule="atLeast"/>
              </w:trPr>
              <w:tc>
                <w:tcPr>
                  <w:tcW w:w="506" w:type="dxa"/>
                  <w:vMerge w:val="continue"/>
                  <w:tcBorders>
                    <w:tl2br w:val="nil"/>
                    <w:tr2bl w:val="nil"/>
                  </w:tcBorders>
                  <w:vAlign w:val="center"/>
                </w:tcPr>
                <w:p w14:paraId="472DACEF">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b/>
                      <w:bCs/>
                      <w:color w:val="auto"/>
                      <w:sz w:val="21"/>
                      <w:szCs w:val="21"/>
                    </w:rPr>
                  </w:pPr>
                </w:p>
              </w:tc>
              <w:tc>
                <w:tcPr>
                  <w:tcW w:w="1125" w:type="dxa"/>
                  <w:vMerge w:val="continue"/>
                  <w:tcBorders>
                    <w:tl2br w:val="nil"/>
                    <w:tr2bl w:val="nil"/>
                  </w:tcBorders>
                  <w:vAlign w:val="center"/>
                </w:tcPr>
                <w:p w14:paraId="152B3C3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b/>
                      <w:bCs/>
                      <w:color w:val="auto"/>
                      <w:sz w:val="21"/>
                      <w:szCs w:val="21"/>
                    </w:rPr>
                  </w:pPr>
                </w:p>
              </w:tc>
              <w:tc>
                <w:tcPr>
                  <w:tcW w:w="737" w:type="dxa"/>
                  <w:vMerge w:val="continue"/>
                  <w:tcBorders>
                    <w:tl2br w:val="nil"/>
                    <w:tr2bl w:val="nil"/>
                  </w:tcBorders>
                  <w:vAlign w:val="center"/>
                </w:tcPr>
                <w:p w14:paraId="71FCA92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b/>
                      <w:bCs/>
                      <w:color w:val="auto"/>
                      <w:sz w:val="21"/>
                      <w:szCs w:val="21"/>
                    </w:rPr>
                  </w:pPr>
                </w:p>
              </w:tc>
              <w:tc>
                <w:tcPr>
                  <w:tcW w:w="1050" w:type="dxa"/>
                  <w:vMerge w:val="continue"/>
                  <w:tcBorders>
                    <w:tl2br w:val="nil"/>
                    <w:tr2bl w:val="nil"/>
                  </w:tcBorders>
                  <w:vAlign w:val="center"/>
                </w:tcPr>
                <w:p w14:paraId="2EB98C2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Times New Roman" w:hAnsi="Times New Roman" w:eastAsia="宋体"/>
                      <w:b/>
                      <w:bCs/>
                      <w:color w:val="auto"/>
                      <w:sz w:val="21"/>
                      <w:szCs w:val="21"/>
                    </w:rPr>
                  </w:pPr>
                </w:p>
              </w:tc>
              <w:tc>
                <w:tcPr>
                  <w:tcW w:w="713" w:type="dxa"/>
                  <w:tcBorders>
                    <w:tl2br w:val="nil"/>
                    <w:tr2bl w:val="nil"/>
                  </w:tcBorders>
                  <w:vAlign w:val="center"/>
                </w:tcPr>
                <w:p w14:paraId="06450E4F">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宋体"/>
                      <w:b/>
                      <w:bCs/>
                      <w:color w:val="auto"/>
                      <w:sz w:val="21"/>
                      <w:szCs w:val="21"/>
                      <w:lang w:val="en-US" w:eastAsia="zh-CN"/>
                    </w:rPr>
                  </w:pPr>
                  <w:r>
                    <w:rPr>
                      <w:rFonts w:hint="eastAsia" w:ascii="Times New Roman" w:hAnsi="Times New Roman" w:eastAsia="宋体" w:cs="宋体"/>
                      <w:b/>
                      <w:bCs/>
                      <w:color w:val="auto"/>
                      <w:sz w:val="21"/>
                      <w:szCs w:val="21"/>
                      <w:lang w:val="en-US" w:eastAsia="zh-CN"/>
                    </w:rPr>
                    <w:t>x</w:t>
                  </w:r>
                </w:p>
              </w:tc>
              <w:tc>
                <w:tcPr>
                  <w:tcW w:w="737" w:type="dxa"/>
                  <w:tcBorders>
                    <w:tl2br w:val="nil"/>
                    <w:tr2bl w:val="nil"/>
                  </w:tcBorders>
                  <w:vAlign w:val="center"/>
                </w:tcPr>
                <w:p w14:paraId="3919F61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宋体"/>
                      <w:b/>
                      <w:bCs/>
                      <w:color w:val="auto"/>
                      <w:sz w:val="21"/>
                      <w:szCs w:val="21"/>
                      <w:lang w:val="en-US" w:eastAsia="zh-CN"/>
                    </w:rPr>
                  </w:pPr>
                  <w:r>
                    <w:rPr>
                      <w:rFonts w:hint="eastAsia" w:ascii="Times New Roman" w:hAnsi="Times New Roman" w:eastAsia="宋体" w:cs="宋体"/>
                      <w:b/>
                      <w:bCs/>
                      <w:color w:val="auto"/>
                      <w:sz w:val="21"/>
                      <w:szCs w:val="21"/>
                      <w:lang w:val="en-US" w:eastAsia="zh-CN"/>
                    </w:rPr>
                    <w:t>y</w:t>
                  </w:r>
                </w:p>
              </w:tc>
              <w:tc>
                <w:tcPr>
                  <w:tcW w:w="650" w:type="dxa"/>
                  <w:tcBorders>
                    <w:tl2br w:val="nil"/>
                    <w:tr2bl w:val="nil"/>
                  </w:tcBorders>
                  <w:vAlign w:val="center"/>
                </w:tcPr>
                <w:p w14:paraId="5EB8727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宋体"/>
                      <w:b/>
                      <w:bCs/>
                      <w:color w:val="auto"/>
                      <w:sz w:val="21"/>
                      <w:szCs w:val="21"/>
                      <w:lang w:val="en-US" w:eastAsia="zh-CN"/>
                    </w:rPr>
                  </w:pPr>
                  <w:r>
                    <w:rPr>
                      <w:rFonts w:hint="eastAsia" w:ascii="Times New Roman" w:hAnsi="Times New Roman" w:eastAsia="宋体" w:cs="宋体"/>
                      <w:b/>
                      <w:bCs/>
                      <w:color w:val="auto"/>
                      <w:sz w:val="21"/>
                      <w:szCs w:val="21"/>
                      <w:lang w:val="en-US" w:eastAsia="zh-CN"/>
                    </w:rPr>
                    <w:t>z</w:t>
                  </w:r>
                </w:p>
              </w:tc>
              <w:tc>
                <w:tcPr>
                  <w:tcW w:w="1475" w:type="dxa"/>
                  <w:vMerge w:val="continue"/>
                  <w:tcBorders>
                    <w:tl2br w:val="nil"/>
                    <w:tr2bl w:val="nil"/>
                  </w:tcBorders>
                  <w:vAlign w:val="center"/>
                </w:tcPr>
                <w:p w14:paraId="0E4891A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cs="宋体"/>
                      <w:b/>
                      <w:bCs/>
                      <w:color w:val="auto"/>
                      <w:sz w:val="21"/>
                      <w:szCs w:val="21"/>
                      <w:lang w:val="en-US" w:eastAsia="zh-CN"/>
                    </w:rPr>
                  </w:pPr>
                </w:p>
              </w:tc>
              <w:tc>
                <w:tcPr>
                  <w:tcW w:w="1025" w:type="dxa"/>
                  <w:vMerge w:val="continue"/>
                  <w:tcBorders>
                    <w:tl2br w:val="nil"/>
                    <w:tr2bl w:val="nil"/>
                  </w:tcBorders>
                  <w:vAlign w:val="center"/>
                </w:tcPr>
                <w:p w14:paraId="5BB5FCC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cs="宋体"/>
                      <w:b/>
                      <w:bCs/>
                      <w:color w:val="auto"/>
                      <w:sz w:val="21"/>
                      <w:szCs w:val="21"/>
                      <w:lang w:val="en-US" w:eastAsia="zh-CN"/>
                    </w:rPr>
                  </w:pPr>
                </w:p>
              </w:tc>
            </w:tr>
            <w:tr w14:paraId="437318D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19" w:hRule="atLeast"/>
              </w:trPr>
              <w:tc>
                <w:tcPr>
                  <w:tcW w:w="506" w:type="dxa"/>
                  <w:tcBorders>
                    <w:tl2br w:val="nil"/>
                    <w:tr2bl w:val="nil"/>
                  </w:tcBorders>
                  <w:vAlign w:val="center"/>
                </w:tcPr>
                <w:p w14:paraId="270542E9">
                  <w:pPr>
                    <w:keepNext w:val="0"/>
                    <w:keepLines w:val="0"/>
                    <w:pageBreakBefore w:val="0"/>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color w:val="auto"/>
                      <w:sz w:val="21"/>
                      <w:szCs w:val="21"/>
                      <w:vertAlign w:val="baseline"/>
                    </w:rPr>
                  </w:pPr>
                  <w:r>
                    <w:rPr>
                      <w:rFonts w:hint="eastAsia" w:ascii="Times New Roman" w:hAnsi="Times New Roman" w:eastAsia="宋体" w:cs="Times New Roman"/>
                      <w:bCs/>
                      <w:color w:val="auto"/>
                      <w:sz w:val="21"/>
                      <w:szCs w:val="21"/>
                      <w:lang w:val="en-US" w:eastAsia="zh-CN"/>
                    </w:rPr>
                    <w:t>1</w:t>
                  </w:r>
                </w:p>
              </w:tc>
              <w:tc>
                <w:tcPr>
                  <w:tcW w:w="1125" w:type="dxa"/>
                  <w:tcBorders>
                    <w:tl2br w:val="nil"/>
                    <w:tr2bl w:val="nil"/>
                  </w:tcBorders>
                  <w:shd w:val="clear" w:color="auto" w:fill="auto"/>
                  <w:vAlign w:val="top"/>
                </w:tcPr>
                <w:p w14:paraId="66A29435">
                  <w:pPr>
                    <w:pStyle w:val="43"/>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color w:val="auto"/>
                      <w:spacing w:val="5"/>
                      <w:sz w:val="21"/>
                      <w:szCs w:val="21"/>
                      <w:highlight w:val="none"/>
                      <w:lang w:val="en-US" w:eastAsia="zh-CN"/>
                    </w:rPr>
                    <w:t>风机</w:t>
                  </w:r>
                </w:p>
              </w:tc>
              <w:tc>
                <w:tcPr>
                  <w:tcW w:w="737" w:type="dxa"/>
                  <w:tcBorders>
                    <w:tl2br w:val="nil"/>
                    <w:tr2bl w:val="nil"/>
                  </w:tcBorders>
                  <w:shd w:val="clear" w:color="auto" w:fill="auto"/>
                  <w:vAlign w:val="top"/>
                </w:tcPr>
                <w:p w14:paraId="5159B01E">
                  <w:pPr>
                    <w:keepNext w:val="0"/>
                    <w:keepLines w:val="0"/>
                    <w:pageBreakBefore w:val="0"/>
                    <w:widowControl w:val="0"/>
                    <w:kinsoku/>
                    <w:wordWrap/>
                    <w:overflowPunct/>
                    <w:topLinePunct w:val="0"/>
                    <w:autoSpaceDE/>
                    <w:autoSpaceDN/>
                    <w:bidi w:val="0"/>
                    <w:adjustRightInd/>
                    <w:snapToGrid/>
                    <w:spacing w:before="157" w:beforeLines="50" w:line="240" w:lineRule="auto"/>
                    <w:ind w:left="0" w:left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eastAsia="宋体" w:cs="Times New Roman"/>
                      <w:color w:val="auto"/>
                      <w:spacing w:val="-8"/>
                      <w:position w:val="1"/>
                      <w:sz w:val="21"/>
                      <w:szCs w:val="21"/>
                      <w:highlight w:val="none"/>
                      <w:lang w:val="en-US" w:eastAsia="zh-CN"/>
                    </w:rPr>
                    <w:t>1</w:t>
                  </w:r>
                </w:p>
              </w:tc>
              <w:tc>
                <w:tcPr>
                  <w:tcW w:w="1050" w:type="dxa"/>
                  <w:tcBorders>
                    <w:tl2br w:val="nil"/>
                    <w:tr2bl w:val="nil"/>
                  </w:tcBorders>
                  <w:vAlign w:val="top"/>
                </w:tcPr>
                <w:p w14:paraId="3DAD37AE">
                  <w:pPr>
                    <w:keepNext w:val="0"/>
                    <w:keepLines w:val="0"/>
                    <w:pageBreakBefore w:val="0"/>
                    <w:widowControl/>
                    <w:suppressLineNumbers w:val="0"/>
                    <w:kinsoku/>
                    <w:wordWrap/>
                    <w:overflowPunct/>
                    <w:topLinePunct w:val="0"/>
                    <w:autoSpaceDE/>
                    <w:autoSpaceDN/>
                    <w:bidi w:val="0"/>
                    <w:adjustRightInd/>
                    <w:snapToGrid/>
                    <w:spacing w:before="157" w:beforeLines="50" w:line="240" w:lineRule="auto"/>
                    <w:jc w:val="center"/>
                    <w:textAlignment w:val="top"/>
                    <w:rPr>
                      <w:rFonts w:hint="default" w:ascii="Times New Roman" w:hAnsi="Times New Roman" w:eastAsia="宋体"/>
                      <w:color w:val="auto"/>
                      <w:sz w:val="21"/>
                      <w:szCs w:val="21"/>
                      <w:vertAlign w:val="baseline"/>
                      <w:lang w:val="en-US"/>
                    </w:rPr>
                  </w:pPr>
                  <w:r>
                    <w:rPr>
                      <w:rFonts w:hint="eastAsia" w:cs="Times New Roman"/>
                      <w:i w:val="0"/>
                      <w:iCs w:val="0"/>
                      <w:color w:val="auto"/>
                      <w:kern w:val="0"/>
                      <w:sz w:val="21"/>
                      <w:szCs w:val="21"/>
                      <w:u w:val="none"/>
                      <w:lang w:val="en-US" w:eastAsia="zh-CN" w:bidi="ar"/>
                    </w:rPr>
                    <w:t>90</w:t>
                  </w:r>
                </w:p>
              </w:tc>
              <w:tc>
                <w:tcPr>
                  <w:tcW w:w="713" w:type="dxa"/>
                  <w:tcBorders>
                    <w:tl2br w:val="nil"/>
                    <w:tr2bl w:val="nil"/>
                  </w:tcBorders>
                  <w:vAlign w:val="center"/>
                </w:tcPr>
                <w:p w14:paraId="14F0161F">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olor w:val="auto"/>
                      <w:sz w:val="21"/>
                      <w:szCs w:val="21"/>
                      <w:vertAlign w:val="baseline"/>
                      <w:lang w:val="en-US" w:eastAsia="zh-CN"/>
                    </w:rPr>
                  </w:pPr>
                  <w:r>
                    <w:rPr>
                      <w:rFonts w:hint="eastAsia"/>
                      <w:color w:val="auto"/>
                      <w:sz w:val="21"/>
                      <w:szCs w:val="21"/>
                      <w:vertAlign w:val="baseline"/>
                      <w:lang w:val="en-US" w:eastAsia="zh-CN"/>
                    </w:rPr>
                    <w:t>12</w:t>
                  </w:r>
                </w:p>
              </w:tc>
              <w:tc>
                <w:tcPr>
                  <w:tcW w:w="737" w:type="dxa"/>
                  <w:tcBorders>
                    <w:tl2br w:val="nil"/>
                    <w:tr2bl w:val="nil"/>
                  </w:tcBorders>
                  <w:vAlign w:val="center"/>
                </w:tcPr>
                <w:p w14:paraId="11121AC5">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olor w:val="auto"/>
                      <w:sz w:val="21"/>
                      <w:szCs w:val="21"/>
                      <w:vertAlign w:val="baseline"/>
                      <w:lang w:val="en-US" w:eastAsia="zh-CN"/>
                    </w:rPr>
                  </w:pPr>
                  <w:r>
                    <w:rPr>
                      <w:rFonts w:hint="eastAsia" w:cs="宋体"/>
                      <w:color w:val="auto"/>
                      <w:sz w:val="21"/>
                      <w:szCs w:val="21"/>
                      <w:lang w:val="en-US" w:eastAsia="zh-CN"/>
                    </w:rPr>
                    <w:t>25.0</w:t>
                  </w:r>
                </w:p>
              </w:tc>
              <w:tc>
                <w:tcPr>
                  <w:tcW w:w="650" w:type="dxa"/>
                  <w:tcBorders>
                    <w:tl2br w:val="nil"/>
                    <w:tr2bl w:val="nil"/>
                  </w:tcBorders>
                  <w:vAlign w:val="center"/>
                </w:tcPr>
                <w:p w14:paraId="3227D66D">
                  <w:pPr>
                    <w:keepNext w:val="0"/>
                    <w:keepLines w:val="0"/>
                    <w:pageBreakBefore w:val="0"/>
                    <w:widowControl/>
                    <w:suppressLineNumbers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olor w:val="auto"/>
                      <w:sz w:val="21"/>
                      <w:szCs w:val="21"/>
                      <w:vertAlign w:val="baseline"/>
                      <w:lang w:val="en-US" w:eastAsia="zh-CN"/>
                    </w:rPr>
                  </w:pPr>
                  <w:r>
                    <w:rPr>
                      <w:rFonts w:hint="eastAsia" w:cs="宋体"/>
                      <w:color w:val="auto"/>
                      <w:sz w:val="21"/>
                      <w:szCs w:val="21"/>
                      <w:lang w:val="en-US" w:eastAsia="zh-CN"/>
                    </w:rPr>
                    <w:t>21</w:t>
                  </w:r>
                </w:p>
              </w:tc>
              <w:tc>
                <w:tcPr>
                  <w:tcW w:w="1475" w:type="dxa"/>
                  <w:tcBorders>
                    <w:tl2br w:val="nil"/>
                    <w:tr2bl w:val="nil"/>
                  </w:tcBorders>
                  <w:vAlign w:val="center"/>
                </w:tcPr>
                <w:p w14:paraId="1CA45517">
                  <w:pPr>
                    <w:pStyle w:val="55"/>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olor w:val="auto"/>
                      <w:sz w:val="21"/>
                      <w:szCs w:val="21"/>
                      <w:vertAlign w:val="baseline"/>
                      <w:lang w:val="en-US" w:eastAsia="zh-CN"/>
                    </w:rPr>
                  </w:pPr>
                  <w:r>
                    <w:rPr>
                      <w:rFonts w:hint="eastAsia"/>
                      <w:color w:val="auto"/>
                      <w:sz w:val="21"/>
                      <w:szCs w:val="21"/>
                      <w:vertAlign w:val="baseline"/>
                      <w:lang w:val="en-US" w:eastAsia="zh-CN"/>
                    </w:rPr>
                    <w:t>低噪声设备、基础减振</w:t>
                  </w:r>
                </w:p>
              </w:tc>
              <w:tc>
                <w:tcPr>
                  <w:tcW w:w="1025" w:type="dxa"/>
                  <w:tcBorders>
                    <w:tl2br w:val="nil"/>
                    <w:tr2bl w:val="nil"/>
                  </w:tcBorders>
                  <w:vAlign w:val="center"/>
                </w:tcPr>
                <w:p w14:paraId="1DD913E3">
                  <w:pPr>
                    <w:pStyle w:val="55"/>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olor w:val="auto"/>
                      <w:sz w:val="21"/>
                      <w:szCs w:val="21"/>
                      <w:vertAlign w:val="baseline"/>
                      <w:lang w:val="en-US" w:eastAsia="zh-CN"/>
                    </w:rPr>
                  </w:pPr>
                  <w:r>
                    <w:rPr>
                      <w:rFonts w:hint="eastAsia"/>
                      <w:color w:val="auto"/>
                      <w:sz w:val="21"/>
                      <w:szCs w:val="21"/>
                      <w:vertAlign w:val="baseline"/>
                      <w:lang w:val="en-US" w:eastAsia="zh-CN"/>
                    </w:rPr>
                    <w:t>70</w:t>
                  </w:r>
                </w:p>
              </w:tc>
            </w:tr>
          </w:tbl>
          <w:p w14:paraId="244C932B">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89" w:name="_Toc19460"/>
            <w:r>
              <w:rPr>
                <w:rFonts w:hint="eastAsia" w:ascii="Times New Roman" w:hAnsi="Times New Roman" w:eastAsia="宋体" w:cs="Times New Roman"/>
                <w:b/>
                <w:color w:val="auto"/>
                <w:kern w:val="2"/>
                <w:sz w:val="24"/>
                <w:szCs w:val="24"/>
                <w:lang w:val="en-US" w:eastAsia="zh-CN" w:bidi="ar-SA"/>
              </w:rPr>
              <w:t>4.3.2声环境影响分析</w:t>
            </w:r>
            <w:bookmarkEnd w:id="89"/>
          </w:p>
          <w:p w14:paraId="23C75CB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项目噪声预测模式采用《环境影响评价技术导则</w:t>
            </w:r>
            <w:r>
              <w:rPr>
                <w:rFonts w:hint="eastAsia" w:ascii="Times New Roman" w:hAnsi="Times New Roman" w:eastAsia="宋体" w:cs="宋体"/>
                <w:color w:val="auto"/>
                <w:kern w:val="2"/>
                <w:sz w:val="24"/>
                <w:szCs w:val="24"/>
                <w:lang w:val="en-US" w:eastAsia="zh-CN" w:bidi="ar-SA"/>
              </w:rPr>
              <w:t xml:space="preserve"> </w:t>
            </w:r>
            <w:r>
              <w:rPr>
                <w:rFonts w:hint="default" w:ascii="Times New Roman" w:hAnsi="Times New Roman" w:eastAsia="宋体" w:cs="宋体"/>
                <w:color w:val="auto"/>
                <w:kern w:val="2"/>
                <w:sz w:val="24"/>
                <w:szCs w:val="24"/>
                <w:lang w:val="en-US" w:eastAsia="zh-CN" w:bidi="ar-SA"/>
              </w:rPr>
              <w:t>声环境》</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HJ</w:t>
            </w:r>
            <w:r>
              <w:rPr>
                <w:rFonts w:hint="eastAsia" w:ascii="Times New Roman" w:hAnsi="Times New Roman" w:eastAsia="宋体" w:cs="宋体"/>
                <w:color w:val="auto"/>
                <w:kern w:val="2"/>
                <w:sz w:val="24"/>
                <w:szCs w:val="24"/>
                <w:lang w:val="en-US" w:eastAsia="zh-CN" w:bidi="ar-SA"/>
              </w:rPr>
              <w:t xml:space="preserve"> </w:t>
            </w:r>
            <w:r>
              <w:rPr>
                <w:rFonts w:hint="default" w:ascii="Times New Roman" w:hAnsi="Times New Roman" w:eastAsia="宋体" w:cs="宋体"/>
                <w:color w:val="auto"/>
                <w:kern w:val="2"/>
                <w:sz w:val="24"/>
                <w:szCs w:val="24"/>
                <w:lang w:val="en-US" w:eastAsia="zh-CN" w:bidi="ar-SA"/>
              </w:rPr>
              <w:t>2.4-20</w:t>
            </w:r>
            <w:r>
              <w:rPr>
                <w:rFonts w:hint="eastAsia" w:ascii="Times New Roman" w:hAnsi="Times New Roman" w:eastAsia="宋体" w:cs="宋体"/>
                <w:color w:val="auto"/>
                <w:kern w:val="2"/>
                <w:sz w:val="24"/>
                <w:szCs w:val="24"/>
                <w:lang w:val="en-US" w:eastAsia="zh-CN" w:bidi="ar-SA"/>
              </w:rPr>
              <w:t>21）</w:t>
            </w:r>
            <w:r>
              <w:rPr>
                <w:rFonts w:hint="default" w:ascii="Times New Roman" w:hAnsi="Times New Roman" w:eastAsia="宋体" w:cs="宋体"/>
                <w:color w:val="auto"/>
                <w:kern w:val="2"/>
                <w:sz w:val="24"/>
                <w:szCs w:val="24"/>
                <w:lang w:val="en-US" w:eastAsia="zh-CN" w:bidi="ar-SA"/>
              </w:rPr>
              <w:t>中推荐的模型。噪声在传播过程</w:t>
            </w:r>
            <w:r>
              <w:rPr>
                <w:rFonts w:hint="eastAsia" w:ascii="Times New Roman" w:hAnsi="Times New Roman" w:eastAsia="宋体" w:cs="宋体"/>
                <w:color w:val="auto"/>
                <w:kern w:val="2"/>
                <w:sz w:val="24"/>
                <w:szCs w:val="24"/>
                <w:lang w:val="en-US" w:eastAsia="zh-CN" w:bidi="ar-SA"/>
              </w:rPr>
              <w:t>中受到</w:t>
            </w:r>
            <w:r>
              <w:rPr>
                <w:rFonts w:hint="default" w:ascii="Times New Roman" w:hAnsi="Times New Roman" w:eastAsia="宋体" w:cs="宋体"/>
                <w:color w:val="auto"/>
                <w:kern w:val="2"/>
                <w:sz w:val="24"/>
                <w:szCs w:val="24"/>
                <w:lang w:val="en-US" w:eastAsia="zh-CN" w:bidi="ar-SA"/>
              </w:rPr>
              <w:t>多种因数的干扰，使其产生衰减，根据建设项目噪声源和环境特征</w:t>
            </w:r>
            <w:r>
              <w:rPr>
                <w:rFonts w:hint="eastAsia" w:cs="宋体"/>
                <w:color w:val="auto"/>
                <w:kern w:val="2"/>
                <w:sz w:val="24"/>
                <w:szCs w:val="24"/>
                <w:lang w:val="en-US" w:eastAsia="zh-CN" w:bidi="ar-SA"/>
              </w:rPr>
              <w:t>，在</w:t>
            </w:r>
            <w:r>
              <w:rPr>
                <w:rFonts w:hint="default" w:ascii="Times New Roman" w:hAnsi="Times New Roman" w:eastAsia="宋体" w:cs="宋体"/>
                <w:color w:val="auto"/>
                <w:kern w:val="2"/>
                <w:sz w:val="24"/>
                <w:szCs w:val="24"/>
                <w:lang w:val="en-US" w:eastAsia="zh-CN" w:bidi="ar-SA"/>
              </w:rPr>
              <w:t>预测过程中考虑了车间等建筑物的屏障作用、空气吸收。预测模式采用</w:t>
            </w:r>
            <w:r>
              <w:rPr>
                <w:rFonts w:hint="eastAsia" w:ascii="Times New Roman" w:hAnsi="Times New Roman" w:eastAsia="宋体" w:cs="宋体"/>
                <w:color w:val="auto"/>
                <w:kern w:val="2"/>
                <w:sz w:val="24"/>
                <w:szCs w:val="24"/>
                <w:lang w:val="en-US" w:eastAsia="zh-CN" w:bidi="ar-SA"/>
              </w:rPr>
              <w:t>点</w:t>
            </w:r>
            <w:r>
              <w:rPr>
                <w:rFonts w:hint="default" w:ascii="Times New Roman" w:hAnsi="Times New Roman" w:eastAsia="宋体" w:cs="宋体"/>
                <w:color w:val="auto"/>
                <w:kern w:val="2"/>
                <w:sz w:val="24"/>
                <w:szCs w:val="24"/>
                <w:lang w:val="en-US" w:eastAsia="zh-CN" w:bidi="ar-SA"/>
              </w:rPr>
              <w:t>声源处于半自由空间的几何发散模式。</w:t>
            </w:r>
          </w:p>
          <w:p w14:paraId="75930F6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w:t>
            </w:r>
            <w:r>
              <w:rPr>
                <w:rFonts w:hint="default" w:ascii="Times New Roman" w:hAnsi="Times New Roman" w:eastAsia="宋体" w:cs="宋体"/>
                <w:color w:val="auto"/>
                <w:kern w:val="2"/>
                <w:sz w:val="24"/>
                <w:szCs w:val="24"/>
                <w:lang w:val="en-US" w:eastAsia="zh-CN" w:bidi="ar-SA"/>
              </w:rPr>
              <w:t>声级的计算</w:t>
            </w:r>
          </w:p>
          <w:p w14:paraId="6557E1D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①建设项目声源在预测点产生的等效声级贡献值</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L</w:t>
            </w:r>
            <w:r>
              <w:rPr>
                <w:rFonts w:hint="default" w:ascii="Times New Roman" w:hAnsi="Times New Roman" w:eastAsia="宋体" w:cs="宋体"/>
                <w:color w:val="auto"/>
                <w:kern w:val="2"/>
                <w:sz w:val="24"/>
                <w:szCs w:val="24"/>
                <w:vertAlign w:val="subscript"/>
                <w:lang w:val="en-US" w:eastAsia="zh-CN" w:bidi="ar-SA"/>
              </w:rPr>
              <w:t>eqg</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计算公式：</w:t>
            </w:r>
          </w:p>
          <w:p w14:paraId="3094520E">
            <w:pPr>
              <w:widowControl w:val="0"/>
              <w:bidi w:val="0"/>
              <w:spacing w:line="360" w:lineRule="auto"/>
              <w:ind w:firstLine="480" w:firstLineChars="200"/>
              <w:jc w:val="right"/>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2138680" cy="531495"/>
                  <wp:effectExtent l="0" t="0" r="13970" b="1905"/>
                  <wp:docPr id="13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7"/>
                          <pic:cNvPicPr>
                            <a:picLocks noChangeAspect="1"/>
                          </pic:cNvPicPr>
                        </pic:nvPicPr>
                        <pic:blipFill>
                          <a:blip r:embed="rId15"/>
                          <a:stretch>
                            <a:fillRect/>
                          </a:stretch>
                        </pic:blipFill>
                        <pic:spPr>
                          <a:xfrm>
                            <a:off x="0" y="0"/>
                            <a:ext cx="2138680" cy="531495"/>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1</w:t>
            </w:r>
            <w:r>
              <w:rPr>
                <w:rFonts w:hint="eastAsia" w:cs="宋体"/>
                <w:color w:val="auto"/>
                <w:kern w:val="2"/>
                <w:sz w:val="24"/>
                <w:szCs w:val="24"/>
                <w:lang w:val="en-US" w:eastAsia="zh-CN" w:bidi="ar-SA"/>
              </w:rPr>
              <w:t>)</w:t>
            </w:r>
          </w:p>
          <w:p w14:paraId="7AAA9DD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式中：L</w:t>
            </w:r>
            <w:r>
              <w:rPr>
                <w:rFonts w:hint="default" w:ascii="Times New Roman" w:hAnsi="Times New Roman" w:eastAsia="宋体" w:cs="宋体"/>
                <w:color w:val="auto"/>
                <w:kern w:val="2"/>
                <w:sz w:val="24"/>
                <w:szCs w:val="24"/>
                <w:vertAlign w:val="subscript"/>
                <w:lang w:val="en-US" w:eastAsia="zh-CN" w:bidi="ar-SA"/>
              </w:rPr>
              <w:t>eqg</w:t>
            </w:r>
            <w:r>
              <w:rPr>
                <w:rFonts w:hint="default" w:ascii="Times New Roman" w:hAnsi="Times New Roman" w:eastAsia="宋体" w:cs="宋体"/>
                <w:color w:val="auto"/>
                <w:kern w:val="2"/>
                <w:sz w:val="24"/>
                <w:szCs w:val="24"/>
                <w:lang w:val="en-US" w:eastAsia="zh-CN" w:bidi="ar-SA"/>
              </w:rPr>
              <w:t>—建设项目声源在预测点的等效声级贡献值，dB</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2207101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L</w:t>
            </w:r>
            <w:r>
              <w:rPr>
                <w:rFonts w:hint="default" w:ascii="Times New Roman" w:hAnsi="Times New Roman" w:eastAsia="宋体" w:cs="宋体"/>
                <w:color w:val="auto"/>
                <w:kern w:val="2"/>
                <w:sz w:val="24"/>
                <w:szCs w:val="24"/>
                <w:vertAlign w:val="subscript"/>
                <w:lang w:val="en-US" w:eastAsia="zh-CN" w:bidi="ar-SA"/>
              </w:rPr>
              <w:t>Ai</w:t>
            </w:r>
            <w:r>
              <w:rPr>
                <w:rFonts w:hint="default" w:ascii="Times New Roman" w:hAnsi="Times New Roman" w:eastAsia="宋体" w:cs="宋体"/>
                <w:color w:val="auto"/>
                <w:kern w:val="2"/>
                <w:sz w:val="24"/>
                <w:szCs w:val="24"/>
                <w:lang w:val="en-US" w:eastAsia="zh-CN" w:bidi="ar-SA"/>
              </w:rPr>
              <w:t>—i声源在预测点产生的A声级，dB</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0DE6BE65">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T—预测计算的时间段，s；</w:t>
            </w:r>
          </w:p>
          <w:p w14:paraId="38C103F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ti—i声源在T时段内的运行时间，s。</w:t>
            </w:r>
          </w:p>
          <w:p w14:paraId="4378C9E5">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②预测点的预测等效声级</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Leq</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计算公式：</w:t>
            </w:r>
          </w:p>
          <w:p w14:paraId="24544A09">
            <w:pPr>
              <w:widowControl w:val="0"/>
              <w:bidi w:val="0"/>
              <w:spacing w:line="360" w:lineRule="auto"/>
              <w:ind w:firstLine="480" w:firstLineChars="200"/>
              <w:jc w:val="right"/>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1809750" cy="288925"/>
                  <wp:effectExtent l="0" t="0" r="0" b="15875"/>
                  <wp:docPr id="1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8"/>
                          <pic:cNvPicPr>
                            <a:picLocks noChangeAspect="1"/>
                          </pic:cNvPicPr>
                        </pic:nvPicPr>
                        <pic:blipFill>
                          <a:blip r:embed="rId16"/>
                          <a:stretch>
                            <a:fillRect/>
                          </a:stretch>
                        </pic:blipFill>
                        <pic:spPr>
                          <a:xfrm>
                            <a:off x="0" y="0"/>
                            <a:ext cx="1809750" cy="288925"/>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2</w:t>
            </w:r>
            <w:r>
              <w:rPr>
                <w:rFonts w:hint="eastAsia" w:cs="宋体"/>
                <w:color w:val="auto"/>
                <w:kern w:val="2"/>
                <w:sz w:val="24"/>
                <w:szCs w:val="24"/>
                <w:lang w:val="en-US" w:eastAsia="zh-CN" w:bidi="ar-SA"/>
              </w:rPr>
              <w:t>)</w:t>
            </w:r>
          </w:p>
          <w:p w14:paraId="0B49AF1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式中：L</w:t>
            </w:r>
            <w:r>
              <w:rPr>
                <w:rFonts w:hint="default" w:ascii="Times New Roman" w:hAnsi="Times New Roman" w:eastAsia="宋体" w:cs="宋体"/>
                <w:color w:val="auto"/>
                <w:kern w:val="2"/>
                <w:sz w:val="24"/>
                <w:szCs w:val="24"/>
                <w:vertAlign w:val="subscript"/>
                <w:lang w:val="en-US" w:eastAsia="zh-CN" w:bidi="ar-SA"/>
              </w:rPr>
              <w:t>eqg</w:t>
            </w:r>
            <w:r>
              <w:rPr>
                <w:rFonts w:hint="default" w:ascii="Times New Roman" w:hAnsi="Times New Roman" w:eastAsia="宋体" w:cs="宋体"/>
                <w:color w:val="auto"/>
                <w:kern w:val="2"/>
                <w:sz w:val="24"/>
                <w:szCs w:val="24"/>
                <w:lang w:val="en-US" w:eastAsia="zh-CN" w:bidi="ar-SA"/>
              </w:rPr>
              <w:t>—建设项目声源在预测点的等效声级贡献值，dB</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39C796B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L</w:t>
            </w:r>
            <w:r>
              <w:rPr>
                <w:rFonts w:hint="default" w:ascii="Times New Roman" w:hAnsi="Times New Roman" w:eastAsia="宋体" w:cs="宋体"/>
                <w:color w:val="auto"/>
                <w:kern w:val="2"/>
                <w:sz w:val="24"/>
                <w:szCs w:val="24"/>
                <w:vertAlign w:val="subscript"/>
                <w:lang w:val="en-US" w:eastAsia="zh-CN" w:bidi="ar-SA"/>
              </w:rPr>
              <w:t>eqg</w:t>
            </w:r>
            <w:r>
              <w:rPr>
                <w:rFonts w:hint="default" w:ascii="Times New Roman" w:hAnsi="Times New Roman" w:eastAsia="宋体" w:cs="宋体"/>
                <w:color w:val="auto"/>
                <w:kern w:val="2"/>
                <w:sz w:val="24"/>
                <w:szCs w:val="24"/>
                <w:lang w:val="en-US" w:eastAsia="zh-CN" w:bidi="ar-SA"/>
              </w:rPr>
              <w:t>—预测点的背景值，dB</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7A75D20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w:t>
            </w:r>
            <w:r>
              <w:rPr>
                <w:rFonts w:hint="default" w:ascii="Times New Roman" w:hAnsi="Times New Roman" w:eastAsia="宋体" w:cs="宋体"/>
                <w:color w:val="auto"/>
                <w:kern w:val="2"/>
                <w:sz w:val="24"/>
                <w:szCs w:val="24"/>
                <w:lang w:val="en-US" w:eastAsia="zh-CN" w:bidi="ar-SA"/>
              </w:rPr>
              <w:t>户外声传基本公式</w:t>
            </w:r>
          </w:p>
          <w:p w14:paraId="651EA857">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①基本公式</w:t>
            </w:r>
          </w:p>
          <w:p w14:paraId="6B59DEB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户外声传播衰减包括几何发散</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Adiv</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、大气吸收</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Aatm</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、地面效应</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Agr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、屏障屏蔽</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Abar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、其他多方面效应</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Amisc</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引起的衰减。</w:t>
            </w:r>
          </w:p>
          <w:p w14:paraId="6FCBEFC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A.在环境影响评价中，应根据声源声功率级或靠近声源某一参考位置处的已知声级</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如实测得到的</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、户外声传播衰减，计算距离声源较远处的预测点的声级。在已知距离无指向性点声源参考点r</w:t>
            </w:r>
            <w:r>
              <w:rPr>
                <w:rFonts w:hint="default" w:ascii="Times New Roman" w:hAnsi="Times New Roman" w:eastAsia="宋体" w:cs="宋体"/>
                <w:color w:val="auto"/>
                <w:kern w:val="2"/>
                <w:sz w:val="24"/>
                <w:szCs w:val="24"/>
                <w:vertAlign w:val="subscript"/>
                <w:lang w:val="en-US" w:eastAsia="zh-CN" w:bidi="ar-SA"/>
              </w:rPr>
              <w:t>0</w:t>
            </w:r>
            <w:r>
              <w:rPr>
                <w:rFonts w:hint="default" w:ascii="Times New Roman" w:hAnsi="Times New Roman" w:eastAsia="宋体" w:cs="宋体"/>
                <w:color w:val="auto"/>
                <w:kern w:val="2"/>
                <w:sz w:val="24"/>
                <w:szCs w:val="24"/>
                <w:lang w:val="en-US" w:eastAsia="zh-CN" w:bidi="ar-SA"/>
              </w:rPr>
              <w:t>处的倍频带</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用63Hz到8KHz的8个标称倍频带中心频率</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声压级Lp</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default" w:ascii="Times New Roman" w:hAnsi="Times New Roman" w:eastAsia="宋体" w:cs="宋体"/>
                <w:color w:val="auto"/>
                <w:kern w:val="2"/>
                <w:sz w:val="24"/>
                <w:szCs w:val="24"/>
                <w:vertAlign w:val="subscript"/>
                <w:lang w:val="en-US" w:eastAsia="zh-CN" w:bidi="ar-SA"/>
              </w:rPr>
              <w:t>0</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和计算出参考点</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default" w:ascii="Times New Roman" w:hAnsi="Times New Roman" w:eastAsia="宋体" w:cs="宋体"/>
                <w:color w:val="auto"/>
                <w:kern w:val="2"/>
                <w:sz w:val="24"/>
                <w:szCs w:val="24"/>
                <w:vertAlign w:val="subscript"/>
                <w:lang w:val="en-US" w:eastAsia="zh-CN" w:bidi="ar-SA"/>
              </w:rPr>
              <w:t>0</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和预测点</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处之间的户外声传播衰减后，预测点8个倍频带声压级可分别用式</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3</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计算。</w:t>
            </w:r>
          </w:p>
          <w:p w14:paraId="0F95C0DA">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2871470" cy="314325"/>
                  <wp:effectExtent l="0" t="0" r="5080" b="9525"/>
                  <wp:docPr id="13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9"/>
                          <pic:cNvPicPr>
                            <a:picLocks noChangeAspect="1"/>
                          </pic:cNvPicPr>
                        </pic:nvPicPr>
                        <pic:blipFill>
                          <a:blip r:embed="rId17"/>
                          <a:stretch>
                            <a:fillRect/>
                          </a:stretch>
                        </pic:blipFill>
                        <pic:spPr>
                          <a:xfrm>
                            <a:off x="0" y="0"/>
                            <a:ext cx="2871470" cy="314325"/>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eastAsia"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3</w:t>
            </w:r>
            <w:r>
              <w:rPr>
                <w:rFonts w:hint="eastAsia" w:cs="宋体"/>
                <w:color w:val="auto"/>
                <w:kern w:val="2"/>
                <w:sz w:val="24"/>
                <w:szCs w:val="24"/>
                <w:lang w:val="en-US" w:eastAsia="zh-CN" w:bidi="ar-SA"/>
              </w:rPr>
              <w:t>)</w:t>
            </w:r>
          </w:p>
          <w:p w14:paraId="52FFABD5">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B.预测点的A声级LA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可按公式</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6</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计算，即将8个倍频带声压级合成，计算出预测点的A声级</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LA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1FA57B91">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1924050" cy="416560"/>
                  <wp:effectExtent l="0" t="0" r="0" b="2540"/>
                  <wp:docPr id="13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20"/>
                          <pic:cNvPicPr>
                            <a:picLocks noChangeAspect="1"/>
                          </pic:cNvPicPr>
                        </pic:nvPicPr>
                        <pic:blipFill>
                          <a:blip r:embed="rId18"/>
                          <a:stretch>
                            <a:fillRect/>
                          </a:stretch>
                        </pic:blipFill>
                        <pic:spPr>
                          <a:xfrm>
                            <a:off x="0" y="0"/>
                            <a:ext cx="1924050" cy="416560"/>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eastAsia"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4</w:t>
            </w:r>
            <w:r>
              <w:rPr>
                <w:rFonts w:hint="eastAsia" w:cs="宋体"/>
                <w:color w:val="auto"/>
                <w:kern w:val="2"/>
                <w:sz w:val="24"/>
                <w:szCs w:val="24"/>
                <w:lang w:val="en-US" w:eastAsia="zh-CN" w:bidi="ar-SA"/>
              </w:rPr>
              <w:t>)</w:t>
            </w:r>
          </w:p>
          <w:p w14:paraId="734E126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式中：L</w:t>
            </w:r>
            <w:r>
              <w:rPr>
                <w:rFonts w:hint="default" w:ascii="Times New Roman" w:hAnsi="Times New Roman" w:eastAsia="宋体" w:cs="宋体"/>
                <w:color w:val="auto"/>
                <w:kern w:val="2"/>
                <w:sz w:val="24"/>
                <w:szCs w:val="24"/>
                <w:vertAlign w:val="subscript"/>
                <w:lang w:val="en-US" w:eastAsia="zh-CN" w:bidi="ar-SA"/>
              </w:rPr>
              <w:t>Pi</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—预测点</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处，第i倍频带声压级，dB</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w:t>
            </w:r>
          </w:p>
          <w:p w14:paraId="00F97A1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ΔL i—第i倍频带的A计权网络修正值，dB。</w:t>
            </w:r>
          </w:p>
          <w:p w14:paraId="7E6E6B0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C.</w:t>
            </w:r>
            <w:r>
              <w:rPr>
                <w:rFonts w:hint="default" w:ascii="Times New Roman" w:hAnsi="Times New Roman" w:eastAsia="宋体" w:cs="宋体"/>
                <w:color w:val="auto"/>
                <w:kern w:val="2"/>
                <w:sz w:val="24"/>
                <w:szCs w:val="24"/>
                <w:lang w:val="en-US" w:eastAsia="zh-CN" w:bidi="ar-SA"/>
              </w:rPr>
              <w:t>在只考虑几何发散衰减时，可用公式</w:t>
            </w:r>
            <w:r>
              <w:rPr>
                <w:rFonts w:hint="eastAsia" w:ascii="Times New Roman" w:hAnsi="Times New Roman" w:eastAsia="宋体" w:cs="宋体"/>
                <w:color w:val="auto"/>
                <w:kern w:val="2"/>
                <w:sz w:val="24"/>
                <w:szCs w:val="24"/>
                <w:lang w:val="en-US" w:eastAsia="zh-CN" w:bidi="ar-SA"/>
              </w:rPr>
              <w:t>（5）</w:t>
            </w:r>
            <w:r>
              <w:rPr>
                <w:rFonts w:hint="default" w:ascii="Times New Roman" w:hAnsi="Times New Roman" w:eastAsia="宋体" w:cs="宋体"/>
                <w:color w:val="auto"/>
                <w:kern w:val="2"/>
                <w:sz w:val="24"/>
                <w:szCs w:val="24"/>
                <w:lang w:val="en-US" w:eastAsia="zh-CN" w:bidi="ar-SA"/>
              </w:rPr>
              <w:t>计算：</w:t>
            </w:r>
          </w:p>
          <w:p w14:paraId="6CEEF9BC">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1334135" cy="320675"/>
                  <wp:effectExtent l="0" t="0" r="18415" b="3175"/>
                  <wp:docPr id="14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21"/>
                          <pic:cNvPicPr>
                            <a:picLocks noChangeAspect="1"/>
                          </pic:cNvPicPr>
                        </pic:nvPicPr>
                        <pic:blipFill>
                          <a:blip r:embed="rId19"/>
                          <a:stretch>
                            <a:fillRect/>
                          </a:stretch>
                        </pic:blipFill>
                        <pic:spPr>
                          <a:xfrm>
                            <a:off x="0" y="0"/>
                            <a:ext cx="1334135" cy="320675"/>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eastAsia"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5</w:t>
            </w:r>
            <w:r>
              <w:rPr>
                <w:rFonts w:hint="eastAsia" w:cs="宋体"/>
                <w:color w:val="auto"/>
                <w:kern w:val="2"/>
                <w:sz w:val="24"/>
                <w:szCs w:val="24"/>
                <w:lang w:val="en-US" w:eastAsia="zh-CN" w:bidi="ar-SA"/>
              </w:rPr>
              <w:t>)</w:t>
            </w:r>
          </w:p>
          <w:p w14:paraId="6ABF2463">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②几何发散衰减</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Adiv</w:t>
            </w:r>
            <w:r>
              <w:rPr>
                <w:rFonts w:hint="eastAsia" w:ascii="Times New Roman" w:hAnsi="Times New Roman" w:eastAsia="宋体" w:cs="宋体"/>
                <w:color w:val="auto"/>
                <w:kern w:val="2"/>
                <w:sz w:val="24"/>
                <w:szCs w:val="24"/>
                <w:lang w:val="en-US" w:eastAsia="zh-CN" w:bidi="ar-SA"/>
              </w:rPr>
              <w:t>）</w:t>
            </w:r>
          </w:p>
          <w:p w14:paraId="33244A1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A.点声源的几何发散衰减</w:t>
            </w:r>
          </w:p>
          <w:p w14:paraId="22551EC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如果声源处于半自由声场，则等效为公式（6）或（7）</w:t>
            </w:r>
          </w:p>
          <w:p w14:paraId="76C6ECC9">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2018030" cy="253365"/>
                  <wp:effectExtent l="0" t="0" r="1270" b="13335"/>
                  <wp:docPr id="14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22"/>
                          <pic:cNvPicPr>
                            <a:picLocks noChangeAspect="1"/>
                          </pic:cNvPicPr>
                        </pic:nvPicPr>
                        <pic:blipFill>
                          <a:blip r:embed="rId20"/>
                          <a:srcRect r="50000"/>
                          <a:stretch>
                            <a:fillRect/>
                          </a:stretch>
                        </pic:blipFill>
                        <pic:spPr>
                          <a:xfrm>
                            <a:off x="0" y="0"/>
                            <a:ext cx="2018030" cy="253365"/>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eastAsia"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6</w:t>
            </w:r>
            <w:r>
              <w:rPr>
                <w:rFonts w:hint="eastAsia" w:cs="宋体"/>
                <w:color w:val="auto"/>
                <w:kern w:val="2"/>
                <w:sz w:val="24"/>
                <w:szCs w:val="24"/>
                <w:lang w:val="en-US" w:eastAsia="zh-CN" w:bidi="ar-SA"/>
              </w:rPr>
              <w:t>)</w:t>
            </w:r>
          </w:p>
          <w:p w14:paraId="09E3E525">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2019935" cy="228600"/>
                  <wp:effectExtent l="0" t="0" r="18415" b="0"/>
                  <wp:docPr id="14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23"/>
                          <pic:cNvPicPr>
                            <a:picLocks noChangeAspect="1"/>
                          </pic:cNvPicPr>
                        </pic:nvPicPr>
                        <pic:blipFill>
                          <a:blip r:embed="rId21"/>
                          <a:srcRect r="49283"/>
                          <a:stretch>
                            <a:fillRect/>
                          </a:stretch>
                        </pic:blipFill>
                        <pic:spPr>
                          <a:xfrm>
                            <a:off x="0" y="0"/>
                            <a:ext cx="2019935" cy="228600"/>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eastAsia"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7</w:t>
            </w:r>
            <w:r>
              <w:rPr>
                <w:rFonts w:hint="eastAsia" w:cs="宋体"/>
                <w:color w:val="auto"/>
                <w:kern w:val="2"/>
                <w:sz w:val="24"/>
                <w:szCs w:val="24"/>
                <w:lang w:val="en-US" w:eastAsia="zh-CN" w:bidi="ar-SA"/>
              </w:rPr>
              <w:t>)</w:t>
            </w:r>
          </w:p>
          <w:p w14:paraId="57390F6B">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B.反射体引起的修正ΔL</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w:t>
            </w:r>
            <w:r>
              <w:rPr>
                <w:rFonts w:hint="eastAsia" w:ascii="Times New Roman" w:hAnsi="Times New Roman" w:eastAsia="宋体" w:cs="宋体"/>
                <w:color w:val="auto"/>
                <w:kern w:val="2"/>
                <w:sz w:val="24"/>
                <w:szCs w:val="24"/>
                <w:lang w:val="en-US" w:eastAsia="zh-CN" w:bidi="ar-SA"/>
              </w:rPr>
              <w:t>）</w:t>
            </w:r>
          </w:p>
          <w:p w14:paraId="13824017">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如图</w:t>
            </w:r>
            <w:r>
              <w:rPr>
                <w:rFonts w:hint="eastAsia" w:ascii="Times New Roman" w:hAnsi="Times New Roman" w:eastAsia="宋体" w:cs="宋体"/>
                <w:color w:val="auto"/>
                <w:kern w:val="2"/>
                <w:sz w:val="24"/>
                <w:szCs w:val="24"/>
                <w:lang w:val="en-US" w:eastAsia="zh-CN" w:bidi="ar-SA"/>
              </w:rPr>
              <w:t>4</w:t>
            </w: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3</w:t>
            </w:r>
            <w:r>
              <w:rPr>
                <w:rFonts w:hint="default" w:ascii="Times New Roman" w:hAnsi="Times New Roman" w:eastAsia="宋体" w:cs="宋体"/>
                <w:color w:val="auto"/>
                <w:kern w:val="2"/>
                <w:sz w:val="24"/>
                <w:szCs w:val="24"/>
                <w:lang w:val="en-US" w:eastAsia="zh-CN" w:bidi="ar-SA"/>
              </w:rPr>
              <w:t>-1所示，当点声源与预测点处在反射体同侧附近时，到达预测点的声级是直达声与反射声叠加的结果，从而使预测点声级增高。</w:t>
            </w:r>
          </w:p>
          <w:p w14:paraId="04817E37">
            <w:pPr>
              <w:widowControl w:val="0"/>
              <w:bidi w:val="0"/>
              <w:spacing w:line="240" w:lineRule="auto"/>
              <w:ind w:firstLine="0" w:firstLineChars="0"/>
              <w:jc w:val="center"/>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5079365" cy="3623310"/>
                  <wp:effectExtent l="0" t="0" r="6985" b="15240"/>
                  <wp:docPr id="14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4"/>
                          <pic:cNvPicPr>
                            <a:picLocks noChangeAspect="1"/>
                          </pic:cNvPicPr>
                        </pic:nvPicPr>
                        <pic:blipFill>
                          <a:blip r:embed="rId22"/>
                          <a:stretch>
                            <a:fillRect/>
                          </a:stretch>
                        </pic:blipFill>
                        <pic:spPr>
                          <a:xfrm>
                            <a:off x="0" y="0"/>
                            <a:ext cx="5079365" cy="3623310"/>
                          </a:xfrm>
                          <a:prstGeom prst="rect">
                            <a:avLst/>
                          </a:prstGeom>
                          <a:noFill/>
                          <a:ln>
                            <a:noFill/>
                          </a:ln>
                        </pic:spPr>
                      </pic:pic>
                    </a:graphicData>
                  </a:graphic>
                </wp:inline>
              </w:drawing>
            </w:r>
          </w:p>
          <w:p w14:paraId="0443DB43">
            <w:pPr>
              <w:pStyle w:val="27"/>
              <w:bidi w:val="0"/>
              <w:rPr>
                <w:rFonts w:hint="default" w:ascii="Times New Roman" w:hAnsi="Times New Roman"/>
                <w:color w:val="auto"/>
                <w:lang w:val="en-US" w:eastAsia="zh-CN"/>
              </w:rPr>
            </w:pPr>
            <w:r>
              <w:rPr>
                <w:rFonts w:hint="default" w:ascii="Times New Roman" w:hAnsi="Times New Roman"/>
                <w:color w:val="auto"/>
                <w:lang w:val="en-US" w:eastAsia="zh-CN"/>
              </w:rPr>
              <w:t>图</w:t>
            </w:r>
            <w:r>
              <w:rPr>
                <w:rFonts w:hint="eastAsia" w:ascii="Times New Roman" w:hAnsi="Times New Roman"/>
                <w:color w:val="auto"/>
                <w:lang w:val="en-US" w:eastAsia="zh-CN"/>
              </w:rPr>
              <w:t>4.3-1</w:t>
            </w:r>
            <w:r>
              <w:rPr>
                <w:rFonts w:hint="eastAsia"/>
                <w:color w:val="auto"/>
                <w:lang w:val="en-US" w:eastAsia="zh-CN"/>
              </w:rPr>
              <w:t xml:space="preserve">  </w:t>
            </w:r>
            <w:r>
              <w:rPr>
                <w:rFonts w:hint="default" w:ascii="Times New Roman" w:hAnsi="Times New Roman"/>
                <w:color w:val="auto"/>
                <w:lang w:val="en-US" w:eastAsia="zh-CN"/>
              </w:rPr>
              <w:t>反射体的影响</w:t>
            </w:r>
          </w:p>
          <w:p w14:paraId="02EE2E0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当满足下列条件时，需考虑反射体引起的声级增高：</w:t>
            </w:r>
          </w:p>
          <w:p w14:paraId="185A3077">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1）反射体表面平整光滑，坚硬的。</w:t>
            </w:r>
          </w:p>
          <w:p w14:paraId="1AEB9BB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2）反射体尺寸远远大于所有声波波长λ。</w:t>
            </w:r>
          </w:p>
          <w:p w14:paraId="532FC46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3）入射角θ＜85º。</w:t>
            </w:r>
          </w:p>
          <w:p w14:paraId="265928B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rr−rd</w:t>
            </w:r>
            <w:r>
              <w:rPr>
                <w:rFonts w:hint="eastAsia" w:cs="宋体"/>
                <w:color w:val="auto"/>
                <w:kern w:val="2"/>
                <w:sz w:val="24"/>
                <w:szCs w:val="24"/>
                <w:lang w:val="en-US" w:eastAsia="zh-CN" w:bidi="ar-SA"/>
              </w:rPr>
              <w:t>&gt;</w:t>
            </w:r>
            <w:r>
              <w:rPr>
                <w:rFonts w:hint="default" w:ascii="Times New Roman" w:hAnsi="Times New Roman" w:eastAsia="宋体" w:cs="宋体"/>
                <w:color w:val="auto"/>
                <w:kern w:val="2"/>
                <w:sz w:val="24"/>
                <w:szCs w:val="24"/>
                <w:lang w:val="en-US" w:eastAsia="zh-CN" w:bidi="ar-SA"/>
              </w:rPr>
              <w:t>λ反射引起的修正量ΔL r与rr/rd有关</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rr=IP、rd=SP</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，可按表</w:t>
            </w:r>
            <w:r>
              <w:rPr>
                <w:rFonts w:hint="eastAsia" w:ascii="Times New Roman" w:hAnsi="Times New Roman" w:eastAsia="宋体" w:cs="宋体"/>
                <w:color w:val="auto"/>
                <w:kern w:val="2"/>
                <w:sz w:val="24"/>
                <w:szCs w:val="24"/>
                <w:lang w:val="en-US" w:eastAsia="zh-CN" w:bidi="ar-SA"/>
              </w:rPr>
              <w:t>4.3-</w:t>
            </w:r>
            <w:r>
              <w:rPr>
                <w:rFonts w:hint="eastAsia" w:cs="宋体"/>
                <w:color w:val="auto"/>
                <w:kern w:val="2"/>
                <w:sz w:val="24"/>
                <w:szCs w:val="24"/>
                <w:lang w:val="en-US" w:eastAsia="zh-CN" w:bidi="ar-SA"/>
              </w:rPr>
              <w:t>3</w:t>
            </w:r>
            <w:r>
              <w:rPr>
                <w:rFonts w:hint="default" w:ascii="Times New Roman" w:hAnsi="Times New Roman" w:eastAsia="宋体" w:cs="宋体"/>
                <w:color w:val="auto"/>
                <w:kern w:val="2"/>
                <w:sz w:val="24"/>
                <w:szCs w:val="24"/>
                <w:lang w:val="en-US" w:eastAsia="zh-CN" w:bidi="ar-SA"/>
              </w:rPr>
              <w:t>计算：</w:t>
            </w:r>
          </w:p>
          <w:p w14:paraId="4799A4E2">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default" w:ascii="Times New Roman" w:hAnsi="Times New Roman" w:eastAsia="宋体" w:cs="Times New Roman"/>
                <w:b/>
                <w:color w:val="auto"/>
                <w:kern w:val="0"/>
                <w:sz w:val="24"/>
                <w:szCs w:val="20"/>
                <w:lang w:val="en-US" w:eastAsia="zh-CN" w:bidi="ar-SA"/>
              </w:rPr>
              <w:t>表</w:t>
            </w:r>
            <w:r>
              <w:rPr>
                <w:rFonts w:hint="eastAsia" w:ascii="Times New Roman" w:hAnsi="Times New Roman" w:eastAsia="宋体" w:cs="Times New Roman"/>
                <w:b/>
                <w:color w:val="auto"/>
                <w:kern w:val="0"/>
                <w:sz w:val="24"/>
                <w:szCs w:val="20"/>
                <w:lang w:val="en-US" w:eastAsia="zh-CN" w:bidi="ar-SA"/>
              </w:rPr>
              <w:t>4.3-</w:t>
            </w:r>
            <w:r>
              <w:rPr>
                <w:rFonts w:hint="eastAsia" w:cs="Times New Roman"/>
                <w:b/>
                <w:color w:val="auto"/>
                <w:kern w:val="0"/>
                <w:sz w:val="24"/>
                <w:szCs w:val="20"/>
                <w:lang w:val="en-US" w:eastAsia="zh-CN" w:bidi="ar-SA"/>
              </w:rPr>
              <w:t xml:space="preserve">3  </w:t>
            </w:r>
            <w:r>
              <w:rPr>
                <w:rFonts w:hint="default" w:ascii="Times New Roman" w:hAnsi="Times New Roman" w:eastAsia="宋体" w:cs="Times New Roman"/>
                <w:b/>
                <w:color w:val="auto"/>
                <w:kern w:val="0"/>
                <w:sz w:val="24"/>
                <w:szCs w:val="20"/>
                <w:lang w:val="en-US" w:eastAsia="zh-CN" w:bidi="ar-SA"/>
              </w:rPr>
              <w:t>反射体引起的修正量</w:t>
            </w:r>
          </w:p>
          <w:tbl>
            <w:tblPr>
              <w:tblStyle w:val="19"/>
              <w:tblW w:w="799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999"/>
              <w:gridCol w:w="4000"/>
            </w:tblGrid>
            <w:tr w14:paraId="63BB50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999" w:type="dxa"/>
                  <w:tcBorders>
                    <w:tl2br w:val="nil"/>
                    <w:tr2bl w:val="nil"/>
                  </w:tcBorders>
                  <w:noWrap w:val="0"/>
                  <w:vAlign w:val="center"/>
                </w:tcPr>
                <w:p w14:paraId="281774F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rr/rd</w:t>
                  </w:r>
                </w:p>
              </w:tc>
              <w:tc>
                <w:tcPr>
                  <w:tcW w:w="4000" w:type="dxa"/>
                  <w:tcBorders>
                    <w:tl2br w:val="nil"/>
                    <w:tr2bl w:val="nil"/>
                  </w:tcBorders>
                  <w:noWrap w:val="0"/>
                  <w:vAlign w:val="center"/>
                </w:tcPr>
                <w:p w14:paraId="73273D5E">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dB</w:t>
                  </w:r>
                  <w:r>
                    <w:rPr>
                      <w:rFonts w:hint="eastAsia" w:cs="Times New Roman"/>
                      <w:color w:val="auto"/>
                      <w:kern w:val="0"/>
                      <w:sz w:val="21"/>
                      <w:szCs w:val="20"/>
                      <w:lang w:val="en-US" w:eastAsia="zh-CN" w:bidi="ar-SA"/>
                    </w:rPr>
                    <w:t>(</w:t>
                  </w:r>
                  <w:r>
                    <w:rPr>
                      <w:rFonts w:hint="default" w:ascii="Times New Roman" w:hAnsi="Times New Roman" w:eastAsia="宋体" w:cs="Times New Roman"/>
                      <w:color w:val="auto"/>
                      <w:kern w:val="0"/>
                      <w:sz w:val="21"/>
                      <w:szCs w:val="20"/>
                      <w:lang w:val="en-US" w:eastAsia="zh-CN" w:bidi="ar-SA"/>
                    </w:rPr>
                    <w:t>A</w:t>
                  </w:r>
                  <w:r>
                    <w:rPr>
                      <w:rFonts w:hint="eastAsia" w:cs="Times New Roman"/>
                      <w:color w:val="auto"/>
                      <w:kern w:val="0"/>
                      <w:sz w:val="21"/>
                      <w:szCs w:val="20"/>
                      <w:lang w:val="en-US" w:eastAsia="zh-CN" w:bidi="ar-SA"/>
                    </w:rPr>
                    <w:t>)</w:t>
                  </w:r>
                </w:p>
              </w:tc>
            </w:tr>
            <w:tr w14:paraId="722AF8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3999" w:type="dxa"/>
                  <w:tcBorders>
                    <w:tl2br w:val="nil"/>
                    <w:tr2bl w:val="nil"/>
                  </w:tcBorders>
                  <w:noWrap w:val="0"/>
                  <w:vAlign w:val="center"/>
                </w:tcPr>
                <w:p w14:paraId="32E16DC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w:t>
                  </w:r>
                </w:p>
                <w:p w14:paraId="566FEAE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≈1.4</w:t>
                  </w:r>
                </w:p>
                <w:p w14:paraId="0BA8B37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w:t>
                  </w:r>
                </w:p>
                <w:p w14:paraId="61343BD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&gt;</w:t>
                  </w:r>
                  <w:r>
                    <w:rPr>
                      <w:rFonts w:hint="default" w:ascii="Times New Roman" w:hAnsi="Times New Roman" w:eastAsia="宋体" w:cs="Times New Roman"/>
                      <w:color w:val="auto"/>
                      <w:kern w:val="0"/>
                      <w:sz w:val="21"/>
                      <w:szCs w:val="20"/>
                      <w:lang w:val="en-US" w:eastAsia="zh-CN" w:bidi="ar-SA"/>
                    </w:rPr>
                    <w:t>2.5</w:t>
                  </w:r>
                </w:p>
              </w:tc>
              <w:tc>
                <w:tcPr>
                  <w:tcW w:w="4000" w:type="dxa"/>
                  <w:tcBorders>
                    <w:tl2br w:val="nil"/>
                    <w:tr2bl w:val="nil"/>
                  </w:tcBorders>
                  <w:noWrap w:val="0"/>
                  <w:vAlign w:val="center"/>
                </w:tcPr>
                <w:p w14:paraId="37FF4C9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w:t>
                  </w:r>
                </w:p>
                <w:p w14:paraId="16D5934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w:t>
                  </w:r>
                </w:p>
                <w:p w14:paraId="2ADF3D9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w:t>
                  </w:r>
                </w:p>
                <w:p w14:paraId="442717D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w:t>
                  </w:r>
                </w:p>
              </w:tc>
            </w:tr>
          </w:tbl>
          <w:p w14:paraId="3BF0E8D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③面声源的几何发散衰减</w:t>
            </w:r>
          </w:p>
          <w:p w14:paraId="3F83E42B">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一个大型机器设备的振动表面，车间透声的墙壁，均可以认为是面声源。如果已知面声源单位面积的声功率为W，各面积元噪声的位相是随机的，面声源可看作由无数点声源连续分布组合而成，其合成声级可按能量叠加法求出。</w:t>
            </w:r>
          </w:p>
          <w:p w14:paraId="553F564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图</w:t>
            </w:r>
            <w:r>
              <w:rPr>
                <w:rFonts w:hint="eastAsia" w:ascii="Times New Roman" w:hAnsi="Times New Roman" w:eastAsia="宋体" w:cs="宋体"/>
                <w:color w:val="auto"/>
                <w:kern w:val="2"/>
                <w:sz w:val="24"/>
                <w:szCs w:val="24"/>
                <w:lang w:val="en-US" w:eastAsia="zh-CN" w:bidi="ar-SA"/>
              </w:rPr>
              <w:t>4.3-2</w:t>
            </w:r>
            <w:r>
              <w:rPr>
                <w:rFonts w:hint="default" w:ascii="Times New Roman" w:hAnsi="Times New Roman" w:eastAsia="宋体" w:cs="宋体"/>
                <w:color w:val="auto"/>
                <w:kern w:val="2"/>
                <w:sz w:val="24"/>
                <w:szCs w:val="24"/>
                <w:lang w:val="en-US" w:eastAsia="zh-CN" w:bidi="ar-SA"/>
              </w:rPr>
              <w:t>给出了长方形面声源中心轴线上的声衰减曲线。当预测点和面声源中心距离r处于以下条件时，可按下述方法近似计算：r&lt;a/π时，几乎不衰减</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Adiv≈0</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；当a/π&lt;r&lt;b/π，距离加倍衰减3dB</w:t>
            </w:r>
            <w:r>
              <w:rPr>
                <w:rFonts w:hint="eastAsia" w:ascii="Times New Roman" w:hAnsi="Times New Roman" w:eastAsia="宋体" w:cs="宋体"/>
                <w:color w:val="auto"/>
                <w:kern w:val="2"/>
                <w:sz w:val="24"/>
                <w:szCs w:val="24"/>
                <w:lang w:val="en-US" w:eastAsia="zh-CN" w:bidi="ar-SA"/>
              </w:rPr>
              <w:t>（A）</w:t>
            </w:r>
            <w:r>
              <w:rPr>
                <w:rFonts w:hint="default" w:ascii="Times New Roman" w:hAnsi="Times New Roman" w:eastAsia="宋体" w:cs="宋体"/>
                <w:color w:val="auto"/>
                <w:kern w:val="2"/>
                <w:sz w:val="24"/>
                <w:szCs w:val="24"/>
                <w:lang w:val="en-US" w:eastAsia="zh-CN" w:bidi="ar-SA"/>
              </w:rPr>
              <w:t>左右，类似线声源衰减特性</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Adiv≈10 lg</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r/r</w:t>
            </w:r>
            <w:r>
              <w:rPr>
                <w:rFonts w:hint="default" w:ascii="Times New Roman" w:hAnsi="Times New Roman" w:eastAsia="宋体" w:cs="宋体"/>
                <w:color w:val="auto"/>
                <w:kern w:val="2"/>
                <w:sz w:val="24"/>
                <w:szCs w:val="24"/>
                <w:vertAlign w:val="subscript"/>
                <w:lang w:val="en-US" w:eastAsia="zh-CN" w:bidi="ar-SA"/>
              </w:rPr>
              <w:t>0</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；当r&gt;b/π时，距离加倍衰减趋近于6dB</w:t>
            </w:r>
            <w:r>
              <w:rPr>
                <w:rFonts w:hint="eastAsia" w:ascii="Times New Roman" w:hAnsi="Times New Roman" w:eastAsia="宋体" w:cs="宋体"/>
                <w:color w:val="auto"/>
                <w:kern w:val="2"/>
                <w:sz w:val="24"/>
                <w:szCs w:val="24"/>
                <w:lang w:val="en-US" w:eastAsia="zh-CN" w:bidi="ar-SA"/>
              </w:rPr>
              <w:t>（A）</w:t>
            </w:r>
            <w:r>
              <w:rPr>
                <w:rFonts w:hint="default" w:ascii="Times New Roman" w:hAnsi="Times New Roman" w:eastAsia="宋体" w:cs="宋体"/>
                <w:color w:val="auto"/>
                <w:kern w:val="2"/>
                <w:sz w:val="24"/>
                <w:szCs w:val="24"/>
                <w:lang w:val="en-US" w:eastAsia="zh-CN" w:bidi="ar-SA"/>
              </w:rPr>
              <w:t>，类似点声源衰减特性</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Adiv≈20 lg</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r/r</w:t>
            </w:r>
            <w:r>
              <w:rPr>
                <w:rFonts w:hint="default" w:ascii="Times New Roman" w:hAnsi="Times New Roman" w:eastAsia="宋体" w:cs="宋体"/>
                <w:color w:val="auto"/>
                <w:kern w:val="2"/>
                <w:sz w:val="24"/>
                <w:szCs w:val="24"/>
                <w:vertAlign w:val="subscript"/>
                <w:lang w:val="en-US" w:eastAsia="zh-CN" w:bidi="ar-SA"/>
              </w:rPr>
              <w:t>0</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。其中面声源的b&gt;a。图中虚线为实际衰减量。</w:t>
            </w:r>
          </w:p>
          <w:p w14:paraId="562565E3">
            <w:pPr>
              <w:widowControl w:val="0"/>
              <w:bidi w:val="0"/>
              <w:spacing w:line="240" w:lineRule="auto"/>
              <w:ind w:firstLine="0" w:firstLineChars="0"/>
              <w:jc w:val="center"/>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5040630" cy="3766185"/>
                  <wp:effectExtent l="0" t="0" r="7620" b="5715"/>
                  <wp:docPr id="1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8"/>
                          <pic:cNvPicPr>
                            <a:picLocks noChangeAspect="1"/>
                          </pic:cNvPicPr>
                        </pic:nvPicPr>
                        <pic:blipFill>
                          <a:blip r:embed="rId23"/>
                          <a:stretch>
                            <a:fillRect/>
                          </a:stretch>
                        </pic:blipFill>
                        <pic:spPr>
                          <a:xfrm>
                            <a:off x="0" y="0"/>
                            <a:ext cx="5040630" cy="3766185"/>
                          </a:xfrm>
                          <a:prstGeom prst="rect">
                            <a:avLst/>
                          </a:prstGeom>
                          <a:noFill/>
                          <a:ln>
                            <a:noFill/>
                          </a:ln>
                        </pic:spPr>
                      </pic:pic>
                    </a:graphicData>
                  </a:graphic>
                </wp:inline>
              </w:drawing>
            </w:r>
          </w:p>
          <w:p w14:paraId="597E278A">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default" w:ascii="Times New Roman" w:hAnsi="Times New Roman" w:eastAsia="宋体" w:cs="Times New Roman"/>
                <w:b/>
                <w:color w:val="auto"/>
                <w:kern w:val="0"/>
                <w:sz w:val="24"/>
                <w:szCs w:val="20"/>
                <w:lang w:val="en-US" w:eastAsia="zh-CN" w:bidi="ar-SA"/>
              </w:rPr>
              <w:t>图</w:t>
            </w:r>
            <w:r>
              <w:rPr>
                <w:rFonts w:hint="eastAsia" w:ascii="Times New Roman" w:hAnsi="Times New Roman" w:eastAsia="宋体" w:cs="Times New Roman"/>
                <w:b/>
                <w:color w:val="auto"/>
                <w:kern w:val="0"/>
                <w:sz w:val="24"/>
                <w:szCs w:val="20"/>
                <w:lang w:val="en-US" w:eastAsia="zh-CN" w:bidi="ar-SA"/>
              </w:rPr>
              <w:t>4.3</w:t>
            </w:r>
            <w:r>
              <w:rPr>
                <w:rFonts w:hint="default" w:ascii="Times New Roman" w:hAnsi="Times New Roman" w:eastAsia="宋体" w:cs="Times New Roman"/>
                <w:b/>
                <w:color w:val="auto"/>
                <w:kern w:val="0"/>
                <w:sz w:val="24"/>
                <w:szCs w:val="20"/>
                <w:lang w:val="en-US" w:eastAsia="zh-CN" w:bidi="ar-SA"/>
              </w:rPr>
              <w:t>-2</w:t>
            </w:r>
            <w:r>
              <w:rPr>
                <w:rFonts w:hint="eastAsia" w:cs="Times New Roman"/>
                <w:b/>
                <w:color w:val="auto"/>
                <w:kern w:val="0"/>
                <w:sz w:val="24"/>
                <w:szCs w:val="20"/>
                <w:lang w:val="en-US" w:eastAsia="zh-CN" w:bidi="ar-SA"/>
              </w:rPr>
              <w:t xml:space="preserve">  </w:t>
            </w:r>
            <w:r>
              <w:rPr>
                <w:rFonts w:hint="default" w:ascii="Times New Roman" w:hAnsi="Times New Roman" w:eastAsia="宋体" w:cs="Times New Roman"/>
                <w:b/>
                <w:color w:val="auto"/>
                <w:kern w:val="0"/>
                <w:sz w:val="24"/>
                <w:szCs w:val="20"/>
                <w:lang w:val="en-US" w:eastAsia="zh-CN" w:bidi="ar-SA"/>
              </w:rPr>
              <w:t>长方形面声源中心轴线上的衰减特性</w:t>
            </w:r>
          </w:p>
          <w:p w14:paraId="3BD70AD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④空气吸收引起的衰减（Aatm）</w:t>
            </w:r>
          </w:p>
          <w:p w14:paraId="331CF24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空气吸收引起的衰减按公式（8）计算：</w:t>
            </w:r>
          </w:p>
          <w:p w14:paraId="081363CA">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1285240" cy="457835"/>
                  <wp:effectExtent l="0" t="0" r="10160" b="18415"/>
                  <wp:docPr id="14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26"/>
                          <pic:cNvPicPr>
                            <a:picLocks noChangeAspect="1"/>
                          </pic:cNvPicPr>
                        </pic:nvPicPr>
                        <pic:blipFill>
                          <a:blip r:embed="rId24"/>
                          <a:stretch>
                            <a:fillRect/>
                          </a:stretch>
                        </pic:blipFill>
                        <pic:spPr>
                          <a:xfrm>
                            <a:off x="0" y="0"/>
                            <a:ext cx="1285240" cy="457835"/>
                          </a:xfrm>
                          <a:prstGeom prst="rect">
                            <a:avLst/>
                          </a:prstGeom>
                          <a:noFill/>
                          <a:ln>
                            <a:noFill/>
                          </a:ln>
                        </pic:spPr>
                      </pic:pic>
                    </a:graphicData>
                  </a:graphic>
                </wp:inline>
              </w:drawing>
            </w:r>
            <w:r>
              <w:rPr>
                <w:rFonts w:hint="eastAsia" w:ascii="Times New Roman" w:hAnsi="Times New Roman" w:eastAsia="宋体" w:cs="宋体"/>
                <w:color w:val="auto"/>
                <w:kern w:val="2"/>
                <w:sz w:val="24"/>
                <w:szCs w:val="24"/>
                <w:lang w:val="en-US" w:eastAsia="zh-CN" w:bidi="ar-SA"/>
              </w:rPr>
              <w:t xml:space="preserve">                    </w:t>
            </w:r>
            <w:r>
              <w:rPr>
                <w:rFonts w:hint="eastAsia"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8</w:t>
            </w:r>
            <w:r>
              <w:rPr>
                <w:rFonts w:hint="eastAsia" w:cs="宋体"/>
                <w:color w:val="auto"/>
                <w:kern w:val="2"/>
                <w:sz w:val="24"/>
                <w:szCs w:val="24"/>
                <w:lang w:val="en-US" w:eastAsia="zh-CN" w:bidi="ar-SA"/>
              </w:rPr>
              <w:t>)</w:t>
            </w:r>
          </w:p>
          <w:p w14:paraId="1AB7FA2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式中：a为温度、湿度和声波频率的函数，预测计算中一般根据建设项目所处区域常年平均气温和湿度选择相应的空气吸收系数，见表</w:t>
            </w:r>
            <w:r>
              <w:rPr>
                <w:rFonts w:hint="eastAsia" w:ascii="Times New Roman" w:hAnsi="Times New Roman" w:eastAsia="宋体" w:cs="宋体"/>
                <w:color w:val="auto"/>
                <w:kern w:val="2"/>
                <w:sz w:val="24"/>
                <w:szCs w:val="24"/>
                <w:lang w:val="en-US" w:eastAsia="zh-CN" w:bidi="ar-SA"/>
              </w:rPr>
              <w:t>4.3</w:t>
            </w:r>
            <w:r>
              <w:rPr>
                <w:rFonts w:hint="default" w:ascii="Times New Roman" w:hAnsi="Times New Roman" w:eastAsia="宋体" w:cs="宋体"/>
                <w:color w:val="auto"/>
                <w:kern w:val="2"/>
                <w:sz w:val="24"/>
                <w:szCs w:val="24"/>
                <w:lang w:val="en-US" w:eastAsia="zh-CN" w:bidi="ar-SA"/>
              </w:rPr>
              <w:t>-</w:t>
            </w:r>
            <w:r>
              <w:rPr>
                <w:rFonts w:hint="eastAsia" w:cs="宋体"/>
                <w:color w:val="auto"/>
                <w:kern w:val="2"/>
                <w:sz w:val="24"/>
                <w:szCs w:val="24"/>
                <w:lang w:val="en-US" w:eastAsia="zh-CN" w:bidi="ar-SA"/>
              </w:rPr>
              <w:t>4</w:t>
            </w:r>
            <w:r>
              <w:rPr>
                <w:rFonts w:hint="default" w:ascii="Times New Roman" w:hAnsi="Times New Roman" w:eastAsia="宋体" w:cs="宋体"/>
                <w:color w:val="auto"/>
                <w:kern w:val="2"/>
                <w:sz w:val="24"/>
                <w:szCs w:val="24"/>
                <w:lang w:val="en-US" w:eastAsia="zh-CN" w:bidi="ar-SA"/>
              </w:rPr>
              <w:t>。</w:t>
            </w:r>
          </w:p>
          <w:p w14:paraId="3C6FC574">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default" w:ascii="Times New Roman" w:hAnsi="Times New Roman" w:eastAsia="宋体" w:cs="Times New Roman"/>
                <w:b/>
                <w:color w:val="auto"/>
                <w:kern w:val="0"/>
                <w:sz w:val="24"/>
                <w:szCs w:val="20"/>
                <w:lang w:val="en-US" w:eastAsia="zh-CN" w:bidi="ar-SA"/>
              </w:rPr>
              <w:t>表</w:t>
            </w:r>
            <w:r>
              <w:rPr>
                <w:rFonts w:hint="eastAsia" w:ascii="Times New Roman" w:hAnsi="Times New Roman" w:eastAsia="宋体" w:cs="Times New Roman"/>
                <w:b/>
                <w:color w:val="auto"/>
                <w:kern w:val="0"/>
                <w:sz w:val="24"/>
                <w:szCs w:val="20"/>
                <w:lang w:val="en-US" w:eastAsia="zh-CN" w:bidi="ar-SA"/>
              </w:rPr>
              <w:t>4.3</w:t>
            </w:r>
            <w:r>
              <w:rPr>
                <w:rFonts w:hint="default" w:ascii="Times New Roman" w:hAnsi="Times New Roman" w:eastAsia="宋体" w:cs="Times New Roman"/>
                <w:b/>
                <w:color w:val="auto"/>
                <w:kern w:val="0"/>
                <w:sz w:val="24"/>
                <w:szCs w:val="20"/>
                <w:lang w:val="en-US" w:eastAsia="zh-CN" w:bidi="ar-SA"/>
              </w:rPr>
              <w:t>-</w:t>
            </w:r>
            <w:r>
              <w:rPr>
                <w:rFonts w:hint="eastAsia" w:cs="Times New Roman"/>
                <w:b/>
                <w:color w:val="auto"/>
                <w:kern w:val="0"/>
                <w:sz w:val="24"/>
                <w:szCs w:val="20"/>
                <w:lang w:val="en-US" w:eastAsia="zh-CN" w:bidi="ar-SA"/>
              </w:rPr>
              <w:t xml:space="preserve">4  </w:t>
            </w:r>
            <w:r>
              <w:rPr>
                <w:rFonts w:hint="default" w:ascii="Times New Roman" w:hAnsi="Times New Roman" w:eastAsia="宋体" w:cs="Times New Roman"/>
                <w:b/>
                <w:color w:val="auto"/>
                <w:kern w:val="0"/>
                <w:sz w:val="24"/>
                <w:szCs w:val="20"/>
                <w:lang w:val="en-US" w:eastAsia="zh-CN" w:bidi="ar-SA"/>
              </w:rPr>
              <w:t>倍频带噪声的大气吸收衰减系数</w:t>
            </w:r>
          </w:p>
          <w:tbl>
            <w:tblPr>
              <w:tblStyle w:val="19"/>
              <w:tblW w:w="4999"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38"/>
              <w:gridCol w:w="910"/>
              <w:gridCol w:w="760"/>
              <w:gridCol w:w="770"/>
              <w:gridCol w:w="770"/>
              <w:gridCol w:w="770"/>
              <w:gridCol w:w="794"/>
              <w:gridCol w:w="794"/>
              <w:gridCol w:w="794"/>
              <w:gridCol w:w="816"/>
            </w:tblGrid>
            <w:tr w14:paraId="2427699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Merge w:val="restart"/>
                  <w:tcBorders>
                    <w:tl2br w:val="nil"/>
                    <w:tr2bl w:val="nil"/>
                  </w:tcBorders>
                  <w:noWrap w:val="0"/>
                  <w:vAlign w:val="center"/>
                </w:tcPr>
                <w:p w14:paraId="5D7F87E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温度℃</w:t>
                  </w:r>
                </w:p>
              </w:tc>
              <w:tc>
                <w:tcPr>
                  <w:tcW w:w="568" w:type="pct"/>
                  <w:vMerge w:val="restart"/>
                  <w:tcBorders>
                    <w:tl2br w:val="nil"/>
                    <w:tr2bl w:val="nil"/>
                  </w:tcBorders>
                  <w:noWrap w:val="0"/>
                  <w:vAlign w:val="center"/>
                </w:tcPr>
                <w:p w14:paraId="3B485A0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相对</w:t>
                  </w:r>
                </w:p>
                <w:p w14:paraId="0282E4B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湿度％</w:t>
                  </w:r>
                </w:p>
              </w:tc>
              <w:tc>
                <w:tcPr>
                  <w:tcW w:w="3908" w:type="pct"/>
                  <w:gridSpan w:val="8"/>
                  <w:tcBorders>
                    <w:tl2br w:val="nil"/>
                    <w:tr2bl w:val="nil"/>
                  </w:tcBorders>
                  <w:noWrap w:val="0"/>
                  <w:vAlign w:val="center"/>
                </w:tcPr>
                <w:p w14:paraId="0CA10DD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大气吸收衰减系数a，dB/km</w:t>
                  </w:r>
                </w:p>
              </w:tc>
            </w:tr>
            <w:tr w14:paraId="177A91C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Merge w:val="continue"/>
                  <w:tcBorders>
                    <w:tl2br w:val="nil"/>
                    <w:tr2bl w:val="nil"/>
                  </w:tcBorders>
                  <w:noWrap w:val="0"/>
                  <w:vAlign w:val="center"/>
                </w:tcPr>
                <w:p w14:paraId="667A426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c>
                <w:tcPr>
                  <w:tcW w:w="568" w:type="pct"/>
                  <w:vMerge w:val="continue"/>
                  <w:tcBorders>
                    <w:tl2br w:val="nil"/>
                    <w:tr2bl w:val="nil"/>
                  </w:tcBorders>
                  <w:noWrap w:val="0"/>
                  <w:vAlign w:val="center"/>
                </w:tcPr>
                <w:p w14:paraId="314C298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c>
                <w:tcPr>
                  <w:tcW w:w="3908" w:type="pct"/>
                  <w:gridSpan w:val="8"/>
                  <w:tcBorders>
                    <w:tl2br w:val="nil"/>
                    <w:tr2bl w:val="nil"/>
                  </w:tcBorders>
                  <w:noWrap w:val="0"/>
                  <w:vAlign w:val="center"/>
                </w:tcPr>
                <w:p w14:paraId="4323937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倍频带中心频率Hz</w:t>
                  </w:r>
                </w:p>
              </w:tc>
            </w:tr>
            <w:tr w14:paraId="024885F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vMerge w:val="continue"/>
                  <w:tcBorders>
                    <w:tl2br w:val="nil"/>
                    <w:tr2bl w:val="nil"/>
                  </w:tcBorders>
                  <w:noWrap w:val="0"/>
                  <w:vAlign w:val="center"/>
                </w:tcPr>
                <w:p w14:paraId="1CBA79E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c>
                <w:tcPr>
                  <w:tcW w:w="568" w:type="pct"/>
                  <w:vMerge w:val="continue"/>
                  <w:tcBorders>
                    <w:tl2br w:val="nil"/>
                    <w:tr2bl w:val="nil"/>
                  </w:tcBorders>
                  <w:noWrap w:val="0"/>
                  <w:vAlign w:val="center"/>
                </w:tcPr>
                <w:p w14:paraId="1934D3B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c>
                <w:tcPr>
                  <w:tcW w:w="474" w:type="pct"/>
                  <w:tcBorders>
                    <w:tl2br w:val="nil"/>
                    <w:tr2bl w:val="nil"/>
                  </w:tcBorders>
                  <w:noWrap w:val="0"/>
                  <w:vAlign w:val="center"/>
                </w:tcPr>
                <w:p w14:paraId="5560B0B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63</w:t>
                  </w:r>
                </w:p>
              </w:tc>
              <w:tc>
                <w:tcPr>
                  <w:tcW w:w="480" w:type="pct"/>
                  <w:tcBorders>
                    <w:tl2br w:val="nil"/>
                    <w:tr2bl w:val="nil"/>
                  </w:tcBorders>
                  <w:noWrap w:val="0"/>
                  <w:vAlign w:val="center"/>
                </w:tcPr>
                <w:p w14:paraId="6230050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125</w:t>
                  </w:r>
                </w:p>
              </w:tc>
              <w:tc>
                <w:tcPr>
                  <w:tcW w:w="480" w:type="pct"/>
                  <w:tcBorders>
                    <w:tl2br w:val="nil"/>
                    <w:tr2bl w:val="nil"/>
                  </w:tcBorders>
                  <w:noWrap w:val="0"/>
                  <w:vAlign w:val="center"/>
                </w:tcPr>
                <w:p w14:paraId="7DBC29F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250</w:t>
                  </w:r>
                </w:p>
              </w:tc>
              <w:tc>
                <w:tcPr>
                  <w:tcW w:w="480" w:type="pct"/>
                  <w:tcBorders>
                    <w:tl2br w:val="nil"/>
                    <w:tr2bl w:val="nil"/>
                  </w:tcBorders>
                  <w:noWrap w:val="0"/>
                  <w:vAlign w:val="center"/>
                </w:tcPr>
                <w:p w14:paraId="1CFA9CD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500</w:t>
                  </w:r>
                </w:p>
              </w:tc>
              <w:tc>
                <w:tcPr>
                  <w:tcW w:w="495" w:type="pct"/>
                  <w:tcBorders>
                    <w:tl2br w:val="nil"/>
                    <w:tr2bl w:val="nil"/>
                  </w:tcBorders>
                  <w:noWrap w:val="0"/>
                  <w:vAlign w:val="center"/>
                </w:tcPr>
                <w:p w14:paraId="3495093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1000</w:t>
                  </w:r>
                </w:p>
              </w:tc>
              <w:tc>
                <w:tcPr>
                  <w:tcW w:w="495" w:type="pct"/>
                  <w:tcBorders>
                    <w:tl2br w:val="nil"/>
                    <w:tr2bl w:val="nil"/>
                  </w:tcBorders>
                  <w:noWrap w:val="0"/>
                  <w:vAlign w:val="center"/>
                </w:tcPr>
                <w:p w14:paraId="5BFDA2F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2000</w:t>
                  </w:r>
                </w:p>
              </w:tc>
              <w:tc>
                <w:tcPr>
                  <w:tcW w:w="495" w:type="pct"/>
                  <w:tcBorders>
                    <w:tl2br w:val="nil"/>
                    <w:tr2bl w:val="nil"/>
                  </w:tcBorders>
                  <w:noWrap w:val="0"/>
                  <w:vAlign w:val="center"/>
                </w:tcPr>
                <w:p w14:paraId="29BEF5F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4000</w:t>
                  </w:r>
                </w:p>
              </w:tc>
              <w:tc>
                <w:tcPr>
                  <w:tcW w:w="505" w:type="pct"/>
                  <w:tcBorders>
                    <w:tl2br w:val="nil"/>
                    <w:tr2bl w:val="nil"/>
                  </w:tcBorders>
                  <w:noWrap w:val="0"/>
                  <w:vAlign w:val="center"/>
                </w:tcPr>
                <w:p w14:paraId="4367F50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8000</w:t>
                  </w:r>
                </w:p>
              </w:tc>
            </w:tr>
            <w:tr w14:paraId="2BC45F3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tcBorders>
                    <w:tl2br w:val="nil"/>
                    <w:tr2bl w:val="nil"/>
                  </w:tcBorders>
                  <w:noWrap w:val="0"/>
                  <w:vAlign w:val="center"/>
                </w:tcPr>
                <w:p w14:paraId="3473F0C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10</w:t>
                  </w:r>
                </w:p>
              </w:tc>
              <w:tc>
                <w:tcPr>
                  <w:tcW w:w="568" w:type="pct"/>
                  <w:tcBorders>
                    <w:tl2br w:val="nil"/>
                    <w:tr2bl w:val="nil"/>
                  </w:tcBorders>
                  <w:noWrap w:val="0"/>
                  <w:vAlign w:val="center"/>
                </w:tcPr>
                <w:p w14:paraId="55B0ABF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70</w:t>
                  </w:r>
                </w:p>
              </w:tc>
              <w:tc>
                <w:tcPr>
                  <w:tcW w:w="474" w:type="pct"/>
                  <w:tcBorders>
                    <w:tl2br w:val="nil"/>
                    <w:tr2bl w:val="nil"/>
                  </w:tcBorders>
                  <w:noWrap w:val="0"/>
                  <w:vAlign w:val="center"/>
                </w:tcPr>
                <w:p w14:paraId="115E4A2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0.1</w:t>
                  </w:r>
                </w:p>
              </w:tc>
              <w:tc>
                <w:tcPr>
                  <w:tcW w:w="480" w:type="pct"/>
                  <w:tcBorders>
                    <w:tl2br w:val="nil"/>
                    <w:tr2bl w:val="nil"/>
                  </w:tcBorders>
                  <w:noWrap w:val="0"/>
                  <w:vAlign w:val="center"/>
                </w:tcPr>
                <w:p w14:paraId="36FA850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0.4</w:t>
                  </w:r>
                </w:p>
              </w:tc>
              <w:tc>
                <w:tcPr>
                  <w:tcW w:w="480" w:type="pct"/>
                  <w:tcBorders>
                    <w:tl2br w:val="nil"/>
                    <w:tr2bl w:val="nil"/>
                  </w:tcBorders>
                  <w:noWrap w:val="0"/>
                  <w:vAlign w:val="center"/>
                </w:tcPr>
                <w:p w14:paraId="7BB03C1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1.0</w:t>
                  </w:r>
                </w:p>
              </w:tc>
              <w:tc>
                <w:tcPr>
                  <w:tcW w:w="480" w:type="pct"/>
                  <w:tcBorders>
                    <w:tl2br w:val="nil"/>
                    <w:tr2bl w:val="nil"/>
                  </w:tcBorders>
                  <w:noWrap w:val="0"/>
                  <w:vAlign w:val="center"/>
                </w:tcPr>
                <w:p w14:paraId="18CA3D4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1.9</w:t>
                  </w:r>
                </w:p>
              </w:tc>
              <w:tc>
                <w:tcPr>
                  <w:tcW w:w="495" w:type="pct"/>
                  <w:tcBorders>
                    <w:tl2br w:val="nil"/>
                    <w:tr2bl w:val="nil"/>
                  </w:tcBorders>
                  <w:noWrap w:val="0"/>
                  <w:vAlign w:val="center"/>
                </w:tcPr>
                <w:p w14:paraId="5EBCCF1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3.7</w:t>
                  </w:r>
                </w:p>
              </w:tc>
              <w:tc>
                <w:tcPr>
                  <w:tcW w:w="495" w:type="pct"/>
                  <w:tcBorders>
                    <w:tl2br w:val="nil"/>
                    <w:tr2bl w:val="nil"/>
                  </w:tcBorders>
                  <w:noWrap w:val="0"/>
                  <w:vAlign w:val="center"/>
                </w:tcPr>
                <w:p w14:paraId="596CF36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9.7</w:t>
                  </w:r>
                </w:p>
              </w:tc>
              <w:tc>
                <w:tcPr>
                  <w:tcW w:w="495" w:type="pct"/>
                  <w:tcBorders>
                    <w:tl2br w:val="nil"/>
                    <w:tr2bl w:val="nil"/>
                  </w:tcBorders>
                  <w:noWrap w:val="0"/>
                  <w:vAlign w:val="center"/>
                </w:tcPr>
                <w:p w14:paraId="6E2EC1F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32.8</w:t>
                  </w:r>
                </w:p>
              </w:tc>
              <w:tc>
                <w:tcPr>
                  <w:tcW w:w="505" w:type="pct"/>
                  <w:tcBorders>
                    <w:tl2br w:val="nil"/>
                    <w:tr2bl w:val="nil"/>
                  </w:tcBorders>
                  <w:noWrap w:val="0"/>
                  <w:vAlign w:val="center"/>
                </w:tcPr>
                <w:p w14:paraId="2F661AD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117.0</w:t>
                  </w:r>
                </w:p>
              </w:tc>
            </w:tr>
            <w:tr w14:paraId="51C655A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tcBorders>
                    <w:tl2br w:val="nil"/>
                    <w:tr2bl w:val="nil"/>
                  </w:tcBorders>
                  <w:noWrap w:val="0"/>
                  <w:vAlign w:val="center"/>
                </w:tcPr>
                <w:p w14:paraId="4239CC0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20</w:t>
                  </w:r>
                </w:p>
              </w:tc>
              <w:tc>
                <w:tcPr>
                  <w:tcW w:w="568" w:type="pct"/>
                  <w:tcBorders>
                    <w:tl2br w:val="nil"/>
                    <w:tr2bl w:val="nil"/>
                  </w:tcBorders>
                  <w:noWrap w:val="0"/>
                  <w:vAlign w:val="center"/>
                </w:tcPr>
                <w:p w14:paraId="68A833A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70</w:t>
                  </w:r>
                </w:p>
              </w:tc>
              <w:tc>
                <w:tcPr>
                  <w:tcW w:w="474" w:type="pct"/>
                  <w:tcBorders>
                    <w:tl2br w:val="nil"/>
                    <w:tr2bl w:val="nil"/>
                  </w:tcBorders>
                  <w:noWrap w:val="0"/>
                  <w:vAlign w:val="center"/>
                </w:tcPr>
                <w:p w14:paraId="184A9CD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0.1</w:t>
                  </w:r>
                </w:p>
              </w:tc>
              <w:tc>
                <w:tcPr>
                  <w:tcW w:w="480" w:type="pct"/>
                  <w:tcBorders>
                    <w:tl2br w:val="nil"/>
                    <w:tr2bl w:val="nil"/>
                  </w:tcBorders>
                  <w:noWrap w:val="0"/>
                  <w:vAlign w:val="center"/>
                </w:tcPr>
                <w:p w14:paraId="2CFF9D0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0.3</w:t>
                  </w:r>
                </w:p>
              </w:tc>
              <w:tc>
                <w:tcPr>
                  <w:tcW w:w="480" w:type="pct"/>
                  <w:tcBorders>
                    <w:tl2br w:val="nil"/>
                    <w:tr2bl w:val="nil"/>
                  </w:tcBorders>
                  <w:noWrap w:val="0"/>
                  <w:vAlign w:val="center"/>
                </w:tcPr>
                <w:p w14:paraId="15C9E8C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1.1</w:t>
                  </w:r>
                </w:p>
              </w:tc>
              <w:tc>
                <w:tcPr>
                  <w:tcW w:w="480" w:type="pct"/>
                  <w:tcBorders>
                    <w:tl2br w:val="nil"/>
                    <w:tr2bl w:val="nil"/>
                  </w:tcBorders>
                  <w:noWrap w:val="0"/>
                  <w:vAlign w:val="center"/>
                </w:tcPr>
                <w:p w14:paraId="590C39C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2.8</w:t>
                  </w:r>
                </w:p>
              </w:tc>
              <w:tc>
                <w:tcPr>
                  <w:tcW w:w="495" w:type="pct"/>
                  <w:tcBorders>
                    <w:tl2br w:val="nil"/>
                    <w:tr2bl w:val="nil"/>
                  </w:tcBorders>
                  <w:noWrap w:val="0"/>
                  <w:vAlign w:val="center"/>
                </w:tcPr>
                <w:p w14:paraId="7820C21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5.0</w:t>
                  </w:r>
                </w:p>
              </w:tc>
              <w:tc>
                <w:tcPr>
                  <w:tcW w:w="495" w:type="pct"/>
                  <w:tcBorders>
                    <w:tl2br w:val="nil"/>
                    <w:tr2bl w:val="nil"/>
                  </w:tcBorders>
                  <w:noWrap w:val="0"/>
                  <w:vAlign w:val="center"/>
                </w:tcPr>
                <w:p w14:paraId="696566E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9.0</w:t>
                  </w:r>
                </w:p>
              </w:tc>
              <w:tc>
                <w:tcPr>
                  <w:tcW w:w="495" w:type="pct"/>
                  <w:tcBorders>
                    <w:tl2br w:val="nil"/>
                    <w:tr2bl w:val="nil"/>
                  </w:tcBorders>
                  <w:noWrap w:val="0"/>
                  <w:vAlign w:val="center"/>
                </w:tcPr>
                <w:p w14:paraId="0FCAC35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22.9</w:t>
                  </w:r>
                </w:p>
              </w:tc>
              <w:tc>
                <w:tcPr>
                  <w:tcW w:w="505" w:type="pct"/>
                  <w:tcBorders>
                    <w:tl2br w:val="nil"/>
                    <w:tr2bl w:val="nil"/>
                  </w:tcBorders>
                  <w:noWrap w:val="0"/>
                  <w:vAlign w:val="center"/>
                </w:tcPr>
                <w:p w14:paraId="3D14AF7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76.6</w:t>
                  </w:r>
                </w:p>
              </w:tc>
            </w:tr>
            <w:tr w14:paraId="01B1912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tcBorders>
                    <w:tl2br w:val="nil"/>
                    <w:tr2bl w:val="nil"/>
                  </w:tcBorders>
                  <w:noWrap w:val="0"/>
                  <w:vAlign w:val="center"/>
                </w:tcPr>
                <w:p w14:paraId="06B8941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30</w:t>
                  </w:r>
                </w:p>
              </w:tc>
              <w:tc>
                <w:tcPr>
                  <w:tcW w:w="568" w:type="pct"/>
                  <w:tcBorders>
                    <w:tl2br w:val="nil"/>
                    <w:tr2bl w:val="nil"/>
                  </w:tcBorders>
                  <w:noWrap w:val="0"/>
                  <w:vAlign w:val="center"/>
                </w:tcPr>
                <w:p w14:paraId="75665A0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70</w:t>
                  </w:r>
                </w:p>
              </w:tc>
              <w:tc>
                <w:tcPr>
                  <w:tcW w:w="474" w:type="pct"/>
                  <w:tcBorders>
                    <w:tl2br w:val="nil"/>
                    <w:tr2bl w:val="nil"/>
                  </w:tcBorders>
                  <w:noWrap w:val="0"/>
                  <w:vAlign w:val="center"/>
                </w:tcPr>
                <w:p w14:paraId="0FEAAD6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0.1</w:t>
                  </w:r>
                </w:p>
              </w:tc>
              <w:tc>
                <w:tcPr>
                  <w:tcW w:w="480" w:type="pct"/>
                  <w:tcBorders>
                    <w:tl2br w:val="nil"/>
                    <w:tr2bl w:val="nil"/>
                  </w:tcBorders>
                  <w:noWrap w:val="0"/>
                  <w:vAlign w:val="center"/>
                </w:tcPr>
                <w:p w14:paraId="15ECF04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0.3</w:t>
                  </w:r>
                </w:p>
              </w:tc>
              <w:tc>
                <w:tcPr>
                  <w:tcW w:w="480" w:type="pct"/>
                  <w:tcBorders>
                    <w:tl2br w:val="nil"/>
                    <w:tr2bl w:val="nil"/>
                  </w:tcBorders>
                  <w:noWrap w:val="0"/>
                  <w:vAlign w:val="center"/>
                </w:tcPr>
                <w:p w14:paraId="7D854D5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1.0</w:t>
                  </w:r>
                </w:p>
              </w:tc>
              <w:tc>
                <w:tcPr>
                  <w:tcW w:w="480" w:type="pct"/>
                  <w:tcBorders>
                    <w:tl2br w:val="nil"/>
                    <w:tr2bl w:val="nil"/>
                  </w:tcBorders>
                  <w:noWrap w:val="0"/>
                  <w:vAlign w:val="center"/>
                </w:tcPr>
                <w:p w14:paraId="4F7C528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3.1</w:t>
                  </w:r>
                </w:p>
              </w:tc>
              <w:tc>
                <w:tcPr>
                  <w:tcW w:w="495" w:type="pct"/>
                  <w:tcBorders>
                    <w:tl2br w:val="nil"/>
                    <w:tr2bl w:val="nil"/>
                  </w:tcBorders>
                  <w:noWrap w:val="0"/>
                  <w:vAlign w:val="center"/>
                </w:tcPr>
                <w:p w14:paraId="5B2FFEE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7.4</w:t>
                  </w:r>
                </w:p>
              </w:tc>
              <w:tc>
                <w:tcPr>
                  <w:tcW w:w="495" w:type="pct"/>
                  <w:tcBorders>
                    <w:tl2br w:val="nil"/>
                    <w:tr2bl w:val="nil"/>
                  </w:tcBorders>
                  <w:noWrap w:val="0"/>
                  <w:vAlign w:val="center"/>
                </w:tcPr>
                <w:p w14:paraId="03D5C19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12.7</w:t>
                  </w:r>
                </w:p>
              </w:tc>
              <w:tc>
                <w:tcPr>
                  <w:tcW w:w="495" w:type="pct"/>
                  <w:tcBorders>
                    <w:tl2br w:val="nil"/>
                    <w:tr2bl w:val="nil"/>
                  </w:tcBorders>
                  <w:noWrap w:val="0"/>
                  <w:vAlign w:val="center"/>
                </w:tcPr>
                <w:p w14:paraId="3F5C03B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23.1</w:t>
                  </w:r>
                </w:p>
              </w:tc>
              <w:tc>
                <w:tcPr>
                  <w:tcW w:w="505" w:type="pct"/>
                  <w:tcBorders>
                    <w:tl2br w:val="nil"/>
                    <w:tr2bl w:val="nil"/>
                  </w:tcBorders>
                  <w:noWrap w:val="0"/>
                  <w:vAlign w:val="center"/>
                </w:tcPr>
                <w:p w14:paraId="1397BC1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59.3</w:t>
                  </w:r>
                </w:p>
              </w:tc>
            </w:tr>
            <w:tr w14:paraId="2508B44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tcBorders>
                    <w:tl2br w:val="nil"/>
                    <w:tr2bl w:val="nil"/>
                  </w:tcBorders>
                  <w:noWrap w:val="0"/>
                  <w:vAlign w:val="center"/>
                </w:tcPr>
                <w:p w14:paraId="3BF2C01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15</w:t>
                  </w:r>
                </w:p>
              </w:tc>
              <w:tc>
                <w:tcPr>
                  <w:tcW w:w="568" w:type="pct"/>
                  <w:tcBorders>
                    <w:tl2br w:val="nil"/>
                    <w:tr2bl w:val="nil"/>
                  </w:tcBorders>
                  <w:noWrap w:val="0"/>
                  <w:vAlign w:val="center"/>
                </w:tcPr>
                <w:p w14:paraId="04CB714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20</w:t>
                  </w:r>
                </w:p>
              </w:tc>
              <w:tc>
                <w:tcPr>
                  <w:tcW w:w="474" w:type="pct"/>
                  <w:tcBorders>
                    <w:tl2br w:val="nil"/>
                    <w:tr2bl w:val="nil"/>
                  </w:tcBorders>
                  <w:noWrap w:val="0"/>
                  <w:vAlign w:val="center"/>
                </w:tcPr>
                <w:p w14:paraId="603667E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0.3</w:t>
                  </w:r>
                </w:p>
              </w:tc>
              <w:tc>
                <w:tcPr>
                  <w:tcW w:w="480" w:type="pct"/>
                  <w:tcBorders>
                    <w:tl2br w:val="nil"/>
                    <w:tr2bl w:val="nil"/>
                  </w:tcBorders>
                  <w:noWrap w:val="0"/>
                  <w:vAlign w:val="center"/>
                </w:tcPr>
                <w:p w14:paraId="0D7CB22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1.2</w:t>
                  </w:r>
                </w:p>
              </w:tc>
              <w:tc>
                <w:tcPr>
                  <w:tcW w:w="480" w:type="pct"/>
                  <w:tcBorders>
                    <w:tl2br w:val="nil"/>
                    <w:tr2bl w:val="nil"/>
                  </w:tcBorders>
                  <w:noWrap w:val="0"/>
                  <w:vAlign w:val="center"/>
                </w:tcPr>
                <w:p w14:paraId="157FB38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1.2</w:t>
                  </w:r>
                </w:p>
              </w:tc>
              <w:tc>
                <w:tcPr>
                  <w:tcW w:w="480" w:type="pct"/>
                  <w:tcBorders>
                    <w:tl2br w:val="nil"/>
                    <w:tr2bl w:val="nil"/>
                  </w:tcBorders>
                  <w:noWrap w:val="0"/>
                  <w:vAlign w:val="center"/>
                </w:tcPr>
                <w:p w14:paraId="6FF9BC5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2.7</w:t>
                  </w:r>
                </w:p>
              </w:tc>
              <w:tc>
                <w:tcPr>
                  <w:tcW w:w="495" w:type="pct"/>
                  <w:tcBorders>
                    <w:tl2br w:val="nil"/>
                    <w:tr2bl w:val="nil"/>
                  </w:tcBorders>
                  <w:noWrap w:val="0"/>
                  <w:vAlign w:val="center"/>
                </w:tcPr>
                <w:p w14:paraId="4903360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8.2</w:t>
                  </w:r>
                </w:p>
              </w:tc>
              <w:tc>
                <w:tcPr>
                  <w:tcW w:w="495" w:type="pct"/>
                  <w:tcBorders>
                    <w:tl2br w:val="nil"/>
                    <w:tr2bl w:val="nil"/>
                  </w:tcBorders>
                  <w:noWrap w:val="0"/>
                  <w:vAlign w:val="center"/>
                </w:tcPr>
                <w:p w14:paraId="4183ADD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28.2</w:t>
                  </w:r>
                </w:p>
              </w:tc>
              <w:tc>
                <w:tcPr>
                  <w:tcW w:w="495" w:type="pct"/>
                  <w:tcBorders>
                    <w:tl2br w:val="nil"/>
                    <w:tr2bl w:val="nil"/>
                  </w:tcBorders>
                  <w:noWrap w:val="0"/>
                  <w:vAlign w:val="center"/>
                </w:tcPr>
                <w:p w14:paraId="3DD6C88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28.8</w:t>
                  </w:r>
                </w:p>
              </w:tc>
              <w:tc>
                <w:tcPr>
                  <w:tcW w:w="505" w:type="pct"/>
                  <w:tcBorders>
                    <w:tl2br w:val="nil"/>
                    <w:tr2bl w:val="nil"/>
                  </w:tcBorders>
                  <w:noWrap w:val="0"/>
                  <w:vAlign w:val="center"/>
                </w:tcPr>
                <w:p w14:paraId="21089AA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202.0</w:t>
                  </w:r>
                </w:p>
              </w:tc>
            </w:tr>
            <w:tr w14:paraId="0ECFAB5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tcBorders>
                    <w:tl2br w:val="nil"/>
                    <w:tr2bl w:val="nil"/>
                  </w:tcBorders>
                  <w:noWrap w:val="0"/>
                  <w:vAlign w:val="center"/>
                </w:tcPr>
                <w:p w14:paraId="0102C2C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15</w:t>
                  </w:r>
                </w:p>
              </w:tc>
              <w:tc>
                <w:tcPr>
                  <w:tcW w:w="568" w:type="pct"/>
                  <w:tcBorders>
                    <w:tl2br w:val="nil"/>
                    <w:tr2bl w:val="nil"/>
                  </w:tcBorders>
                  <w:noWrap w:val="0"/>
                  <w:vAlign w:val="center"/>
                </w:tcPr>
                <w:p w14:paraId="79EEF4F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50</w:t>
                  </w:r>
                </w:p>
              </w:tc>
              <w:tc>
                <w:tcPr>
                  <w:tcW w:w="474" w:type="pct"/>
                  <w:tcBorders>
                    <w:tl2br w:val="nil"/>
                    <w:tr2bl w:val="nil"/>
                  </w:tcBorders>
                  <w:noWrap w:val="0"/>
                  <w:vAlign w:val="center"/>
                </w:tcPr>
                <w:p w14:paraId="32E0150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0.1</w:t>
                  </w:r>
                </w:p>
              </w:tc>
              <w:tc>
                <w:tcPr>
                  <w:tcW w:w="480" w:type="pct"/>
                  <w:tcBorders>
                    <w:tl2br w:val="nil"/>
                    <w:tr2bl w:val="nil"/>
                  </w:tcBorders>
                  <w:noWrap w:val="0"/>
                  <w:vAlign w:val="center"/>
                </w:tcPr>
                <w:p w14:paraId="7316461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0.5</w:t>
                  </w:r>
                </w:p>
              </w:tc>
              <w:tc>
                <w:tcPr>
                  <w:tcW w:w="480" w:type="pct"/>
                  <w:tcBorders>
                    <w:tl2br w:val="nil"/>
                    <w:tr2bl w:val="nil"/>
                  </w:tcBorders>
                  <w:noWrap w:val="0"/>
                  <w:vAlign w:val="center"/>
                </w:tcPr>
                <w:p w14:paraId="52EB04B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1.2</w:t>
                  </w:r>
                </w:p>
              </w:tc>
              <w:tc>
                <w:tcPr>
                  <w:tcW w:w="480" w:type="pct"/>
                  <w:tcBorders>
                    <w:tl2br w:val="nil"/>
                    <w:tr2bl w:val="nil"/>
                  </w:tcBorders>
                  <w:noWrap w:val="0"/>
                  <w:vAlign w:val="center"/>
                </w:tcPr>
                <w:p w14:paraId="570DC3A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2.2</w:t>
                  </w:r>
                </w:p>
              </w:tc>
              <w:tc>
                <w:tcPr>
                  <w:tcW w:w="495" w:type="pct"/>
                  <w:tcBorders>
                    <w:tl2br w:val="nil"/>
                    <w:tr2bl w:val="nil"/>
                  </w:tcBorders>
                  <w:noWrap w:val="0"/>
                  <w:vAlign w:val="center"/>
                </w:tcPr>
                <w:p w14:paraId="1510FFD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4.2</w:t>
                  </w:r>
                </w:p>
              </w:tc>
              <w:tc>
                <w:tcPr>
                  <w:tcW w:w="495" w:type="pct"/>
                  <w:tcBorders>
                    <w:tl2br w:val="nil"/>
                    <w:tr2bl w:val="nil"/>
                  </w:tcBorders>
                  <w:noWrap w:val="0"/>
                  <w:vAlign w:val="center"/>
                </w:tcPr>
                <w:p w14:paraId="245D547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10.8</w:t>
                  </w:r>
                </w:p>
              </w:tc>
              <w:tc>
                <w:tcPr>
                  <w:tcW w:w="495" w:type="pct"/>
                  <w:tcBorders>
                    <w:tl2br w:val="nil"/>
                    <w:tr2bl w:val="nil"/>
                  </w:tcBorders>
                  <w:noWrap w:val="0"/>
                  <w:vAlign w:val="center"/>
                </w:tcPr>
                <w:p w14:paraId="436392D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36.2</w:t>
                  </w:r>
                </w:p>
              </w:tc>
              <w:tc>
                <w:tcPr>
                  <w:tcW w:w="505" w:type="pct"/>
                  <w:tcBorders>
                    <w:tl2br w:val="nil"/>
                    <w:tr2bl w:val="nil"/>
                  </w:tcBorders>
                  <w:noWrap w:val="0"/>
                  <w:vAlign w:val="center"/>
                </w:tcPr>
                <w:p w14:paraId="086FD7F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129.0</w:t>
                  </w:r>
                </w:p>
              </w:tc>
            </w:tr>
            <w:tr w14:paraId="348CD78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3" w:type="pct"/>
                  <w:tcBorders>
                    <w:tl2br w:val="nil"/>
                    <w:tr2bl w:val="nil"/>
                  </w:tcBorders>
                  <w:noWrap w:val="0"/>
                  <w:vAlign w:val="center"/>
                </w:tcPr>
                <w:p w14:paraId="58D233E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15</w:t>
                  </w:r>
                </w:p>
              </w:tc>
              <w:tc>
                <w:tcPr>
                  <w:tcW w:w="568" w:type="pct"/>
                  <w:tcBorders>
                    <w:tl2br w:val="nil"/>
                    <w:tr2bl w:val="nil"/>
                  </w:tcBorders>
                  <w:noWrap w:val="0"/>
                  <w:vAlign w:val="center"/>
                </w:tcPr>
                <w:p w14:paraId="1043C50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80</w:t>
                  </w:r>
                </w:p>
              </w:tc>
              <w:tc>
                <w:tcPr>
                  <w:tcW w:w="474" w:type="pct"/>
                  <w:tcBorders>
                    <w:tl2br w:val="nil"/>
                    <w:tr2bl w:val="nil"/>
                  </w:tcBorders>
                  <w:noWrap w:val="0"/>
                  <w:vAlign w:val="center"/>
                </w:tcPr>
                <w:p w14:paraId="67E5C95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0.1</w:t>
                  </w:r>
                </w:p>
              </w:tc>
              <w:tc>
                <w:tcPr>
                  <w:tcW w:w="480" w:type="pct"/>
                  <w:tcBorders>
                    <w:tl2br w:val="nil"/>
                    <w:tr2bl w:val="nil"/>
                  </w:tcBorders>
                  <w:noWrap w:val="0"/>
                  <w:vAlign w:val="center"/>
                </w:tcPr>
                <w:p w14:paraId="56E84F4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0.3</w:t>
                  </w:r>
                </w:p>
              </w:tc>
              <w:tc>
                <w:tcPr>
                  <w:tcW w:w="480" w:type="pct"/>
                  <w:tcBorders>
                    <w:tl2br w:val="nil"/>
                    <w:tr2bl w:val="nil"/>
                  </w:tcBorders>
                  <w:noWrap w:val="0"/>
                  <w:vAlign w:val="center"/>
                </w:tcPr>
                <w:p w14:paraId="4D71BF7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1.1</w:t>
                  </w:r>
                </w:p>
              </w:tc>
              <w:tc>
                <w:tcPr>
                  <w:tcW w:w="480" w:type="pct"/>
                  <w:tcBorders>
                    <w:tl2br w:val="nil"/>
                    <w:tr2bl w:val="nil"/>
                  </w:tcBorders>
                  <w:noWrap w:val="0"/>
                  <w:vAlign w:val="center"/>
                </w:tcPr>
                <w:p w14:paraId="4940DB6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2.4</w:t>
                  </w:r>
                </w:p>
              </w:tc>
              <w:tc>
                <w:tcPr>
                  <w:tcW w:w="495" w:type="pct"/>
                  <w:tcBorders>
                    <w:tl2br w:val="nil"/>
                    <w:tr2bl w:val="nil"/>
                  </w:tcBorders>
                  <w:noWrap w:val="0"/>
                  <w:vAlign w:val="center"/>
                </w:tcPr>
                <w:p w14:paraId="72E2AA0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4.1</w:t>
                  </w:r>
                </w:p>
              </w:tc>
              <w:tc>
                <w:tcPr>
                  <w:tcW w:w="495" w:type="pct"/>
                  <w:tcBorders>
                    <w:tl2br w:val="nil"/>
                    <w:tr2bl w:val="nil"/>
                  </w:tcBorders>
                  <w:noWrap w:val="0"/>
                  <w:vAlign w:val="center"/>
                </w:tcPr>
                <w:p w14:paraId="7F5345D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8.3</w:t>
                  </w:r>
                </w:p>
              </w:tc>
              <w:tc>
                <w:tcPr>
                  <w:tcW w:w="495" w:type="pct"/>
                  <w:tcBorders>
                    <w:tl2br w:val="nil"/>
                    <w:tr2bl w:val="nil"/>
                  </w:tcBorders>
                  <w:noWrap w:val="0"/>
                  <w:vAlign w:val="center"/>
                </w:tcPr>
                <w:p w14:paraId="42ADC03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23.7</w:t>
                  </w:r>
                </w:p>
              </w:tc>
              <w:tc>
                <w:tcPr>
                  <w:tcW w:w="505" w:type="pct"/>
                  <w:tcBorders>
                    <w:tl2br w:val="nil"/>
                    <w:tr2bl w:val="nil"/>
                  </w:tcBorders>
                  <w:noWrap w:val="0"/>
                  <w:vAlign w:val="center"/>
                </w:tcPr>
                <w:p w14:paraId="186CF42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82.8</w:t>
                  </w:r>
                </w:p>
              </w:tc>
            </w:tr>
          </w:tbl>
          <w:p w14:paraId="7603BE7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⑤屏障引起的衰减（Abar）</w:t>
            </w:r>
          </w:p>
          <w:p w14:paraId="33C18240">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位于声源和预测点之间的实体障碍物，如围墙、建筑物、土坡或地堑等起声屏障作用，从而引起声能量的较大衰减。在环境影响评价中，可将各种形式的屏障简化为具有一定高度的薄屏障。</w:t>
            </w:r>
          </w:p>
          <w:p w14:paraId="1815DEA5">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如图</w:t>
            </w:r>
            <w:r>
              <w:rPr>
                <w:rFonts w:hint="eastAsia" w:ascii="Times New Roman" w:hAnsi="Times New Roman" w:eastAsia="宋体" w:cs="宋体"/>
                <w:color w:val="auto"/>
                <w:kern w:val="2"/>
                <w:sz w:val="24"/>
                <w:szCs w:val="24"/>
                <w:lang w:val="en-US" w:eastAsia="zh-CN" w:bidi="ar-SA"/>
              </w:rPr>
              <w:t>4</w:t>
            </w: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3</w:t>
            </w:r>
            <w:r>
              <w:rPr>
                <w:rFonts w:hint="default" w:ascii="Times New Roman" w:hAnsi="Times New Roman" w:eastAsia="宋体" w:cs="宋体"/>
                <w:color w:val="auto"/>
                <w:kern w:val="2"/>
                <w:sz w:val="24"/>
                <w:szCs w:val="24"/>
                <w:lang w:val="en-US" w:eastAsia="zh-CN" w:bidi="ar-SA"/>
              </w:rPr>
              <w:t>-3所示，S、O、P三点在同一平面内且垂直于地面。</w:t>
            </w:r>
          </w:p>
          <w:p w14:paraId="28CC955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定义δ=SO＋OP－SP为声程差，N=2δ/λ为菲涅尔数，其中λ为声波波长。</w:t>
            </w:r>
          </w:p>
          <w:p w14:paraId="2019292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在噪声预测中，声屏障插入损失的计算方法</w:t>
            </w:r>
            <w:r>
              <w:rPr>
                <w:rFonts w:hint="eastAsia" w:cs="宋体"/>
                <w:color w:val="auto"/>
                <w:kern w:val="2"/>
                <w:sz w:val="24"/>
                <w:szCs w:val="24"/>
                <w:lang w:val="en-US" w:eastAsia="zh-CN" w:bidi="ar-SA"/>
              </w:rPr>
              <w:t>应</w:t>
            </w:r>
            <w:r>
              <w:rPr>
                <w:rFonts w:hint="default" w:ascii="Times New Roman" w:hAnsi="Times New Roman" w:eastAsia="宋体" w:cs="宋体"/>
                <w:color w:val="auto"/>
                <w:kern w:val="2"/>
                <w:sz w:val="24"/>
                <w:szCs w:val="24"/>
                <w:lang w:val="en-US" w:eastAsia="zh-CN" w:bidi="ar-SA"/>
              </w:rPr>
              <w:t>根据</w:t>
            </w:r>
            <w:r>
              <w:rPr>
                <w:rFonts w:hint="eastAsia" w:cs="宋体"/>
                <w:color w:val="auto"/>
                <w:kern w:val="2"/>
                <w:sz w:val="24"/>
                <w:szCs w:val="24"/>
                <w:lang w:val="en-US" w:eastAsia="zh-CN" w:bidi="ar-SA"/>
              </w:rPr>
              <w:t>实际情况作</w:t>
            </w:r>
            <w:r>
              <w:rPr>
                <w:rFonts w:hint="default" w:ascii="Times New Roman" w:hAnsi="Times New Roman" w:eastAsia="宋体" w:cs="宋体"/>
                <w:color w:val="auto"/>
                <w:kern w:val="2"/>
                <w:sz w:val="24"/>
                <w:szCs w:val="24"/>
                <w:lang w:val="en-US" w:eastAsia="zh-CN" w:bidi="ar-SA"/>
              </w:rPr>
              <w:t>简化处理。</w:t>
            </w:r>
          </w:p>
          <w:p w14:paraId="0A4E3863">
            <w:pPr>
              <w:widowControl w:val="0"/>
              <w:bidi w:val="0"/>
              <w:spacing w:line="240" w:lineRule="auto"/>
              <w:ind w:firstLine="0" w:firstLineChars="0"/>
              <w:jc w:val="center"/>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5041900" cy="3341370"/>
                  <wp:effectExtent l="0" t="0" r="6350" b="11430"/>
                  <wp:docPr id="14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27"/>
                          <pic:cNvPicPr>
                            <a:picLocks noChangeAspect="1"/>
                          </pic:cNvPicPr>
                        </pic:nvPicPr>
                        <pic:blipFill>
                          <a:blip r:embed="rId25"/>
                          <a:stretch>
                            <a:fillRect/>
                          </a:stretch>
                        </pic:blipFill>
                        <pic:spPr>
                          <a:xfrm>
                            <a:off x="0" y="0"/>
                            <a:ext cx="5041900" cy="3341370"/>
                          </a:xfrm>
                          <a:prstGeom prst="rect">
                            <a:avLst/>
                          </a:prstGeom>
                          <a:noFill/>
                          <a:ln>
                            <a:noFill/>
                          </a:ln>
                        </pic:spPr>
                      </pic:pic>
                    </a:graphicData>
                  </a:graphic>
                </wp:inline>
              </w:drawing>
            </w:r>
          </w:p>
          <w:p w14:paraId="25BD30CD">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default" w:ascii="Times New Roman" w:hAnsi="Times New Roman" w:eastAsia="宋体" w:cs="Times New Roman"/>
                <w:b/>
                <w:color w:val="auto"/>
                <w:kern w:val="0"/>
                <w:sz w:val="24"/>
                <w:szCs w:val="20"/>
                <w:lang w:val="en-US" w:eastAsia="zh-CN" w:bidi="ar-SA"/>
              </w:rPr>
              <mc:AlternateContent>
                <mc:Choice Requires="wps">
                  <w:drawing>
                    <wp:anchor distT="0" distB="0" distL="114300" distR="114300" simplePos="0" relativeHeight="251668480" behindDoc="0" locked="0" layoutInCell="1" allowOverlap="1">
                      <wp:simplePos x="0" y="0"/>
                      <wp:positionH relativeFrom="column">
                        <wp:posOffset>-3126740</wp:posOffset>
                      </wp:positionH>
                      <wp:positionV relativeFrom="paragraph">
                        <wp:posOffset>238760</wp:posOffset>
                      </wp:positionV>
                      <wp:extent cx="0" cy="635"/>
                      <wp:effectExtent l="0" t="635" r="0" b="0"/>
                      <wp:wrapNone/>
                      <wp:docPr id="13" name="文本框 1964"/>
                      <wp:cNvGraphicFramePr/>
                      <a:graphic xmlns:a="http://schemas.openxmlformats.org/drawingml/2006/main">
                        <a:graphicData uri="http://schemas.microsoft.com/office/word/2010/wordprocessingShape">
                          <wps:wsp>
                            <wps:cNvSpPr txBox="1"/>
                            <wps:spPr>
                              <a:xfrm rot="-4020000">
                                <a:off x="0" y="0"/>
                                <a:ext cx="0" cy="635"/>
                              </a:xfrm>
                              <a:prstGeom prst="rect">
                                <a:avLst/>
                              </a:prstGeom>
                              <a:noFill/>
                              <a:ln>
                                <a:noFill/>
                              </a:ln>
                              <a:effectLst/>
                            </wps:spPr>
                            <wps:txbx>
                              <w:txbxContent>
                                <w:p w14:paraId="52964621">
                                  <w:pPr>
                                    <w:ind w:left="0" w:leftChars="0" w:firstLine="0" w:firstLineChars="0"/>
                                    <w:rPr>
                                      <w:rFonts w:hint="eastAsia" w:ascii="Times New Roman" w:hAnsi="Times New Roman" w:eastAsia="宋体" w:cs="Times New Roman"/>
                                      <w:b/>
                                      <w:bCs/>
                                      <w:color w:val="FFFFFF"/>
                                      <w:highlight w:val="none"/>
                                      <w:lang w:eastAsia="zh-CN"/>
                                    </w:rPr>
                                  </w:pPr>
                                  <w:r>
                                    <w:rPr>
                                      <w:rFonts w:hint="eastAsia" w:ascii="Times New Roman" w:hAnsi="Times New Roman" w:eastAsia="宋体" w:cs="Times New Roman"/>
                                      <w:b/>
                                      <w:bCs/>
                                      <w:color w:val="FFFFFF"/>
                                      <w:highlight w:val="none"/>
                                      <w:lang w:eastAsia="zh-CN"/>
                                    </w:rPr>
                                    <w:t>洪</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铨</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路</w:t>
                                  </w:r>
                                </w:p>
                              </w:txbxContent>
                            </wps:txbx>
                            <wps:bodyPr vert="horz" wrap="square" anchor="t" anchorCtr="0" upright="0"/>
                          </wps:wsp>
                        </a:graphicData>
                      </a:graphic>
                    </wp:anchor>
                  </w:drawing>
                </mc:Choice>
                <mc:Fallback>
                  <w:pict>
                    <v:shape id="文本框 1964" o:spid="_x0000_s1026" o:spt="202" type="#_x0000_t202" style="position:absolute;left:0pt;margin-left:-246.2pt;margin-top:18.8pt;height:0.05pt;width:0pt;rotation:-4390912f;z-index:251668480;mso-width-relative:page;mso-height-relative:page;" filled="f" stroked="f" coordsize="21600,21600" o:gfxdata="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Hek7e2AAAAAsBAAAPAAAAAAAAAAEAIAAA&#10;ACIAAABkcnMvZG93bnJldi54bWxQSwECFAAUAAAACACHTuJA5ivXwtMBAACZAwAADgAAAAAAAAAB&#10;ACAAAAAnAQAAZHJzL2Uyb0RvYy54bWxQSwUGAAAAAAYABgBZAQAAbAUAAAAA&#10;">
                      <v:fill on="f" focussize="0,0"/>
                      <v:stroke on="f"/>
                      <v:imagedata o:title=""/>
                      <o:lock v:ext="edit" aspectratio="f"/>
                      <v:textbox>
                        <w:txbxContent>
                          <w:p w14:paraId="52964621">
                            <w:pPr>
                              <w:ind w:left="0" w:leftChars="0" w:firstLine="0" w:firstLineChars="0"/>
                              <w:rPr>
                                <w:rFonts w:hint="eastAsia" w:ascii="Times New Roman" w:hAnsi="Times New Roman" w:eastAsia="宋体" w:cs="Times New Roman"/>
                                <w:b/>
                                <w:bCs/>
                                <w:color w:val="FFFFFF"/>
                                <w:highlight w:val="none"/>
                                <w:lang w:eastAsia="zh-CN"/>
                              </w:rPr>
                            </w:pPr>
                            <w:r>
                              <w:rPr>
                                <w:rFonts w:hint="eastAsia" w:ascii="Times New Roman" w:hAnsi="Times New Roman" w:eastAsia="宋体" w:cs="Times New Roman"/>
                                <w:b/>
                                <w:bCs/>
                                <w:color w:val="FFFFFF"/>
                                <w:highlight w:val="none"/>
                                <w:lang w:eastAsia="zh-CN"/>
                              </w:rPr>
                              <w:t>洪</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铨</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路</w:t>
                            </w:r>
                          </w:p>
                        </w:txbxContent>
                      </v:textbox>
                    </v:shape>
                  </w:pict>
                </mc:Fallback>
              </mc:AlternateContent>
            </w:r>
            <w:r>
              <w:rPr>
                <w:rFonts w:hint="default" w:ascii="Times New Roman" w:hAnsi="Times New Roman" w:eastAsia="宋体" w:cs="Times New Roman"/>
                <w:b/>
                <w:color w:val="auto"/>
                <w:kern w:val="0"/>
                <w:sz w:val="24"/>
                <w:szCs w:val="20"/>
                <w:lang w:val="en-US" w:eastAsia="zh-CN" w:bidi="ar-SA"/>
              </w:rPr>
              <mc:AlternateContent>
                <mc:Choice Requires="wps">
                  <w:drawing>
                    <wp:anchor distT="0" distB="0" distL="114300" distR="114300" simplePos="0" relativeHeight="251667456" behindDoc="0" locked="0" layoutInCell="1" allowOverlap="1">
                      <wp:simplePos x="0" y="0"/>
                      <wp:positionH relativeFrom="column">
                        <wp:posOffset>-3126740</wp:posOffset>
                      </wp:positionH>
                      <wp:positionV relativeFrom="paragraph">
                        <wp:posOffset>238760</wp:posOffset>
                      </wp:positionV>
                      <wp:extent cx="0" cy="635"/>
                      <wp:effectExtent l="0" t="635" r="0" b="0"/>
                      <wp:wrapNone/>
                      <wp:docPr id="12" name="文本框 1964"/>
                      <wp:cNvGraphicFramePr/>
                      <a:graphic xmlns:a="http://schemas.openxmlformats.org/drawingml/2006/main">
                        <a:graphicData uri="http://schemas.microsoft.com/office/word/2010/wordprocessingShape">
                          <wps:wsp>
                            <wps:cNvSpPr txBox="1"/>
                            <wps:spPr>
                              <a:xfrm rot="-4080000">
                                <a:off x="0" y="0"/>
                                <a:ext cx="0" cy="635"/>
                              </a:xfrm>
                              <a:prstGeom prst="rect">
                                <a:avLst/>
                              </a:prstGeom>
                              <a:noFill/>
                              <a:ln>
                                <a:noFill/>
                              </a:ln>
                              <a:effectLst/>
                            </wps:spPr>
                            <wps:txbx>
                              <w:txbxContent>
                                <w:p w14:paraId="3BEAC974">
                                  <w:pPr>
                                    <w:ind w:left="0" w:leftChars="0" w:firstLine="0" w:firstLineChars="0"/>
                                    <w:rPr>
                                      <w:rFonts w:hint="eastAsia" w:ascii="Times New Roman" w:hAnsi="Times New Roman" w:eastAsia="宋体" w:cs="Times New Roman"/>
                                      <w:b/>
                                      <w:bCs/>
                                      <w:color w:val="000000"/>
                                      <w:highlight w:val="yellow"/>
                                      <w:lang w:eastAsia="zh-CN"/>
                                    </w:rPr>
                                  </w:pPr>
                                  <w:r>
                                    <w:rPr>
                                      <w:rFonts w:hint="eastAsia" w:ascii="Times New Roman" w:hAnsi="Times New Roman" w:eastAsia="宋体" w:cs="Times New Roman"/>
                                      <w:b/>
                                      <w:bCs/>
                                      <w:color w:val="000000"/>
                                      <w:highlight w:val="yellow"/>
                                      <w:lang w:eastAsia="zh-CN"/>
                                    </w:rPr>
                                    <w:t>佳宁化妆品有限公司</w:t>
                                  </w:r>
                                </w:p>
                              </w:txbxContent>
                            </wps:txbx>
                            <wps:bodyPr vert="horz" wrap="square" anchor="t" anchorCtr="0" upright="0"/>
                          </wps:wsp>
                        </a:graphicData>
                      </a:graphic>
                    </wp:anchor>
                  </w:drawing>
                </mc:Choice>
                <mc:Fallback>
                  <w:pict>
                    <v:shape id="文本框 1964" o:spid="_x0000_s1026" o:spt="202" type="#_x0000_t202" style="position:absolute;left:0pt;margin-left:-246.2pt;margin-top:18.8pt;height:0.05pt;width:0pt;rotation:-4456448f;z-index:251667456;mso-width-relative:page;mso-height-relative:page;" filled="f" stroked="f" coordsize="21600,21600" o:gfxdata="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BpWiHXAAAACwEAAA8AAAAAAAAAAQAgAAAA&#10;IgAAAGRycy9kb3ducmV2LnhtbFBLAQIUABQAAAAIAIdO4kAbb86d0wEAAJkDAAAOAAAAAAAAAAEA&#10;IAAAACYBAABkcnMvZTJvRG9jLnhtbFBLBQYAAAAABgAGAFkBAABrBQAAAAA=&#10;">
                      <v:fill on="f" focussize="0,0"/>
                      <v:stroke on="f"/>
                      <v:imagedata o:title=""/>
                      <o:lock v:ext="edit" aspectratio="f"/>
                      <v:textbox>
                        <w:txbxContent>
                          <w:p w14:paraId="3BEAC974">
                            <w:pPr>
                              <w:ind w:left="0" w:leftChars="0" w:firstLine="0" w:firstLineChars="0"/>
                              <w:rPr>
                                <w:rFonts w:hint="eastAsia" w:ascii="Times New Roman" w:hAnsi="Times New Roman" w:eastAsia="宋体" w:cs="Times New Roman"/>
                                <w:b/>
                                <w:bCs/>
                                <w:color w:val="000000"/>
                                <w:highlight w:val="yellow"/>
                                <w:lang w:eastAsia="zh-CN"/>
                              </w:rPr>
                            </w:pPr>
                            <w:r>
                              <w:rPr>
                                <w:rFonts w:hint="eastAsia" w:ascii="Times New Roman" w:hAnsi="Times New Roman" w:eastAsia="宋体" w:cs="Times New Roman"/>
                                <w:b/>
                                <w:bCs/>
                                <w:color w:val="000000"/>
                                <w:highlight w:val="yellow"/>
                                <w:lang w:eastAsia="zh-CN"/>
                              </w:rPr>
                              <w:t>佳宁化妆品有限公司</w:t>
                            </w:r>
                          </w:p>
                        </w:txbxContent>
                      </v:textbox>
                    </v:shape>
                  </w:pict>
                </mc:Fallback>
              </mc:AlternateContent>
            </w:r>
            <w:r>
              <w:rPr>
                <w:rFonts w:hint="default" w:ascii="Times New Roman" w:hAnsi="Times New Roman" w:eastAsia="宋体" w:cs="Times New Roman"/>
                <w:b/>
                <w:color w:val="auto"/>
                <w:kern w:val="0"/>
                <w:sz w:val="24"/>
                <w:szCs w:val="20"/>
                <w:lang w:val="en-US" w:eastAsia="zh-CN" w:bidi="ar-SA"/>
              </w:rPr>
              <mc:AlternateContent>
                <mc:Choice Requires="wps">
                  <w:drawing>
                    <wp:anchor distT="0" distB="0" distL="114300" distR="114300" simplePos="0" relativeHeight="251666432" behindDoc="0" locked="0" layoutInCell="1" allowOverlap="1">
                      <wp:simplePos x="0" y="0"/>
                      <wp:positionH relativeFrom="column">
                        <wp:posOffset>-3126740</wp:posOffset>
                      </wp:positionH>
                      <wp:positionV relativeFrom="paragraph">
                        <wp:posOffset>239395</wp:posOffset>
                      </wp:positionV>
                      <wp:extent cx="635" cy="0"/>
                      <wp:effectExtent l="0" t="0" r="0" b="0"/>
                      <wp:wrapNone/>
                      <wp:docPr id="11" name="文本框 1972"/>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a:effectLst/>
                            </wps:spPr>
                            <wps:txbx>
                              <w:txbxContent>
                                <w:p w14:paraId="4F613CBE">
                                  <w:pPr>
                                    <w:ind w:left="0" w:leftChars="0" w:firstLine="0" w:firstLineChars="0"/>
                                    <w:rPr>
                                      <w:rFonts w:hint="eastAsia" w:ascii="Times New Roman" w:hAnsi="Times New Roman" w:eastAsia="宋体" w:cs="Times New Roman"/>
                                      <w:b/>
                                      <w:bCs/>
                                      <w:color w:val="00FAFA"/>
                                      <w:highlight w:val="none"/>
                                      <w:lang w:eastAsia="zh-CN"/>
                                    </w:rPr>
                                  </w:pPr>
                                  <w:r>
                                    <w:rPr>
                                      <w:rFonts w:hint="eastAsia" w:ascii="Times New Roman" w:hAnsi="Times New Roman" w:eastAsia="宋体" w:cs="Times New Roman"/>
                                      <w:b/>
                                      <w:bCs/>
                                      <w:color w:val="00FAFA"/>
                                      <w:highlight w:val="none"/>
                                      <w:lang w:eastAsia="zh-CN"/>
                                    </w:rPr>
                                    <w:t>大</w:t>
                                  </w:r>
                                </w:p>
                              </w:txbxContent>
                            </wps:txbx>
                            <wps:bodyPr vert="horz" wrap="square" anchor="t" anchorCtr="0" upright="1"/>
                          </wps:wsp>
                        </a:graphicData>
                      </a:graphic>
                    </wp:anchor>
                  </w:drawing>
                </mc:Choice>
                <mc:Fallback>
                  <w:pict>
                    <v:shape id="文本框 1972" o:spid="_x0000_s1026" o:spt="202" type="#_x0000_t202" style="position:absolute;left:0pt;margin-left:-246.2pt;margin-top:18.85pt;height:0pt;width:0.05pt;z-index:251666432;mso-width-relative:page;mso-height-relative:page;" filled="f" stroked="f" coordsize="21600,21600" o:gfxdata="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p9YEX1gAAAAsBAAAPAAAAAAAAAAEAIAAAACIAAABkcnMvZG93&#10;bnJldi54bWxQSwECFAAUAAAACACHTuJAnHCwhMkBAACKAwAADgAAAAAAAAABACAAAAAlAQAAZHJz&#10;L2Uyb0RvYy54bWxQSwUGAAAAAAYABgBZAQAAYAUAAAAA&#10;">
                      <v:fill on="f" focussize="0,0"/>
                      <v:stroke on="f"/>
                      <v:imagedata o:title=""/>
                      <o:lock v:ext="edit" aspectratio="f"/>
                      <v:textbox>
                        <w:txbxContent>
                          <w:p w14:paraId="4F613CBE">
                            <w:pPr>
                              <w:ind w:left="0" w:leftChars="0" w:firstLine="0" w:firstLineChars="0"/>
                              <w:rPr>
                                <w:rFonts w:hint="eastAsia" w:ascii="Times New Roman" w:hAnsi="Times New Roman" w:eastAsia="宋体" w:cs="Times New Roman"/>
                                <w:b/>
                                <w:bCs/>
                                <w:color w:val="00FAFA"/>
                                <w:highlight w:val="none"/>
                                <w:lang w:eastAsia="zh-CN"/>
                              </w:rPr>
                            </w:pPr>
                            <w:r>
                              <w:rPr>
                                <w:rFonts w:hint="eastAsia" w:ascii="Times New Roman" w:hAnsi="Times New Roman" w:eastAsia="宋体" w:cs="Times New Roman"/>
                                <w:b/>
                                <w:bCs/>
                                <w:color w:val="00FAFA"/>
                                <w:highlight w:val="none"/>
                                <w:lang w:eastAsia="zh-CN"/>
                              </w:rPr>
                              <w:t>大</w:t>
                            </w:r>
                          </w:p>
                        </w:txbxContent>
                      </v:textbox>
                    </v:shape>
                  </w:pict>
                </mc:Fallback>
              </mc:AlternateContent>
            </w:r>
            <w:r>
              <w:rPr>
                <w:rFonts w:hint="default" w:ascii="Times New Roman" w:hAnsi="Times New Roman" w:eastAsia="宋体" w:cs="Times New Roman"/>
                <w:b/>
                <w:color w:val="auto"/>
                <w:kern w:val="0"/>
                <w:sz w:val="24"/>
                <w:szCs w:val="20"/>
                <w:lang w:val="en-US" w:eastAsia="zh-CN" w:bidi="ar-SA"/>
              </w:rPr>
              <mc:AlternateContent>
                <mc:Choice Requires="wps">
                  <w:drawing>
                    <wp:anchor distT="0" distB="0" distL="114300" distR="114300" simplePos="0" relativeHeight="251665408" behindDoc="0" locked="0" layoutInCell="1" allowOverlap="1">
                      <wp:simplePos x="0" y="0"/>
                      <wp:positionH relativeFrom="column">
                        <wp:posOffset>-3126740</wp:posOffset>
                      </wp:positionH>
                      <wp:positionV relativeFrom="paragraph">
                        <wp:posOffset>239395</wp:posOffset>
                      </wp:positionV>
                      <wp:extent cx="635" cy="0"/>
                      <wp:effectExtent l="0" t="0" r="0" b="635"/>
                      <wp:wrapNone/>
                      <wp:docPr id="10" name="文本框 1964"/>
                      <wp:cNvGraphicFramePr/>
                      <a:graphic xmlns:a="http://schemas.openxmlformats.org/drawingml/2006/main">
                        <a:graphicData uri="http://schemas.microsoft.com/office/word/2010/wordprocessingShape">
                          <wps:wsp>
                            <wps:cNvSpPr txBox="1"/>
                            <wps:spPr>
                              <a:xfrm rot="1740000">
                                <a:off x="0" y="0"/>
                                <a:ext cx="635" cy="0"/>
                              </a:xfrm>
                              <a:prstGeom prst="rect">
                                <a:avLst/>
                              </a:prstGeom>
                              <a:noFill/>
                              <a:ln>
                                <a:noFill/>
                              </a:ln>
                              <a:effectLst/>
                            </wps:spPr>
                            <wps:txbx>
                              <w:txbxContent>
                                <w:p w14:paraId="14B36682">
                                  <w:pPr>
                                    <w:ind w:left="0" w:leftChars="0" w:firstLine="0" w:firstLineChars="0"/>
                                    <w:rPr>
                                      <w:rFonts w:hint="eastAsia" w:ascii="Times New Roman" w:hAnsi="Times New Roman" w:eastAsia="宋体" w:cs="Times New Roman"/>
                                      <w:b/>
                                      <w:bCs/>
                                      <w:color w:val="FFFFFF"/>
                                      <w:highlight w:val="none"/>
                                      <w:lang w:eastAsia="zh-CN"/>
                                    </w:rPr>
                                  </w:pPr>
                                  <w:r>
                                    <w:rPr>
                                      <w:rFonts w:hint="eastAsia" w:ascii="Times New Roman" w:hAnsi="Times New Roman" w:eastAsia="宋体" w:cs="Times New Roman"/>
                                      <w:b/>
                                      <w:bCs/>
                                      <w:color w:val="FFFFFF"/>
                                      <w:highlight w:val="none"/>
                                      <w:lang w:eastAsia="zh-CN"/>
                                    </w:rPr>
                                    <w:t>洪</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宽</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三</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路</w:t>
                                  </w:r>
                                </w:p>
                              </w:txbxContent>
                            </wps:txbx>
                            <wps:bodyPr vert="horz" wrap="square" anchor="t" anchorCtr="0" upright="0"/>
                          </wps:wsp>
                        </a:graphicData>
                      </a:graphic>
                    </wp:anchor>
                  </w:drawing>
                </mc:Choice>
                <mc:Fallback>
                  <w:pict>
                    <v:shape id="文本框 1964" o:spid="_x0000_s1026" o:spt="202" type="#_x0000_t202" style="position:absolute;left:0pt;margin-left:-246.2pt;margin-top:18.85pt;height:0pt;width:0.05pt;rotation:1900544f;z-index:251665408;mso-width-relative:page;mso-height-relative:page;" filled="f" stroked="f" coordsize="21600,21600" o:gfxdata="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DYoKpLaAAAACwEAAA8AAAAAAAAAAQAg&#10;AAAAIgAAAGRycy9kb3ducmV2LnhtbFBLAQIUABQAAAAIAIdO4kDqmw+E0wEAAJgDAAAOAAAAAAAA&#10;AAEAIAAAACkBAABkcnMvZTJvRG9jLnhtbFBLBQYAAAAABgAGAFkBAABuBQAAAAA=&#10;">
                      <v:fill on="f" focussize="0,0"/>
                      <v:stroke on="f"/>
                      <v:imagedata o:title=""/>
                      <o:lock v:ext="edit" aspectratio="f"/>
                      <v:textbox>
                        <w:txbxContent>
                          <w:p w14:paraId="14B36682">
                            <w:pPr>
                              <w:ind w:left="0" w:leftChars="0" w:firstLine="0" w:firstLineChars="0"/>
                              <w:rPr>
                                <w:rFonts w:hint="eastAsia" w:ascii="Times New Roman" w:hAnsi="Times New Roman" w:eastAsia="宋体" w:cs="Times New Roman"/>
                                <w:b/>
                                <w:bCs/>
                                <w:color w:val="FFFFFF"/>
                                <w:highlight w:val="none"/>
                                <w:lang w:eastAsia="zh-CN"/>
                              </w:rPr>
                            </w:pPr>
                            <w:r>
                              <w:rPr>
                                <w:rFonts w:hint="eastAsia" w:ascii="Times New Roman" w:hAnsi="Times New Roman" w:eastAsia="宋体" w:cs="Times New Roman"/>
                                <w:b/>
                                <w:bCs/>
                                <w:color w:val="FFFFFF"/>
                                <w:highlight w:val="none"/>
                                <w:lang w:eastAsia="zh-CN"/>
                              </w:rPr>
                              <w:t>洪</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宽</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三</w:t>
                            </w:r>
                            <w:r>
                              <w:rPr>
                                <w:rFonts w:hint="eastAsia" w:ascii="Times New Roman" w:hAnsi="Times New Roman" w:eastAsia="宋体" w:cs="Times New Roman"/>
                                <w:b/>
                                <w:bCs/>
                                <w:color w:val="FFFFFF"/>
                                <w:highlight w:val="none"/>
                                <w:lang w:val="en-US" w:eastAsia="zh-CN"/>
                              </w:rPr>
                              <w:t xml:space="preserve"> </w:t>
                            </w:r>
                            <w:r>
                              <w:rPr>
                                <w:rFonts w:hint="eastAsia" w:ascii="Times New Roman" w:hAnsi="Times New Roman" w:eastAsia="宋体" w:cs="Times New Roman"/>
                                <w:b/>
                                <w:bCs/>
                                <w:color w:val="FFFFFF"/>
                                <w:highlight w:val="none"/>
                                <w:lang w:eastAsia="zh-CN"/>
                              </w:rPr>
                              <w:t>路</w:t>
                            </w:r>
                          </w:p>
                        </w:txbxContent>
                      </v:textbox>
                    </v:shape>
                  </w:pict>
                </mc:Fallback>
              </mc:AlternateContent>
            </w:r>
            <w:r>
              <w:rPr>
                <w:rFonts w:hint="default" w:ascii="Times New Roman" w:hAnsi="Times New Roman" w:eastAsia="宋体" w:cs="Times New Roman"/>
                <w:b/>
                <w:color w:val="auto"/>
                <w:kern w:val="0"/>
                <w:sz w:val="24"/>
                <w:szCs w:val="20"/>
                <w:lang w:val="en-US" w:eastAsia="zh-CN" w:bidi="ar-SA"/>
              </w:rPr>
              <w:t>图</w:t>
            </w:r>
            <w:r>
              <w:rPr>
                <w:rFonts w:hint="eastAsia" w:ascii="Times New Roman" w:hAnsi="Times New Roman" w:eastAsia="宋体" w:cs="Times New Roman"/>
                <w:b/>
                <w:color w:val="auto"/>
                <w:kern w:val="0"/>
                <w:sz w:val="24"/>
                <w:szCs w:val="20"/>
                <w:lang w:val="en-US" w:eastAsia="zh-CN" w:bidi="ar-SA"/>
              </w:rPr>
              <w:t>4.3</w:t>
            </w:r>
            <w:r>
              <w:rPr>
                <w:rFonts w:hint="default" w:ascii="Times New Roman" w:hAnsi="Times New Roman" w:eastAsia="宋体" w:cs="Times New Roman"/>
                <w:b/>
                <w:color w:val="auto"/>
                <w:kern w:val="0"/>
                <w:sz w:val="24"/>
                <w:szCs w:val="20"/>
                <w:lang w:val="en-US" w:eastAsia="zh-CN" w:bidi="ar-SA"/>
              </w:rPr>
              <w:t>-3</w:t>
            </w:r>
            <w:r>
              <w:rPr>
                <w:rFonts w:hint="eastAsia" w:cs="Times New Roman"/>
                <w:b/>
                <w:color w:val="auto"/>
                <w:kern w:val="0"/>
                <w:sz w:val="24"/>
                <w:szCs w:val="20"/>
                <w:lang w:val="en-US" w:eastAsia="zh-CN" w:bidi="ar-SA"/>
              </w:rPr>
              <w:t xml:space="preserve">  </w:t>
            </w:r>
            <w:r>
              <w:rPr>
                <w:rFonts w:hint="default" w:ascii="Times New Roman" w:hAnsi="Times New Roman" w:eastAsia="宋体" w:cs="Times New Roman"/>
                <w:b/>
                <w:color w:val="auto"/>
                <w:kern w:val="0"/>
                <w:sz w:val="24"/>
                <w:szCs w:val="20"/>
                <w:lang w:val="en-US" w:eastAsia="zh-CN" w:bidi="ar-SA"/>
              </w:rPr>
              <w:t>无限长声屏障示意图</w:t>
            </w:r>
          </w:p>
          <w:p w14:paraId="36CA43B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◆参数的选择：参数选取项目所在区域的年平均温度为25℃，湿度为70%。计算过程考虑了建筑物的屏障作用和室内源向室外的传播。</w:t>
            </w:r>
          </w:p>
          <w:p w14:paraId="194A23C1">
            <w:pPr>
              <w:pStyle w:val="4"/>
              <w:bidi w:val="0"/>
              <w:rPr>
                <w:rFonts w:hint="eastAsia" w:ascii="Times New Roman" w:hAnsi="Times New Roman"/>
                <w:color w:val="auto"/>
                <w:lang w:val="en-US" w:eastAsia="zh-CN"/>
              </w:rPr>
            </w:pPr>
            <w:bookmarkStart w:id="90" w:name="_Toc32577"/>
            <w:r>
              <w:rPr>
                <w:rFonts w:hint="eastAsia" w:ascii="Times New Roman" w:hAnsi="Times New Roman"/>
                <w:color w:val="auto"/>
                <w:lang w:val="en-US" w:eastAsia="zh-CN"/>
              </w:rPr>
              <w:t>4.3.3声环境预测结果分析</w:t>
            </w:r>
            <w:bookmarkEnd w:id="90"/>
          </w:p>
          <w:p w14:paraId="6222AA72">
            <w:pPr>
              <w:pStyle w:val="27"/>
              <w:bidi w:val="0"/>
              <w:rPr>
                <w:rFonts w:hint="default" w:ascii="Times New Roman" w:hAnsi="Times New Roman"/>
                <w:color w:val="auto"/>
                <w:lang w:val="en-US" w:eastAsia="zh-CN"/>
              </w:rPr>
            </w:pPr>
            <w:r>
              <w:rPr>
                <w:rFonts w:hint="eastAsia" w:ascii="Times New Roman" w:hAnsi="Times New Roman"/>
                <w:color w:val="auto"/>
                <w:lang w:val="en-US" w:eastAsia="zh-CN"/>
              </w:rPr>
              <w:t>表4.3-</w:t>
            </w:r>
            <w:r>
              <w:rPr>
                <w:rFonts w:hint="eastAsia"/>
                <w:color w:val="auto"/>
                <w:lang w:val="en-US" w:eastAsia="zh-CN"/>
              </w:rPr>
              <w:t xml:space="preserve">5  </w:t>
            </w:r>
            <w:r>
              <w:rPr>
                <w:rFonts w:hint="eastAsia" w:ascii="Times New Roman" w:hAnsi="Times New Roman"/>
                <w:color w:val="auto"/>
                <w:lang w:val="en-US" w:eastAsia="zh-CN"/>
              </w:rPr>
              <w:t>厂界噪声</w:t>
            </w:r>
            <w:r>
              <w:rPr>
                <w:rFonts w:hint="eastAsia"/>
                <w:color w:val="auto"/>
                <w:lang w:val="en-US" w:eastAsia="zh-CN"/>
              </w:rPr>
              <w:t>预测</w:t>
            </w:r>
            <w:r>
              <w:rPr>
                <w:rFonts w:hint="eastAsia" w:ascii="Times New Roman" w:hAnsi="Times New Roman"/>
                <w:color w:val="auto"/>
                <w:lang w:val="en-US" w:eastAsia="zh-CN"/>
              </w:rPr>
              <w:t>值结果</w:t>
            </w:r>
          </w:p>
          <w:tbl>
            <w:tblPr>
              <w:tblStyle w:val="1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542"/>
              <w:gridCol w:w="1278"/>
              <w:gridCol w:w="802"/>
              <w:gridCol w:w="1533"/>
              <w:gridCol w:w="1602"/>
              <w:gridCol w:w="2258"/>
            </w:tblGrid>
            <w:tr w14:paraId="4936B8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18" w:hRule="atLeast"/>
              </w:trPr>
              <w:tc>
                <w:tcPr>
                  <w:tcW w:w="338" w:type="pct"/>
                  <w:vMerge w:val="restart"/>
                  <w:noWrap w:val="0"/>
                  <w:tcMar>
                    <w:left w:w="28" w:type="dxa"/>
                    <w:right w:w="28" w:type="dxa"/>
                  </w:tcMar>
                  <w:vAlign w:val="center"/>
                </w:tcPr>
                <w:p w14:paraId="5ADF9093">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序号</w:t>
                  </w:r>
                </w:p>
              </w:tc>
              <w:tc>
                <w:tcPr>
                  <w:tcW w:w="797" w:type="pct"/>
                  <w:vMerge w:val="restart"/>
                  <w:noWrap w:val="0"/>
                  <w:vAlign w:val="center"/>
                </w:tcPr>
                <w:p w14:paraId="4AAC3B5F">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监测点</w:t>
                  </w:r>
                </w:p>
              </w:tc>
              <w:tc>
                <w:tcPr>
                  <w:tcW w:w="500" w:type="pct"/>
                  <w:vMerge w:val="restart"/>
                  <w:noWrap w:val="0"/>
                  <w:vAlign w:val="center"/>
                </w:tcPr>
                <w:p w14:paraId="4625D1A1">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厂界</w:t>
                  </w:r>
                </w:p>
                <w:p w14:paraId="5766429F">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距离</w:t>
                  </w:r>
                </w:p>
              </w:tc>
              <w:tc>
                <w:tcPr>
                  <w:tcW w:w="956" w:type="pct"/>
                  <w:tcBorders>
                    <w:bottom w:val="single" w:color="auto" w:sz="4" w:space="0"/>
                  </w:tcBorders>
                  <w:noWrap w:val="0"/>
                  <w:vAlign w:val="center"/>
                </w:tcPr>
                <w:p w14:paraId="2BB00E2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标准限值</w:t>
                  </w:r>
                </w:p>
                <w:p w14:paraId="44257125">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dB</w:t>
                  </w:r>
                  <w:r>
                    <w:rPr>
                      <w:rFonts w:hint="eastAsia" w:cs="Times New Roman"/>
                      <w:b/>
                      <w:bCs/>
                      <w:color w:val="auto"/>
                      <w:kern w:val="0"/>
                      <w:sz w:val="21"/>
                      <w:szCs w:val="20"/>
                      <w:lang w:val="en-US" w:eastAsia="zh-CN" w:bidi="ar-SA"/>
                    </w:rPr>
                    <w:t>(</w:t>
                  </w:r>
                  <w:r>
                    <w:rPr>
                      <w:rFonts w:hint="eastAsia" w:ascii="Times New Roman" w:hAnsi="Times New Roman" w:eastAsia="宋体" w:cs="Times New Roman"/>
                      <w:b/>
                      <w:bCs/>
                      <w:color w:val="auto"/>
                      <w:kern w:val="0"/>
                      <w:sz w:val="21"/>
                      <w:szCs w:val="20"/>
                      <w:lang w:val="en-US" w:eastAsia="zh-CN" w:bidi="ar-SA"/>
                    </w:rPr>
                    <w:t>A</w:t>
                  </w:r>
                  <w:r>
                    <w:rPr>
                      <w:rFonts w:hint="eastAsia" w:cs="Times New Roman"/>
                      <w:b/>
                      <w:bCs/>
                      <w:color w:val="auto"/>
                      <w:kern w:val="0"/>
                      <w:sz w:val="21"/>
                      <w:szCs w:val="20"/>
                      <w:lang w:val="en-US" w:eastAsia="zh-CN" w:bidi="ar-SA"/>
                    </w:rPr>
                    <w:t>)</w:t>
                  </w:r>
                </w:p>
              </w:tc>
              <w:tc>
                <w:tcPr>
                  <w:tcW w:w="999" w:type="pct"/>
                  <w:tcBorders>
                    <w:bottom w:val="single" w:color="auto" w:sz="4" w:space="0"/>
                  </w:tcBorders>
                  <w:noWrap w:val="0"/>
                  <w:vAlign w:val="center"/>
                </w:tcPr>
                <w:p w14:paraId="366BB825">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hint="eastAsia" w:cs="Times New Roman"/>
                      <w:b/>
                      <w:bCs/>
                      <w:color w:val="auto"/>
                      <w:kern w:val="0"/>
                      <w:sz w:val="21"/>
                      <w:szCs w:val="20"/>
                      <w:lang w:val="en-US" w:eastAsia="zh-CN" w:bidi="ar-SA"/>
                    </w:rPr>
                    <w:t>预测</w:t>
                  </w:r>
                  <w:r>
                    <w:rPr>
                      <w:rFonts w:ascii="Times New Roman" w:hAnsi="Times New Roman" w:eastAsia="宋体" w:cs="Times New Roman"/>
                      <w:b/>
                      <w:bCs/>
                      <w:color w:val="auto"/>
                      <w:kern w:val="0"/>
                      <w:sz w:val="21"/>
                      <w:szCs w:val="20"/>
                      <w:lang w:val="en-US" w:eastAsia="zh-CN" w:bidi="ar-SA"/>
                    </w:rPr>
                    <w:t>值</w:t>
                  </w:r>
                  <w:r>
                    <w:rPr>
                      <w:rFonts w:hint="eastAsia" w:ascii="Times New Roman" w:hAnsi="Times New Roman" w:eastAsia="宋体" w:cs="Times New Roman"/>
                      <w:b/>
                      <w:bCs/>
                      <w:color w:val="auto"/>
                      <w:kern w:val="0"/>
                      <w:sz w:val="21"/>
                      <w:szCs w:val="20"/>
                      <w:lang w:val="en-US" w:eastAsia="zh-CN" w:bidi="ar-SA"/>
                    </w:rPr>
                    <w:t>dB（A）</w:t>
                  </w:r>
                </w:p>
              </w:tc>
              <w:tc>
                <w:tcPr>
                  <w:tcW w:w="1407" w:type="pct"/>
                  <w:tcBorders>
                    <w:bottom w:val="single" w:color="auto" w:sz="4" w:space="0"/>
                  </w:tcBorders>
                  <w:noWrap w:val="0"/>
                  <w:vAlign w:val="center"/>
                </w:tcPr>
                <w:p w14:paraId="6DF7C99B">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超标</w:t>
                  </w:r>
                  <w:r>
                    <w:rPr>
                      <w:rFonts w:hint="eastAsia" w:ascii="Times New Roman" w:hAnsi="Times New Roman" w:eastAsia="宋体" w:cs="Times New Roman"/>
                      <w:b/>
                      <w:bCs/>
                      <w:color w:val="auto"/>
                      <w:kern w:val="0"/>
                      <w:sz w:val="21"/>
                      <w:szCs w:val="20"/>
                      <w:lang w:val="en-US" w:eastAsia="zh-CN" w:bidi="ar-SA"/>
                    </w:rPr>
                    <w:t>/</w:t>
                  </w:r>
                  <w:r>
                    <w:rPr>
                      <w:rFonts w:ascii="Times New Roman" w:hAnsi="Times New Roman" w:eastAsia="宋体" w:cs="Times New Roman"/>
                      <w:b/>
                      <w:bCs/>
                      <w:color w:val="auto"/>
                      <w:kern w:val="0"/>
                      <w:sz w:val="21"/>
                      <w:szCs w:val="20"/>
                      <w:lang w:val="en-US" w:eastAsia="zh-CN" w:bidi="ar-SA"/>
                    </w:rPr>
                    <w:t>达标</w:t>
                  </w:r>
                </w:p>
                <w:p w14:paraId="7B23C674">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情况</w:t>
                  </w:r>
                </w:p>
              </w:tc>
            </w:tr>
            <w:tr w14:paraId="778513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54" w:hRule="atLeast"/>
              </w:trPr>
              <w:tc>
                <w:tcPr>
                  <w:tcW w:w="338" w:type="pct"/>
                  <w:vMerge w:val="continue"/>
                  <w:noWrap w:val="0"/>
                  <w:tcMar>
                    <w:left w:w="28" w:type="dxa"/>
                    <w:right w:w="28" w:type="dxa"/>
                  </w:tcMar>
                  <w:vAlign w:val="center"/>
                </w:tcPr>
                <w:p w14:paraId="471EA05C">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p>
              </w:tc>
              <w:tc>
                <w:tcPr>
                  <w:tcW w:w="797" w:type="pct"/>
                  <w:vMerge w:val="continue"/>
                  <w:noWrap w:val="0"/>
                  <w:vAlign w:val="center"/>
                </w:tcPr>
                <w:p w14:paraId="4C5E4F58">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p>
              </w:tc>
              <w:tc>
                <w:tcPr>
                  <w:tcW w:w="500" w:type="pct"/>
                  <w:vMerge w:val="continue"/>
                  <w:noWrap w:val="0"/>
                  <w:vAlign w:val="center"/>
                </w:tcPr>
                <w:p w14:paraId="616D6BA9">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p>
              </w:tc>
              <w:tc>
                <w:tcPr>
                  <w:tcW w:w="956" w:type="pct"/>
                  <w:tcBorders>
                    <w:top w:val="single" w:color="auto" w:sz="4" w:space="0"/>
                  </w:tcBorders>
                  <w:noWrap w:val="0"/>
                  <w:vAlign w:val="center"/>
                </w:tcPr>
                <w:p w14:paraId="4E76CEE2">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昼间</w:t>
                  </w:r>
                </w:p>
              </w:tc>
              <w:tc>
                <w:tcPr>
                  <w:tcW w:w="999" w:type="pct"/>
                  <w:tcBorders>
                    <w:top w:val="single" w:color="auto" w:sz="4" w:space="0"/>
                  </w:tcBorders>
                  <w:noWrap w:val="0"/>
                  <w:vAlign w:val="center"/>
                </w:tcPr>
                <w:p w14:paraId="320EA149">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昼间</w:t>
                  </w:r>
                </w:p>
              </w:tc>
              <w:tc>
                <w:tcPr>
                  <w:tcW w:w="1407" w:type="pct"/>
                  <w:tcBorders>
                    <w:top w:val="single" w:color="auto" w:sz="4" w:space="0"/>
                  </w:tcBorders>
                  <w:noWrap w:val="0"/>
                  <w:vAlign w:val="center"/>
                </w:tcPr>
                <w:p w14:paraId="5FA30D6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昼间</w:t>
                  </w:r>
                </w:p>
              </w:tc>
            </w:tr>
            <w:tr w14:paraId="324055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338" w:type="pct"/>
                  <w:noWrap w:val="0"/>
                  <w:tcMar>
                    <w:left w:w="28" w:type="dxa"/>
                    <w:right w:w="28" w:type="dxa"/>
                  </w:tcMar>
                  <w:vAlign w:val="center"/>
                </w:tcPr>
                <w:p w14:paraId="5E04F806">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1</w:t>
                  </w:r>
                </w:p>
              </w:tc>
              <w:tc>
                <w:tcPr>
                  <w:tcW w:w="797" w:type="pct"/>
                  <w:noWrap w:val="0"/>
                  <w:vAlign w:val="center"/>
                </w:tcPr>
                <w:p w14:paraId="79063160">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北侧厂界</w:t>
                  </w:r>
                </w:p>
              </w:tc>
              <w:tc>
                <w:tcPr>
                  <w:tcW w:w="500" w:type="pct"/>
                  <w:noWrap w:val="0"/>
                  <w:vAlign w:val="center"/>
                </w:tcPr>
                <w:p w14:paraId="70BBE2CF">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1m</w:t>
                  </w:r>
                </w:p>
              </w:tc>
              <w:tc>
                <w:tcPr>
                  <w:tcW w:w="956" w:type="pct"/>
                  <w:noWrap w:val="0"/>
                  <w:vAlign w:val="center"/>
                </w:tcPr>
                <w:p w14:paraId="69F316C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65</w:t>
                  </w:r>
                </w:p>
              </w:tc>
              <w:tc>
                <w:tcPr>
                  <w:tcW w:w="999" w:type="pct"/>
                  <w:noWrap w:val="0"/>
                  <w:vAlign w:val="center"/>
                </w:tcPr>
                <w:p w14:paraId="25A136C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5</w:t>
                  </w:r>
                  <w:r>
                    <w:rPr>
                      <w:rFonts w:hint="eastAsia" w:cs="Times New Roman"/>
                      <w:color w:val="auto"/>
                      <w:kern w:val="0"/>
                      <w:sz w:val="21"/>
                      <w:szCs w:val="20"/>
                      <w:lang w:val="en-US" w:eastAsia="zh-CN" w:bidi="ar-SA"/>
                    </w:rPr>
                    <w:t>9</w:t>
                  </w:r>
                  <w:r>
                    <w:rPr>
                      <w:rFonts w:hint="eastAsia" w:ascii="Times New Roman" w:hAnsi="Times New Roman" w:eastAsia="宋体" w:cs="Times New Roman"/>
                      <w:color w:val="auto"/>
                      <w:kern w:val="0"/>
                      <w:sz w:val="21"/>
                      <w:szCs w:val="20"/>
                      <w:lang w:val="en-US" w:eastAsia="zh-CN" w:bidi="ar-SA"/>
                    </w:rPr>
                    <w:t>.</w:t>
                  </w:r>
                  <w:r>
                    <w:rPr>
                      <w:rFonts w:hint="eastAsia" w:cs="Times New Roman"/>
                      <w:color w:val="auto"/>
                      <w:kern w:val="0"/>
                      <w:sz w:val="21"/>
                      <w:szCs w:val="20"/>
                      <w:lang w:val="en-US" w:eastAsia="zh-CN" w:bidi="ar-SA"/>
                    </w:rPr>
                    <w:t>87</w:t>
                  </w:r>
                </w:p>
              </w:tc>
              <w:tc>
                <w:tcPr>
                  <w:tcW w:w="1407" w:type="pct"/>
                  <w:noWrap w:val="0"/>
                  <w:vAlign w:val="center"/>
                </w:tcPr>
                <w:p w14:paraId="67F4CA32">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达标</w:t>
                  </w:r>
                </w:p>
              </w:tc>
            </w:tr>
            <w:tr w14:paraId="042332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338" w:type="pct"/>
                  <w:noWrap w:val="0"/>
                  <w:tcMar>
                    <w:left w:w="28" w:type="dxa"/>
                    <w:right w:w="28" w:type="dxa"/>
                  </w:tcMar>
                  <w:vAlign w:val="center"/>
                </w:tcPr>
                <w:p w14:paraId="7DF9A192">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2</w:t>
                  </w:r>
                </w:p>
              </w:tc>
              <w:tc>
                <w:tcPr>
                  <w:tcW w:w="797" w:type="pct"/>
                  <w:noWrap w:val="0"/>
                  <w:vAlign w:val="center"/>
                </w:tcPr>
                <w:p w14:paraId="161DC4D8">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东侧厂界</w:t>
                  </w:r>
                </w:p>
              </w:tc>
              <w:tc>
                <w:tcPr>
                  <w:tcW w:w="500" w:type="pct"/>
                  <w:noWrap w:val="0"/>
                  <w:vAlign w:val="center"/>
                </w:tcPr>
                <w:p w14:paraId="56898E4F">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1m</w:t>
                  </w:r>
                </w:p>
              </w:tc>
              <w:tc>
                <w:tcPr>
                  <w:tcW w:w="956" w:type="pct"/>
                  <w:noWrap w:val="0"/>
                  <w:vAlign w:val="center"/>
                </w:tcPr>
                <w:p w14:paraId="21095D90">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65</w:t>
                  </w:r>
                </w:p>
              </w:tc>
              <w:tc>
                <w:tcPr>
                  <w:tcW w:w="999" w:type="pct"/>
                  <w:noWrap w:val="0"/>
                  <w:vAlign w:val="center"/>
                </w:tcPr>
                <w:p w14:paraId="07A1EE0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58</w:t>
                  </w:r>
                  <w:r>
                    <w:rPr>
                      <w:rFonts w:hint="eastAsia" w:ascii="Times New Roman" w:hAnsi="Times New Roman" w:eastAsia="宋体" w:cs="Times New Roman"/>
                      <w:color w:val="auto"/>
                      <w:kern w:val="0"/>
                      <w:sz w:val="21"/>
                      <w:szCs w:val="20"/>
                      <w:lang w:val="en-US" w:eastAsia="zh-CN" w:bidi="ar-SA"/>
                    </w:rPr>
                    <w:t>.</w:t>
                  </w:r>
                  <w:r>
                    <w:rPr>
                      <w:rFonts w:hint="eastAsia" w:cs="Times New Roman"/>
                      <w:color w:val="auto"/>
                      <w:kern w:val="0"/>
                      <w:sz w:val="21"/>
                      <w:szCs w:val="20"/>
                      <w:lang w:val="en-US" w:eastAsia="zh-CN" w:bidi="ar-SA"/>
                    </w:rPr>
                    <w:t>96</w:t>
                  </w:r>
                </w:p>
              </w:tc>
              <w:tc>
                <w:tcPr>
                  <w:tcW w:w="1407" w:type="pct"/>
                  <w:noWrap w:val="0"/>
                  <w:vAlign w:val="center"/>
                </w:tcPr>
                <w:p w14:paraId="4D05A146">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达标</w:t>
                  </w:r>
                </w:p>
              </w:tc>
            </w:tr>
            <w:tr w14:paraId="764B93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338" w:type="pct"/>
                  <w:noWrap w:val="0"/>
                  <w:tcMar>
                    <w:left w:w="28" w:type="dxa"/>
                    <w:right w:w="28" w:type="dxa"/>
                  </w:tcMar>
                  <w:vAlign w:val="center"/>
                </w:tcPr>
                <w:p w14:paraId="2241B6E1">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3</w:t>
                  </w:r>
                </w:p>
              </w:tc>
              <w:tc>
                <w:tcPr>
                  <w:tcW w:w="797" w:type="pct"/>
                  <w:noWrap w:val="0"/>
                  <w:vAlign w:val="center"/>
                </w:tcPr>
                <w:p w14:paraId="719EA9FB">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南侧厂界</w:t>
                  </w:r>
                </w:p>
              </w:tc>
              <w:tc>
                <w:tcPr>
                  <w:tcW w:w="500" w:type="pct"/>
                  <w:noWrap w:val="0"/>
                  <w:vAlign w:val="center"/>
                </w:tcPr>
                <w:p w14:paraId="50C22831">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1m</w:t>
                  </w:r>
                </w:p>
              </w:tc>
              <w:tc>
                <w:tcPr>
                  <w:tcW w:w="956" w:type="pct"/>
                  <w:noWrap w:val="0"/>
                  <w:vAlign w:val="center"/>
                </w:tcPr>
                <w:p w14:paraId="449647E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65</w:t>
                  </w:r>
                </w:p>
              </w:tc>
              <w:tc>
                <w:tcPr>
                  <w:tcW w:w="999" w:type="pct"/>
                  <w:noWrap w:val="0"/>
                  <w:vAlign w:val="center"/>
                </w:tcPr>
                <w:p w14:paraId="5D7EEDF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5</w:t>
                  </w:r>
                  <w:r>
                    <w:rPr>
                      <w:rFonts w:hint="eastAsia" w:cs="Times New Roman"/>
                      <w:color w:val="auto"/>
                      <w:kern w:val="0"/>
                      <w:sz w:val="21"/>
                      <w:szCs w:val="20"/>
                      <w:lang w:val="en-US" w:eastAsia="zh-CN" w:bidi="ar-SA"/>
                    </w:rPr>
                    <w:t>8</w:t>
                  </w:r>
                  <w:r>
                    <w:rPr>
                      <w:rFonts w:hint="eastAsia" w:ascii="Times New Roman" w:hAnsi="Times New Roman" w:eastAsia="宋体" w:cs="Times New Roman"/>
                      <w:color w:val="auto"/>
                      <w:kern w:val="0"/>
                      <w:sz w:val="21"/>
                      <w:szCs w:val="20"/>
                      <w:lang w:val="en-US" w:eastAsia="zh-CN" w:bidi="ar-SA"/>
                    </w:rPr>
                    <w:t>.</w:t>
                  </w:r>
                  <w:r>
                    <w:rPr>
                      <w:rFonts w:hint="eastAsia" w:cs="Times New Roman"/>
                      <w:color w:val="auto"/>
                      <w:kern w:val="0"/>
                      <w:sz w:val="21"/>
                      <w:szCs w:val="20"/>
                      <w:lang w:val="en-US" w:eastAsia="zh-CN" w:bidi="ar-SA"/>
                    </w:rPr>
                    <w:t>65</w:t>
                  </w:r>
                </w:p>
              </w:tc>
              <w:tc>
                <w:tcPr>
                  <w:tcW w:w="1407" w:type="pct"/>
                  <w:noWrap w:val="0"/>
                  <w:vAlign w:val="center"/>
                </w:tcPr>
                <w:p w14:paraId="708F8167">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达标</w:t>
                  </w:r>
                </w:p>
              </w:tc>
            </w:tr>
            <w:tr w14:paraId="2EDDBD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65" w:hRule="atLeast"/>
              </w:trPr>
              <w:tc>
                <w:tcPr>
                  <w:tcW w:w="338" w:type="pct"/>
                  <w:noWrap w:val="0"/>
                  <w:tcMar>
                    <w:left w:w="28" w:type="dxa"/>
                    <w:right w:w="28" w:type="dxa"/>
                  </w:tcMar>
                  <w:vAlign w:val="center"/>
                </w:tcPr>
                <w:p w14:paraId="2994B456">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4</w:t>
                  </w:r>
                </w:p>
              </w:tc>
              <w:tc>
                <w:tcPr>
                  <w:tcW w:w="797" w:type="pct"/>
                  <w:noWrap w:val="0"/>
                  <w:vAlign w:val="center"/>
                </w:tcPr>
                <w:p w14:paraId="42F8B639">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西侧厂界</w:t>
                  </w:r>
                </w:p>
              </w:tc>
              <w:tc>
                <w:tcPr>
                  <w:tcW w:w="500" w:type="pct"/>
                  <w:noWrap w:val="0"/>
                  <w:vAlign w:val="center"/>
                </w:tcPr>
                <w:p w14:paraId="67A22090">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1m</w:t>
                  </w:r>
                </w:p>
              </w:tc>
              <w:tc>
                <w:tcPr>
                  <w:tcW w:w="956" w:type="pct"/>
                  <w:noWrap w:val="0"/>
                  <w:vAlign w:val="center"/>
                </w:tcPr>
                <w:p w14:paraId="2F329E8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65</w:t>
                  </w:r>
                </w:p>
              </w:tc>
              <w:tc>
                <w:tcPr>
                  <w:tcW w:w="999" w:type="pct"/>
                  <w:noWrap w:val="0"/>
                  <w:vAlign w:val="center"/>
                </w:tcPr>
                <w:p w14:paraId="5CE3E06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57</w:t>
                  </w:r>
                  <w:r>
                    <w:rPr>
                      <w:rFonts w:hint="eastAsia" w:ascii="Times New Roman" w:hAnsi="Times New Roman" w:eastAsia="宋体" w:cs="Times New Roman"/>
                      <w:color w:val="auto"/>
                      <w:kern w:val="0"/>
                      <w:sz w:val="21"/>
                      <w:szCs w:val="20"/>
                      <w:lang w:val="en-US" w:eastAsia="zh-CN" w:bidi="ar-SA"/>
                    </w:rPr>
                    <w:t>.</w:t>
                  </w:r>
                  <w:r>
                    <w:rPr>
                      <w:rFonts w:hint="eastAsia" w:cs="Times New Roman"/>
                      <w:color w:val="auto"/>
                      <w:kern w:val="0"/>
                      <w:sz w:val="21"/>
                      <w:szCs w:val="20"/>
                      <w:lang w:val="en-US" w:eastAsia="zh-CN" w:bidi="ar-SA"/>
                    </w:rPr>
                    <w:t>72</w:t>
                  </w:r>
                </w:p>
              </w:tc>
              <w:tc>
                <w:tcPr>
                  <w:tcW w:w="1407" w:type="pct"/>
                  <w:noWrap w:val="0"/>
                  <w:vAlign w:val="center"/>
                </w:tcPr>
                <w:p w14:paraId="41809FE9">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达标</w:t>
                  </w:r>
                </w:p>
              </w:tc>
            </w:tr>
          </w:tbl>
          <w:p w14:paraId="28941D77">
            <w:pPr>
              <w:pStyle w:val="5"/>
              <w:bidi w:val="0"/>
              <w:rPr>
                <w:rFonts w:hint="eastAsia" w:ascii="Times New Roman" w:hAnsi="Times New Roman"/>
                <w:color w:val="auto"/>
                <w:lang w:val="en-US" w:eastAsia="zh-CN"/>
              </w:rPr>
            </w:pPr>
            <w:r>
              <w:rPr>
                <w:rFonts w:hint="eastAsia" w:ascii="Times New Roman" w:hAnsi="Times New Roman"/>
                <w:color w:val="auto"/>
                <w:lang w:val="en-US" w:eastAsia="zh-CN"/>
              </w:rPr>
              <w:t>厂界达标分析：根据表4.3-</w:t>
            </w:r>
            <w:r>
              <w:rPr>
                <w:rFonts w:hint="eastAsia"/>
                <w:color w:val="auto"/>
                <w:lang w:val="en-US" w:eastAsia="zh-CN"/>
              </w:rPr>
              <w:t>5</w:t>
            </w:r>
            <w:r>
              <w:rPr>
                <w:rFonts w:hint="eastAsia" w:ascii="Times New Roman" w:hAnsi="Times New Roman"/>
                <w:color w:val="auto"/>
                <w:lang w:val="en-US" w:eastAsia="zh-CN"/>
              </w:rPr>
              <w:t>预测结果表明</w:t>
            </w:r>
            <w:r>
              <w:rPr>
                <w:rFonts w:hint="default" w:ascii="Times New Roman" w:hAnsi="Times New Roman" w:eastAsia="宋体" w:cs="Times New Roman"/>
                <w:color w:val="auto"/>
                <w:sz w:val="24"/>
                <w:highlight w:val="none"/>
              </w:rPr>
              <w:t>，项目主要噪声源在采取有效的降噪措施前提下，项目厂界噪声均可满足</w:t>
            </w:r>
            <w:r>
              <w:rPr>
                <w:rFonts w:hint="default" w:ascii="Times New Roman" w:hAnsi="Times New Roman" w:eastAsia="宋体" w:cs="Times New Roman"/>
                <w:color w:val="auto"/>
                <w:kern w:val="0"/>
                <w:sz w:val="24"/>
                <w:szCs w:val="24"/>
                <w:highlight w:val="none"/>
                <w:lang w:val="en-US" w:eastAsia="zh-CN" w:bidi="ar"/>
              </w:rPr>
              <w:t>《工业企业厂界环境噪声排放标准》（GB12348-2008）中的</w:t>
            </w:r>
            <w:r>
              <w:rPr>
                <w:rFonts w:hint="eastAsia" w:ascii="Times New Roman" w:hAnsi="Times New Roman" w:eastAsia="宋体" w:cs="Times New Roman"/>
                <w:color w:val="auto"/>
                <w:kern w:val="0"/>
                <w:sz w:val="24"/>
                <w:szCs w:val="24"/>
                <w:highlight w:val="none"/>
                <w:lang w:val="en-US" w:eastAsia="zh-CN" w:bidi="ar"/>
              </w:rPr>
              <w:t>3</w:t>
            </w:r>
            <w:r>
              <w:rPr>
                <w:rFonts w:hint="default" w:ascii="Times New Roman" w:hAnsi="Times New Roman" w:eastAsia="宋体" w:cs="Times New Roman"/>
                <w:color w:val="auto"/>
                <w:kern w:val="0"/>
                <w:sz w:val="24"/>
                <w:szCs w:val="24"/>
                <w:highlight w:val="none"/>
                <w:lang w:val="en-US" w:eastAsia="zh-CN" w:bidi="ar"/>
              </w:rPr>
              <w:t>类标准，即昼间≤6</w:t>
            </w:r>
            <w:r>
              <w:rPr>
                <w:rFonts w:hint="eastAsia" w:ascii="Times New Roman" w:hAnsi="Times New Roman" w:eastAsia="宋体" w:cs="Times New Roman"/>
                <w:color w:val="auto"/>
                <w:kern w:val="0"/>
                <w:sz w:val="24"/>
                <w:szCs w:val="24"/>
                <w:highlight w:val="none"/>
                <w:lang w:val="en-US" w:eastAsia="zh-CN" w:bidi="ar"/>
              </w:rPr>
              <w:t>5</w:t>
            </w:r>
            <w:r>
              <w:rPr>
                <w:rFonts w:hint="default" w:ascii="Times New Roman" w:hAnsi="Times New Roman" w:eastAsia="宋体" w:cs="Times New Roman"/>
                <w:color w:val="auto"/>
                <w:kern w:val="0"/>
                <w:sz w:val="24"/>
                <w:szCs w:val="24"/>
                <w:highlight w:val="none"/>
                <w:lang w:val="en-US" w:eastAsia="zh-CN" w:bidi="ar"/>
              </w:rPr>
              <w:t>dB(A</w:t>
            </w:r>
            <w:r>
              <w:rPr>
                <w:rFonts w:hint="eastAsia" w:cs="Times New Roman"/>
                <w:color w:val="auto"/>
                <w:kern w:val="0"/>
                <w:sz w:val="24"/>
                <w:szCs w:val="24"/>
                <w:highlight w:val="none"/>
                <w:lang w:val="en-US" w:eastAsia="zh-CN" w:bidi="ar"/>
              </w:rPr>
              <w:t>）</w:t>
            </w:r>
            <w:r>
              <w:rPr>
                <w:rFonts w:hint="eastAsia" w:ascii="Times New Roman" w:hAnsi="Times New Roman" w:eastAsia="宋体" w:cs="Times New Roman"/>
                <w:color w:val="auto"/>
                <w:kern w:val="0"/>
                <w:sz w:val="24"/>
                <w:szCs w:val="24"/>
                <w:highlight w:val="none"/>
                <w:lang w:val="en-US" w:eastAsia="zh-CN" w:bidi="ar"/>
              </w:rPr>
              <w:t>。</w:t>
            </w:r>
          </w:p>
          <w:p w14:paraId="522A432F">
            <w:pPr>
              <w:pStyle w:val="4"/>
              <w:bidi w:val="0"/>
              <w:rPr>
                <w:rFonts w:hint="eastAsia" w:ascii="Times New Roman" w:hAnsi="Times New Roman"/>
                <w:color w:val="auto"/>
                <w:lang w:val="en-US" w:eastAsia="zh-CN"/>
              </w:rPr>
            </w:pPr>
            <w:bookmarkStart w:id="91" w:name="_Toc23387"/>
            <w:r>
              <w:rPr>
                <w:rFonts w:hint="eastAsia" w:ascii="Times New Roman" w:hAnsi="Times New Roman"/>
                <w:color w:val="auto"/>
                <w:lang w:val="en-US" w:eastAsia="zh-CN"/>
              </w:rPr>
              <w:t>4.3.4声环境防治措施</w:t>
            </w:r>
            <w:bookmarkEnd w:id="91"/>
          </w:p>
          <w:p w14:paraId="424B5CF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为了确保厂界噪声达到《工业企业厂界环境噪声排放标准》</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GB 12348-2008</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中</w:t>
            </w:r>
            <w:r>
              <w:rPr>
                <w:rFonts w:hint="eastAsia" w:ascii="Times New Roman" w:hAnsi="Times New Roman" w:eastAsia="宋体" w:cs="宋体"/>
                <w:color w:val="auto"/>
                <w:kern w:val="2"/>
                <w:sz w:val="24"/>
                <w:szCs w:val="24"/>
                <w:lang w:val="en-US" w:eastAsia="zh-CN" w:bidi="ar-SA"/>
              </w:rPr>
              <w:t>3</w:t>
            </w:r>
            <w:r>
              <w:rPr>
                <w:rFonts w:hint="default" w:ascii="Times New Roman" w:hAnsi="Times New Roman" w:eastAsia="宋体" w:cs="宋体"/>
                <w:color w:val="auto"/>
                <w:kern w:val="2"/>
                <w:sz w:val="24"/>
                <w:szCs w:val="24"/>
                <w:lang w:val="en-US" w:eastAsia="zh-CN" w:bidi="ar-SA"/>
              </w:rPr>
              <w:t>类标准</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本报告建议采用以下降噪措施：</w:t>
            </w:r>
          </w:p>
          <w:p w14:paraId="6FD6956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（1）项目选用低噪声生产设备，从源头上降低噪声源强。</w:t>
            </w:r>
          </w:p>
          <w:p w14:paraId="313552EB">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（2）加强车间内的噪声治理，对</w:t>
            </w:r>
            <w:r>
              <w:rPr>
                <w:rFonts w:hint="eastAsia" w:ascii="Times New Roman" w:hAnsi="Times New Roman" w:eastAsia="宋体" w:cs="宋体"/>
                <w:color w:val="auto"/>
                <w:kern w:val="2"/>
                <w:sz w:val="24"/>
                <w:szCs w:val="24"/>
                <w:lang w:val="en-US" w:eastAsia="zh-CN" w:bidi="ar-SA"/>
              </w:rPr>
              <w:t>项目</w:t>
            </w:r>
            <w:r>
              <w:rPr>
                <w:rFonts w:hint="default" w:ascii="Times New Roman" w:hAnsi="Times New Roman" w:eastAsia="宋体" w:cs="宋体"/>
                <w:color w:val="auto"/>
                <w:kern w:val="2"/>
                <w:sz w:val="24"/>
                <w:szCs w:val="24"/>
                <w:lang w:val="en-US" w:eastAsia="zh-CN" w:bidi="ar-SA"/>
              </w:rPr>
              <w:t>建</w:t>
            </w:r>
            <w:r>
              <w:rPr>
                <w:rFonts w:hint="eastAsia" w:ascii="Times New Roman" w:hAnsi="Times New Roman" w:eastAsia="宋体" w:cs="宋体"/>
                <w:color w:val="auto"/>
                <w:kern w:val="2"/>
                <w:sz w:val="24"/>
                <w:szCs w:val="24"/>
                <w:lang w:val="en-US" w:eastAsia="zh-CN" w:bidi="ar-SA"/>
              </w:rPr>
              <w:t>成</w:t>
            </w:r>
            <w:r>
              <w:rPr>
                <w:rFonts w:hint="default" w:ascii="Times New Roman" w:hAnsi="Times New Roman" w:eastAsia="宋体" w:cs="宋体"/>
                <w:color w:val="auto"/>
                <w:kern w:val="2"/>
                <w:sz w:val="24"/>
                <w:szCs w:val="24"/>
                <w:lang w:val="en-US" w:eastAsia="zh-CN" w:bidi="ar-SA"/>
              </w:rPr>
              <w:t>后厂区高噪声设备采用隔声、消声、吸声、减振等有效措施，以有效降低车间噪声。</w:t>
            </w:r>
          </w:p>
          <w:p w14:paraId="24D070F9">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（3）加强对设备的管理和维护，在有关环保人员的统一管理下，定期检查、监测，发现噪声超标要及时治理并增加相关操作岗位工人的个体防护</w:t>
            </w:r>
            <w:r>
              <w:rPr>
                <w:rFonts w:hint="eastAsia" w:ascii="Times New Roman" w:hAnsi="Times New Roman" w:eastAsia="宋体" w:cs="宋体"/>
                <w:color w:val="auto"/>
                <w:kern w:val="2"/>
                <w:sz w:val="24"/>
                <w:szCs w:val="24"/>
                <w:lang w:val="en-US" w:eastAsia="zh-CN" w:bidi="ar-SA"/>
              </w:rPr>
              <w:t>。</w:t>
            </w:r>
          </w:p>
          <w:p w14:paraId="1D58914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（4）车辆运输物料时，在靠近居民点等对声环境质量要求较高的地方，应减小车速，禁止或尽量少鸣喇叭。</w:t>
            </w:r>
          </w:p>
          <w:p w14:paraId="73A48B4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通过以上降噪措施，有效降低设备噪声对厂界的影响程度，确保厂界噪声符合《工业企业厂界环境噪声排放标准》</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GB 12348-2008</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中</w:t>
            </w:r>
            <w:r>
              <w:rPr>
                <w:rFonts w:hint="eastAsia" w:ascii="Times New Roman" w:hAnsi="Times New Roman" w:eastAsia="宋体" w:cs="宋体"/>
                <w:color w:val="auto"/>
                <w:kern w:val="2"/>
                <w:sz w:val="24"/>
                <w:szCs w:val="24"/>
                <w:lang w:val="en-US" w:eastAsia="zh-CN" w:bidi="ar-SA"/>
              </w:rPr>
              <w:t>3</w:t>
            </w:r>
            <w:r>
              <w:rPr>
                <w:rFonts w:hint="default" w:ascii="Times New Roman" w:hAnsi="Times New Roman" w:eastAsia="宋体" w:cs="宋体"/>
                <w:color w:val="auto"/>
                <w:kern w:val="2"/>
                <w:sz w:val="24"/>
                <w:szCs w:val="24"/>
                <w:lang w:val="en-US" w:eastAsia="zh-CN" w:bidi="ar-SA"/>
              </w:rPr>
              <w:t>类标准</w:t>
            </w:r>
            <w:r>
              <w:rPr>
                <w:rFonts w:hint="eastAsia" w:cs="Times New Roman"/>
                <w:color w:val="auto"/>
                <w:sz w:val="24"/>
                <w:highlight w:val="none"/>
                <w:lang w:val="en-US" w:eastAsia="zh-CN"/>
              </w:rPr>
              <w:t>，</w:t>
            </w:r>
            <w:r>
              <w:rPr>
                <w:rFonts w:hint="default" w:ascii="Times New Roman" w:hAnsi="Times New Roman" w:eastAsia="宋体" w:cs="宋体"/>
                <w:color w:val="auto"/>
                <w:kern w:val="2"/>
                <w:sz w:val="24"/>
                <w:szCs w:val="24"/>
                <w:lang w:val="en-US" w:eastAsia="zh-CN" w:bidi="ar-SA"/>
              </w:rPr>
              <w:t>措施可行。</w:t>
            </w:r>
          </w:p>
          <w:p w14:paraId="37D68033">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92" w:name="_Toc16330"/>
            <w:r>
              <w:rPr>
                <w:rFonts w:hint="eastAsia" w:ascii="Times New Roman" w:hAnsi="Times New Roman" w:eastAsia="宋体" w:cs="Times New Roman"/>
                <w:b/>
                <w:color w:val="auto"/>
                <w:kern w:val="2"/>
                <w:sz w:val="24"/>
                <w:szCs w:val="24"/>
                <w:lang w:val="en-US" w:eastAsia="zh-CN" w:bidi="ar-SA"/>
              </w:rPr>
              <w:t>4.3.5噪声自行监测计划</w:t>
            </w:r>
            <w:bookmarkEnd w:id="92"/>
          </w:p>
          <w:p w14:paraId="1E558DC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bookmarkStart w:id="93" w:name="_Toc805"/>
            <w:bookmarkStart w:id="94" w:name="_Toc22966"/>
            <w:r>
              <w:rPr>
                <w:rFonts w:hint="default" w:ascii="Times New Roman" w:hAnsi="Times New Roman" w:eastAsia="宋体" w:cs="宋体"/>
                <w:color w:val="auto"/>
                <w:kern w:val="2"/>
                <w:sz w:val="24"/>
                <w:szCs w:val="24"/>
                <w:lang w:val="en-US" w:eastAsia="zh-CN" w:bidi="ar-SA"/>
              </w:rPr>
              <w:t>根据《固定污染源排污许可分类管理名录（2019年版）》（生态环境部第11号）可知，本项目属于</w:t>
            </w:r>
            <w:r>
              <w:rPr>
                <w:rFonts w:hint="eastAsia" w:ascii="Times New Roman" w:hAnsi="Times New Roman" w:eastAsia="宋体" w:cs="宋体"/>
                <w:color w:val="auto"/>
                <w:kern w:val="2"/>
                <w:sz w:val="24"/>
                <w:szCs w:val="24"/>
                <w:lang w:val="en-US" w:eastAsia="zh-CN" w:bidi="ar-SA"/>
              </w:rPr>
              <w:t>光学仪器制造</w:t>
            </w:r>
            <w:r>
              <w:rPr>
                <w:rFonts w:hint="default" w:ascii="Times New Roman" w:hAnsi="Times New Roman" w:eastAsia="宋体" w:cs="宋体"/>
                <w:color w:val="auto"/>
                <w:kern w:val="2"/>
                <w:sz w:val="24"/>
                <w:szCs w:val="24"/>
                <w:lang w:val="en-US" w:eastAsia="zh-CN" w:bidi="ar-SA"/>
              </w:rPr>
              <w:t>业，对应《固定污染源排污许可分类管理名录（2019年版）》中三十五、仪器仪表制造业40光学仪器制造404，见表4.1-3，年使用有机溶剂10吨以下，不涉及通用工序简化管理的。本项目应当进行登记管理，登记管理无自行监测要求。</w:t>
            </w:r>
          </w:p>
          <w:p w14:paraId="00783656">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r>
              <w:rPr>
                <w:rFonts w:hint="eastAsia" w:ascii="Times New Roman" w:hAnsi="Times New Roman" w:eastAsia="宋体" w:cs="Times New Roman"/>
                <w:b/>
                <w:color w:val="auto"/>
                <w:kern w:val="2"/>
                <w:sz w:val="28"/>
                <w:szCs w:val="24"/>
                <w:lang w:val="en-US" w:eastAsia="zh-CN" w:bidi="ar-SA"/>
              </w:rPr>
              <w:t>4.4运营期固体废物影响分析和污染防治措施</w:t>
            </w:r>
            <w:bookmarkEnd w:id="93"/>
            <w:bookmarkEnd w:id="94"/>
          </w:p>
          <w:p w14:paraId="4DAB12DC">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95" w:name="_Toc25083"/>
            <w:r>
              <w:rPr>
                <w:rFonts w:hint="eastAsia" w:ascii="Times New Roman" w:hAnsi="Times New Roman" w:eastAsia="宋体" w:cs="Times New Roman"/>
                <w:b/>
                <w:color w:val="auto"/>
                <w:kern w:val="2"/>
                <w:sz w:val="24"/>
                <w:szCs w:val="24"/>
                <w:lang w:val="en-US" w:eastAsia="zh-CN" w:bidi="ar-SA"/>
              </w:rPr>
              <w:t>4.4.1固体废物产生情况</w:t>
            </w:r>
            <w:bookmarkEnd w:id="95"/>
          </w:p>
          <w:p w14:paraId="7C72DAEE">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本项目建成之后运营期产生的固体废物包括</w:t>
            </w:r>
            <w:r>
              <w:rPr>
                <w:rFonts w:hint="eastAsia" w:ascii="Times New Roman" w:hAnsi="Times New Roman" w:eastAsia="宋体" w:cs="宋体"/>
                <w:color w:val="auto"/>
                <w:sz w:val="24"/>
                <w:szCs w:val="24"/>
                <w:lang w:val="en-US" w:eastAsia="zh-CN" w:bidi="ar-SA"/>
              </w:rPr>
              <w:t>切割工序产生的边角料、检验过程中产生的不合格品、</w:t>
            </w:r>
            <w:r>
              <w:rPr>
                <w:rFonts w:hint="eastAsia" w:ascii="Times New Roman" w:hAnsi="Times New Roman" w:eastAsia="宋体" w:cs="宋体"/>
                <w:color w:val="auto"/>
                <w:kern w:val="2"/>
                <w:sz w:val="24"/>
                <w:szCs w:val="24"/>
                <w:lang w:val="en-US" w:eastAsia="zh-CN" w:bidi="ar-SA"/>
              </w:rPr>
              <w:t>沉淀池污泥、擦拭检测产生的</w:t>
            </w:r>
            <w:r>
              <w:rPr>
                <w:rFonts w:hint="default" w:ascii="Times New Roman" w:hAnsi="Times New Roman" w:eastAsia="宋体" w:cs="宋体"/>
                <w:color w:val="auto"/>
                <w:kern w:val="2"/>
                <w:sz w:val="24"/>
                <w:szCs w:val="24"/>
                <w:lang w:val="en-US" w:eastAsia="zh-CN" w:bidi="ar-SA"/>
              </w:rPr>
              <w:t>废</w:t>
            </w:r>
            <w:r>
              <w:rPr>
                <w:rFonts w:hint="eastAsia" w:cs="宋体"/>
                <w:color w:val="auto"/>
                <w:kern w:val="2"/>
                <w:sz w:val="24"/>
                <w:szCs w:val="24"/>
                <w:lang w:val="en-US" w:eastAsia="zh-CN" w:bidi="ar-SA"/>
              </w:rPr>
              <w:t>擦拭纸</w:t>
            </w:r>
            <w:r>
              <w:rPr>
                <w:rFonts w:hint="default" w:ascii="Times New Roman" w:hAnsi="Times New Roman" w:eastAsia="宋体" w:cs="宋体"/>
                <w:color w:val="auto"/>
                <w:kern w:val="2"/>
                <w:sz w:val="24"/>
                <w:szCs w:val="24"/>
                <w:lang w:val="en-US" w:eastAsia="zh-CN" w:bidi="ar-SA"/>
              </w:rPr>
              <w:t>和废绸布、</w:t>
            </w:r>
            <w:r>
              <w:rPr>
                <w:rFonts w:hint="eastAsia" w:ascii="Times New Roman" w:hAnsi="Times New Roman" w:eastAsia="宋体" w:cs="宋体"/>
                <w:color w:val="auto"/>
                <w:kern w:val="2"/>
                <w:sz w:val="24"/>
                <w:szCs w:val="24"/>
                <w:lang w:val="en-US" w:eastAsia="zh-CN" w:bidi="ar-SA"/>
              </w:rPr>
              <w:t>使用有机溶剂后产生的废包装容器、废气治理设施产生的废活性炭</w:t>
            </w:r>
            <w:r>
              <w:rPr>
                <w:rFonts w:hint="eastAsia" w:cs="宋体"/>
                <w:color w:val="auto"/>
                <w:kern w:val="2"/>
                <w:sz w:val="24"/>
                <w:szCs w:val="24"/>
                <w:lang w:val="en-US" w:eastAsia="zh-CN" w:bidi="ar-SA"/>
              </w:rPr>
              <w:t>、</w:t>
            </w:r>
            <w:r>
              <w:rPr>
                <w:rFonts w:hint="eastAsia" w:ascii="Times New Roman" w:hAnsi="Times New Roman" w:eastAsia="宋体" w:cs="宋体"/>
                <w:color w:val="auto"/>
                <w:sz w:val="24"/>
                <w:szCs w:val="24"/>
                <w:lang w:val="en-US" w:eastAsia="zh-CN" w:bidi="ar-SA"/>
              </w:rPr>
              <w:t>废切削液</w:t>
            </w:r>
            <w:r>
              <w:rPr>
                <w:rFonts w:hint="eastAsia" w:cs="宋体"/>
                <w:color w:val="auto"/>
                <w:sz w:val="24"/>
                <w:szCs w:val="24"/>
                <w:lang w:val="en-US" w:eastAsia="zh-CN" w:bidi="ar-SA"/>
              </w:rPr>
              <w:t>（含切削液污泥）、废除油剂、废机油</w:t>
            </w:r>
            <w:r>
              <w:rPr>
                <w:rFonts w:hint="eastAsia" w:ascii="Times New Roman" w:hAnsi="Times New Roman" w:eastAsia="宋体" w:cs="宋体"/>
                <w:color w:val="auto"/>
                <w:sz w:val="24"/>
                <w:szCs w:val="24"/>
                <w:lang w:val="en-US" w:eastAsia="zh-CN" w:bidi="ar-SA"/>
              </w:rPr>
              <w:t>及员工生活垃圾。</w:t>
            </w:r>
          </w:p>
          <w:p w14:paraId="6DC28744">
            <w:pPr>
              <w:keepNext/>
              <w:keepLines/>
              <w:widowControl w:val="0"/>
              <w:bidi w:val="0"/>
              <w:spacing w:beforeLines="0" w:beforeAutospacing="0" w:afterLines="0" w:afterAutospacing="0" w:line="360" w:lineRule="auto"/>
              <w:jc w:val="left"/>
              <w:outlineLvl w:val="2"/>
              <w:rPr>
                <w:rFonts w:hint="default" w:ascii="Times New Roman" w:hAnsi="Times New Roman" w:eastAsia="宋体" w:cs="Times New Roman"/>
                <w:b/>
                <w:color w:val="auto"/>
                <w:kern w:val="2"/>
                <w:sz w:val="24"/>
                <w:szCs w:val="24"/>
                <w:lang w:val="en-US" w:eastAsia="zh-CN" w:bidi="ar-SA"/>
              </w:rPr>
            </w:pPr>
            <w:bookmarkStart w:id="96" w:name="_Toc1022"/>
            <w:r>
              <w:rPr>
                <w:rFonts w:hint="eastAsia" w:ascii="Times New Roman" w:hAnsi="Times New Roman" w:eastAsia="宋体" w:cs="Times New Roman"/>
                <w:b/>
                <w:color w:val="auto"/>
                <w:kern w:val="2"/>
                <w:sz w:val="24"/>
                <w:szCs w:val="24"/>
                <w:lang w:val="en-US" w:eastAsia="zh-CN" w:bidi="ar-SA"/>
              </w:rPr>
              <w:t>4.4.2固体废物源强核算</w:t>
            </w:r>
            <w:bookmarkEnd w:id="96"/>
          </w:p>
          <w:p w14:paraId="3E155E71">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（1）抛光残渣</w:t>
            </w:r>
          </w:p>
          <w:p w14:paraId="0DB8F4D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本项目抛光过程中会产生抛光残渣，产生量为</w:t>
            </w:r>
            <w:r>
              <w:rPr>
                <w:rFonts w:hint="eastAsia" w:cs="宋体"/>
                <w:color w:val="auto"/>
                <w:kern w:val="2"/>
                <w:sz w:val="24"/>
                <w:szCs w:val="24"/>
                <w:lang w:val="en-US" w:eastAsia="zh-CN" w:bidi="ar-SA"/>
              </w:rPr>
              <w:t>0.4</w:t>
            </w:r>
            <w:r>
              <w:rPr>
                <w:rFonts w:hint="default" w:ascii="Times New Roman" w:hAnsi="Times New Roman" w:eastAsia="宋体" w:cs="宋体"/>
                <w:color w:val="auto"/>
                <w:kern w:val="2"/>
                <w:sz w:val="24"/>
                <w:szCs w:val="24"/>
                <w:lang w:val="en-US" w:eastAsia="zh-CN" w:bidi="ar-SA"/>
              </w:rPr>
              <w:t>t/a，属于一般工业固废，且回收可利用价值高，经收集后出售给回收企业综合利用。</w:t>
            </w:r>
          </w:p>
          <w:p w14:paraId="5A43AC3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（2）废边角料</w:t>
            </w:r>
          </w:p>
          <w:p w14:paraId="6AD6316D">
            <w:pPr>
              <w:widowControl w:val="0"/>
              <w:bidi w:val="0"/>
              <w:spacing w:line="360" w:lineRule="auto"/>
              <w:ind w:firstLine="480" w:firstLineChars="200"/>
              <w:jc w:val="left"/>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项目在磨边过程中会产生废边角料，产生量为</w:t>
            </w:r>
            <w:r>
              <w:rPr>
                <w:rFonts w:hint="eastAsia" w:ascii="Times New Roman" w:hAnsi="Times New Roman" w:eastAsia="宋体" w:cs="宋体"/>
                <w:color w:val="auto"/>
                <w:kern w:val="2"/>
                <w:sz w:val="24"/>
                <w:szCs w:val="24"/>
                <w:lang w:val="en-US" w:eastAsia="zh-CN" w:bidi="ar-SA"/>
              </w:rPr>
              <w:t>0.</w:t>
            </w:r>
            <w:r>
              <w:rPr>
                <w:rFonts w:hint="eastAsia" w:cs="宋体"/>
                <w:color w:val="auto"/>
                <w:kern w:val="2"/>
                <w:sz w:val="24"/>
                <w:szCs w:val="24"/>
                <w:lang w:val="en-US" w:eastAsia="zh-CN" w:bidi="ar-SA"/>
              </w:rPr>
              <w:t>5</w:t>
            </w:r>
            <w:r>
              <w:rPr>
                <w:rFonts w:hint="default" w:ascii="Times New Roman" w:hAnsi="Times New Roman" w:eastAsia="宋体" w:cs="宋体"/>
                <w:color w:val="auto"/>
                <w:kern w:val="2"/>
                <w:sz w:val="24"/>
                <w:szCs w:val="24"/>
                <w:lang w:val="en-US" w:eastAsia="zh-CN" w:bidi="ar-SA"/>
              </w:rPr>
              <w:t>t/a，属于一般工业固废，回收可利用价值高，经收集后出售给回收企业综合利用。</w:t>
            </w:r>
          </w:p>
          <w:p w14:paraId="5BEAE29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（3）沉淀池污泥</w:t>
            </w:r>
          </w:p>
          <w:p w14:paraId="4704265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污泥产生量为</w:t>
            </w:r>
            <w:r>
              <w:rPr>
                <w:rFonts w:hint="eastAsia" w:cs="宋体"/>
                <w:color w:val="auto"/>
                <w:kern w:val="2"/>
                <w:sz w:val="24"/>
                <w:szCs w:val="24"/>
                <w:lang w:val="en-US" w:eastAsia="zh-CN" w:bidi="ar-SA"/>
              </w:rPr>
              <w:t>1.5</w:t>
            </w:r>
            <w:r>
              <w:rPr>
                <w:rFonts w:hint="eastAsia" w:ascii="Times New Roman" w:hAnsi="Times New Roman" w:eastAsia="宋体" w:cs="宋体"/>
                <w:color w:val="auto"/>
                <w:kern w:val="2"/>
                <w:sz w:val="24"/>
                <w:szCs w:val="24"/>
                <w:lang w:val="en-US" w:eastAsia="zh-CN" w:bidi="ar-SA"/>
              </w:rPr>
              <w:t>t/a，沉淀池污泥定期进行清掏，并由当地环卫部门统一清运处理</w:t>
            </w:r>
            <w:r>
              <w:rPr>
                <w:rFonts w:hint="default" w:ascii="Times New Roman" w:hAnsi="Times New Roman" w:eastAsia="宋体" w:cs="宋体"/>
                <w:color w:val="auto"/>
                <w:kern w:val="2"/>
                <w:sz w:val="24"/>
                <w:szCs w:val="24"/>
                <w:lang w:val="en-US" w:eastAsia="zh-CN" w:bidi="ar-SA"/>
              </w:rPr>
              <w:t>。</w:t>
            </w:r>
          </w:p>
          <w:p w14:paraId="2D677CB1">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（4）不合格产品</w:t>
            </w:r>
          </w:p>
          <w:p w14:paraId="54E3389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本项目在经过人工观察检测</w:t>
            </w:r>
            <w:r>
              <w:rPr>
                <w:rFonts w:hint="eastAsia" w:ascii="Times New Roman" w:hAnsi="Times New Roman" w:eastAsia="宋体" w:cs="宋体"/>
                <w:color w:val="auto"/>
                <w:kern w:val="2"/>
                <w:sz w:val="24"/>
                <w:szCs w:val="24"/>
                <w:lang w:val="en-US" w:eastAsia="zh-CN" w:bidi="ar-SA"/>
              </w:rPr>
              <w:t>后会</w:t>
            </w:r>
            <w:r>
              <w:rPr>
                <w:rFonts w:hint="default" w:ascii="Times New Roman" w:hAnsi="Times New Roman" w:eastAsia="宋体" w:cs="宋体"/>
                <w:color w:val="auto"/>
                <w:kern w:val="2"/>
                <w:sz w:val="24"/>
                <w:szCs w:val="24"/>
                <w:lang w:val="en-US" w:eastAsia="zh-CN" w:bidi="ar-SA"/>
              </w:rPr>
              <w:t>淘汰掉不符合预期的镜片，不合格产品产生量</w:t>
            </w:r>
            <w:r>
              <w:rPr>
                <w:rFonts w:hint="eastAsia" w:ascii="Times New Roman" w:hAnsi="Times New Roman" w:eastAsia="宋体" w:cs="宋体"/>
                <w:color w:val="auto"/>
                <w:kern w:val="2"/>
                <w:sz w:val="24"/>
                <w:szCs w:val="24"/>
                <w:lang w:val="en-US" w:eastAsia="zh-CN" w:bidi="ar-SA"/>
              </w:rPr>
              <w:t>1</w:t>
            </w:r>
            <w:r>
              <w:rPr>
                <w:rFonts w:hint="eastAsia" w:cs="宋体"/>
                <w:color w:val="auto"/>
                <w:kern w:val="2"/>
                <w:sz w:val="24"/>
                <w:szCs w:val="24"/>
                <w:lang w:val="en-US" w:eastAsia="zh-CN" w:bidi="ar-SA"/>
              </w:rPr>
              <w:t>.0</w:t>
            </w:r>
            <w:r>
              <w:rPr>
                <w:rFonts w:hint="default" w:ascii="Times New Roman" w:hAnsi="Times New Roman" w:eastAsia="宋体" w:cs="宋体"/>
                <w:color w:val="auto"/>
                <w:kern w:val="2"/>
                <w:sz w:val="24"/>
                <w:szCs w:val="24"/>
                <w:lang w:val="en-US" w:eastAsia="zh-CN" w:bidi="ar-SA"/>
              </w:rPr>
              <w:t>t/a，属于一般工业固废，且回收可利用价值高，经收集后出售给回收企业综合利用。</w:t>
            </w:r>
          </w:p>
          <w:p w14:paraId="61A1980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（5）废活性炭</w:t>
            </w:r>
          </w:p>
          <w:p w14:paraId="02C92DB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废活性炭：项目废气处理设施采用</w:t>
            </w:r>
            <w:r>
              <w:rPr>
                <w:rFonts w:hint="eastAsia" w:ascii="Times New Roman" w:hAnsi="Times New Roman" w:eastAsia="宋体" w:cs="宋体"/>
                <w:color w:val="auto"/>
                <w:kern w:val="2"/>
                <w:sz w:val="24"/>
                <w:szCs w:val="24"/>
                <w:lang w:val="en-US" w:eastAsia="zh-CN" w:bidi="ar-SA"/>
              </w:rPr>
              <w:t>二级活性炭吸附装置</w:t>
            </w:r>
            <w:r>
              <w:rPr>
                <w:rFonts w:hint="default" w:ascii="Times New Roman" w:hAnsi="Times New Roman" w:eastAsia="宋体" w:cs="宋体"/>
                <w:color w:val="auto"/>
                <w:kern w:val="2"/>
                <w:sz w:val="24"/>
                <w:szCs w:val="24"/>
                <w:lang w:val="en-US" w:eastAsia="zh-CN" w:bidi="ar-SA"/>
              </w:rPr>
              <w:t>，根据中国建筑出版社（1997）出版的《简明通风设计手册》第十章中关于活性吸附处理治理废气的方法中提供的数据：每1.0kg活性炭吸附有机废气的平衡量为0.43～</w:t>
            </w:r>
            <w:r>
              <w:rPr>
                <w:rFonts w:hint="eastAsia" w:cs="宋体"/>
                <w:color w:val="auto"/>
                <w:kern w:val="2"/>
                <w:sz w:val="24"/>
                <w:szCs w:val="24"/>
                <w:lang w:val="en-US" w:eastAsia="zh-CN" w:bidi="ar-SA"/>
              </w:rPr>
              <w:t>1.2</w:t>
            </w:r>
            <w:r>
              <w:rPr>
                <w:rFonts w:hint="default" w:ascii="Times New Roman" w:hAnsi="Times New Roman" w:eastAsia="宋体" w:cs="宋体"/>
                <w:color w:val="auto"/>
                <w:kern w:val="2"/>
                <w:sz w:val="24"/>
                <w:szCs w:val="24"/>
                <w:lang w:val="en-US" w:eastAsia="zh-CN" w:bidi="ar-SA"/>
              </w:rPr>
              <w:t>1kg，本项目按1t活性炭吸附0.5t有机废气计算，根据前文产排污分析可知，吸收有机废气量约为</w:t>
            </w:r>
            <w:r>
              <w:rPr>
                <w:rFonts w:hint="eastAsia" w:cs="宋体"/>
                <w:color w:val="auto"/>
                <w:kern w:val="2"/>
                <w:sz w:val="24"/>
                <w:szCs w:val="24"/>
                <w:lang w:val="en-US" w:eastAsia="zh-CN" w:bidi="ar-SA"/>
              </w:rPr>
              <w:t>0.2476</w:t>
            </w:r>
            <w:r>
              <w:rPr>
                <w:rFonts w:hint="default" w:ascii="Times New Roman" w:hAnsi="Times New Roman" w:eastAsia="宋体" w:cs="宋体"/>
                <w:color w:val="auto"/>
                <w:kern w:val="2"/>
                <w:sz w:val="24"/>
                <w:szCs w:val="24"/>
                <w:lang w:val="en-US" w:eastAsia="zh-CN" w:bidi="ar-SA"/>
              </w:rPr>
              <w:t>t/a，则预计项目年消耗活性炭量为</w:t>
            </w:r>
            <w:r>
              <w:rPr>
                <w:rFonts w:hint="eastAsia" w:cs="宋体"/>
                <w:color w:val="auto"/>
                <w:kern w:val="2"/>
                <w:sz w:val="24"/>
                <w:szCs w:val="24"/>
                <w:lang w:val="en-US" w:eastAsia="zh-CN" w:bidi="ar-SA"/>
              </w:rPr>
              <w:t>0.4952</w:t>
            </w:r>
            <w:r>
              <w:rPr>
                <w:rFonts w:hint="default" w:ascii="Times New Roman" w:hAnsi="Times New Roman" w:eastAsia="宋体" w:cs="宋体"/>
                <w:color w:val="auto"/>
                <w:kern w:val="2"/>
                <w:sz w:val="24"/>
                <w:szCs w:val="24"/>
                <w:lang w:val="en-US" w:eastAsia="zh-CN" w:bidi="ar-SA"/>
              </w:rPr>
              <w:t>t，则项目每年产生的废活性炭吸附饱和物量约为</w:t>
            </w:r>
            <w:r>
              <w:rPr>
                <w:rFonts w:hint="eastAsia" w:cs="宋体"/>
                <w:color w:val="auto"/>
                <w:kern w:val="2"/>
                <w:sz w:val="24"/>
                <w:szCs w:val="24"/>
                <w:lang w:val="en-US" w:eastAsia="zh-CN" w:bidi="ar-SA"/>
              </w:rPr>
              <w:t>0.7428</w:t>
            </w:r>
            <w:r>
              <w:rPr>
                <w:rFonts w:hint="default" w:ascii="Times New Roman" w:hAnsi="Times New Roman" w:eastAsia="宋体" w:cs="宋体"/>
                <w:color w:val="auto"/>
                <w:kern w:val="2"/>
                <w:sz w:val="24"/>
                <w:szCs w:val="24"/>
                <w:lang w:val="en-US" w:eastAsia="zh-CN" w:bidi="ar-SA"/>
              </w:rPr>
              <w:t>t/a，项目计划每两个月更换一次活性炭吸附填料，确保项目有机废气达标排放，则废弃活性炭吸附饱和物年生产量约为</w:t>
            </w:r>
            <w:r>
              <w:rPr>
                <w:rFonts w:hint="eastAsia" w:cs="宋体"/>
                <w:color w:val="auto"/>
                <w:kern w:val="2"/>
                <w:sz w:val="24"/>
                <w:szCs w:val="24"/>
                <w:lang w:val="en-US" w:eastAsia="zh-CN" w:bidi="ar-SA"/>
              </w:rPr>
              <w:t>0.7428</w:t>
            </w:r>
            <w:r>
              <w:rPr>
                <w:rFonts w:hint="default" w:ascii="Times New Roman" w:hAnsi="Times New Roman" w:eastAsia="宋体" w:cs="宋体"/>
                <w:color w:val="auto"/>
                <w:kern w:val="2"/>
                <w:sz w:val="24"/>
                <w:szCs w:val="24"/>
                <w:lang w:val="en-US" w:eastAsia="zh-CN" w:bidi="ar-SA"/>
              </w:rPr>
              <w:t>t/a。根据</w:t>
            </w:r>
            <w:r>
              <w:rPr>
                <w:rFonts w:hint="eastAsia" w:ascii="Times New Roman" w:hAnsi="Times New Roman" w:eastAsia="宋体" w:cs="宋体"/>
                <w:color w:val="auto"/>
                <w:kern w:val="2"/>
                <w:sz w:val="24"/>
                <w:szCs w:val="24"/>
                <w:lang w:val="en-US" w:eastAsia="zh-CN" w:bidi="ar-SA"/>
              </w:rPr>
              <w:t>《国家危险废物名录》（2025年版）</w:t>
            </w:r>
            <w:r>
              <w:rPr>
                <w:rFonts w:hint="default" w:ascii="Times New Roman" w:hAnsi="Times New Roman" w:eastAsia="宋体" w:cs="宋体"/>
                <w:color w:val="auto"/>
                <w:kern w:val="2"/>
                <w:sz w:val="24"/>
                <w:szCs w:val="24"/>
                <w:lang w:val="en-US" w:eastAsia="zh-CN" w:bidi="ar-SA"/>
              </w:rPr>
              <w:t>，废弃活性炭吸附饱和物属于危险废物，废物类别为HW49其他废物，废物代码900-039-49。妥善收集后暂存至</w:t>
            </w:r>
            <w:r>
              <w:rPr>
                <w:rFonts w:hint="eastAsia" w:cs="宋体"/>
                <w:color w:val="auto"/>
                <w:kern w:val="2"/>
                <w:sz w:val="24"/>
                <w:szCs w:val="24"/>
                <w:lang w:val="en-US" w:eastAsia="zh-CN" w:bidi="ar-SA"/>
              </w:rPr>
              <w:t>危险废物</w:t>
            </w:r>
            <w:r>
              <w:rPr>
                <w:rFonts w:hint="eastAsia" w:ascii="Times New Roman" w:hAnsi="Times New Roman" w:eastAsia="宋体" w:cs="宋体"/>
                <w:color w:val="auto"/>
                <w:kern w:val="2"/>
                <w:sz w:val="24"/>
                <w:szCs w:val="24"/>
                <w:lang w:val="en-US" w:eastAsia="zh-CN" w:bidi="ar-SA"/>
              </w:rPr>
              <w:t>贮存库</w:t>
            </w:r>
            <w:r>
              <w:rPr>
                <w:rFonts w:hint="default" w:ascii="Times New Roman" w:hAnsi="Times New Roman" w:eastAsia="宋体" w:cs="宋体"/>
                <w:color w:val="auto"/>
                <w:kern w:val="2"/>
                <w:sz w:val="24"/>
                <w:szCs w:val="24"/>
                <w:lang w:val="en-US" w:eastAsia="zh-CN" w:bidi="ar-SA"/>
              </w:rPr>
              <w:t>中，定期委托有</w:t>
            </w:r>
            <w:r>
              <w:rPr>
                <w:rFonts w:hint="eastAsia" w:cs="宋体"/>
                <w:color w:val="auto"/>
                <w:kern w:val="2"/>
                <w:sz w:val="24"/>
                <w:szCs w:val="24"/>
                <w:lang w:val="en-US" w:eastAsia="zh-CN" w:bidi="ar-SA"/>
              </w:rPr>
              <w:t>危险废物</w:t>
            </w:r>
            <w:r>
              <w:rPr>
                <w:rFonts w:hint="default" w:ascii="Times New Roman" w:hAnsi="Times New Roman" w:eastAsia="宋体" w:cs="宋体"/>
                <w:color w:val="auto"/>
                <w:kern w:val="2"/>
                <w:sz w:val="24"/>
                <w:szCs w:val="24"/>
                <w:lang w:val="en-US" w:eastAsia="zh-CN" w:bidi="ar-SA"/>
              </w:rPr>
              <w:t>处置资质单位进行处理。</w:t>
            </w:r>
          </w:p>
          <w:p w14:paraId="07076326">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（6）废绸布和废</w:t>
            </w:r>
            <w:r>
              <w:rPr>
                <w:rFonts w:hint="eastAsia" w:cs="宋体"/>
                <w:color w:val="auto"/>
                <w:kern w:val="2"/>
                <w:sz w:val="24"/>
                <w:szCs w:val="24"/>
                <w:lang w:val="en-US" w:eastAsia="zh-CN" w:bidi="ar-SA"/>
              </w:rPr>
              <w:t>擦拭纸</w:t>
            </w:r>
          </w:p>
          <w:p w14:paraId="0D36C75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检测擦拭过程中检测人员将绸布和</w:t>
            </w:r>
            <w:r>
              <w:rPr>
                <w:rFonts w:hint="eastAsia" w:cs="宋体"/>
                <w:color w:val="auto"/>
                <w:kern w:val="2"/>
                <w:sz w:val="24"/>
                <w:szCs w:val="24"/>
                <w:lang w:val="en-US" w:eastAsia="zh-CN" w:bidi="ar-SA"/>
              </w:rPr>
              <w:t>擦拭纸</w:t>
            </w:r>
            <w:r>
              <w:rPr>
                <w:rFonts w:hint="default" w:ascii="Times New Roman" w:hAnsi="Times New Roman" w:eastAsia="宋体" w:cs="宋体"/>
                <w:color w:val="auto"/>
                <w:kern w:val="2"/>
                <w:sz w:val="24"/>
                <w:szCs w:val="24"/>
                <w:lang w:val="en-US" w:eastAsia="zh-CN" w:bidi="ar-SA"/>
              </w:rPr>
              <w:t>沾有机助剂在镜片上擦拭，对照</w:t>
            </w:r>
            <w:r>
              <w:rPr>
                <w:rFonts w:hint="eastAsia" w:ascii="Times New Roman" w:hAnsi="Times New Roman" w:eastAsia="宋体" w:cs="宋体"/>
                <w:color w:val="auto"/>
                <w:kern w:val="2"/>
                <w:sz w:val="24"/>
                <w:szCs w:val="24"/>
                <w:lang w:val="en-US" w:eastAsia="zh-CN" w:bidi="ar-SA"/>
              </w:rPr>
              <w:t>《国家危险废物名录》（2025年版）</w:t>
            </w:r>
            <w:r>
              <w:rPr>
                <w:rFonts w:hint="default" w:ascii="Times New Roman" w:hAnsi="Times New Roman" w:eastAsia="宋体" w:cs="宋体"/>
                <w:color w:val="auto"/>
                <w:kern w:val="2"/>
                <w:sz w:val="24"/>
                <w:szCs w:val="24"/>
                <w:lang w:val="en-US" w:eastAsia="zh-CN" w:bidi="ar-SA"/>
              </w:rPr>
              <w:t>中所列的危险</w:t>
            </w:r>
            <w:r>
              <w:rPr>
                <w:rFonts w:hint="eastAsia" w:ascii="Times New Roman" w:hAnsi="Times New Roman" w:eastAsia="宋体" w:cs="宋体"/>
                <w:color w:val="auto"/>
                <w:kern w:val="2"/>
                <w:sz w:val="24"/>
                <w:szCs w:val="24"/>
                <w:lang w:val="en-US" w:eastAsia="zh-CN" w:bidi="ar-SA"/>
              </w:rPr>
              <w:t>废物</w:t>
            </w:r>
            <w:r>
              <w:rPr>
                <w:rFonts w:hint="default" w:ascii="Times New Roman" w:hAnsi="Times New Roman" w:eastAsia="宋体" w:cs="宋体"/>
                <w:color w:val="auto"/>
                <w:kern w:val="2"/>
                <w:sz w:val="24"/>
                <w:szCs w:val="24"/>
                <w:lang w:val="en-US" w:eastAsia="zh-CN" w:bidi="ar-SA"/>
              </w:rPr>
              <w:t>，废绸布和废</w:t>
            </w:r>
            <w:r>
              <w:rPr>
                <w:rFonts w:hint="eastAsia" w:cs="宋体"/>
                <w:color w:val="auto"/>
                <w:kern w:val="2"/>
                <w:sz w:val="24"/>
                <w:szCs w:val="24"/>
                <w:lang w:val="en-US" w:eastAsia="zh-CN" w:bidi="ar-SA"/>
              </w:rPr>
              <w:t>擦拭纸</w:t>
            </w:r>
            <w:r>
              <w:rPr>
                <w:rFonts w:hint="eastAsia" w:ascii="Times New Roman" w:hAnsi="Times New Roman" w:eastAsia="宋体" w:cs="宋体"/>
                <w:color w:val="auto"/>
                <w:kern w:val="2"/>
                <w:sz w:val="24"/>
                <w:szCs w:val="24"/>
                <w:lang w:val="en-US" w:eastAsia="zh-CN" w:bidi="ar-SA"/>
              </w:rPr>
              <w:t>废物类别为</w:t>
            </w:r>
            <w:r>
              <w:rPr>
                <w:rFonts w:hint="default" w:ascii="Times New Roman" w:hAnsi="Times New Roman" w:eastAsia="宋体" w:cs="宋体"/>
                <w:color w:val="auto"/>
                <w:kern w:val="2"/>
                <w:sz w:val="24"/>
                <w:szCs w:val="24"/>
                <w:lang w:val="en-US" w:eastAsia="zh-CN" w:bidi="ar-SA"/>
              </w:rPr>
              <w:t>HW49其他废物</w:t>
            </w:r>
            <w:r>
              <w:rPr>
                <w:rFonts w:hint="eastAsia" w:ascii="Times New Roman" w:hAnsi="Times New Roman" w:eastAsia="宋体" w:cs="宋体"/>
                <w:color w:val="auto"/>
                <w:kern w:val="2"/>
                <w:sz w:val="24"/>
                <w:szCs w:val="24"/>
                <w:lang w:val="en-US" w:eastAsia="zh-CN" w:bidi="ar-SA"/>
              </w:rPr>
              <w:t>，废物代码</w:t>
            </w:r>
            <w:r>
              <w:rPr>
                <w:rFonts w:hint="default" w:ascii="Times New Roman" w:hAnsi="Times New Roman" w:eastAsia="宋体" w:cs="宋体"/>
                <w:color w:val="auto"/>
                <w:kern w:val="2"/>
                <w:sz w:val="24"/>
                <w:szCs w:val="24"/>
                <w:lang w:val="en-US" w:eastAsia="zh-CN" w:bidi="ar-SA"/>
              </w:rPr>
              <w:t>900-041-49，</w:t>
            </w:r>
            <w:r>
              <w:rPr>
                <w:rFonts w:hint="eastAsia" w:ascii="Times New Roman" w:hAnsi="Times New Roman" w:eastAsia="宋体" w:cs="宋体"/>
                <w:color w:val="auto"/>
                <w:kern w:val="2"/>
                <w:sz w:val="24"/>
                <w:szCs w:val="24"/>
                <w:lang w:val="en-US" w:eastAsia="zh-CN" w:bidi="ar-SA"/>
              </w:rPr>
              <w:t>妥善</w:t>
            </w:r>
            <w:r>
              <w:rPr>
                <w:rFonts w:hint="default" w:ascii="Times New Roman" w:hAnsi="Times New Roman" w:eastAsia="宋体" w:cs="宋体"/>
                <w:color w:val="auto"/>
                <w:kern w:val="2"/>
                <w:sz w:val="24"/>
                <w:szCs w:val="24"/>
                <w:lang w:val="en-US" w:eastAsia="zh-CN" w:bidi="ar-SA"/>
              </w:rPr>
              <w:t>收集后临时储存于危险废物暂存间，</w:t>
            </w:r>
            <w:r>
              <w:rPr>
                <w:rFonts w:hint="eastAsia" w:ascii="Times New Roman" w:hAnsi="Times New Roman" w:eastAsia="宋体" w:cs="宋体"/>
                <w:color w:val="auto"/>
                <w:kern w:val="2"/>
                <w:sz w:val="24"/>
                <w:szCs w:val="24"/>
                <w:lang w:val="en-US" w:eastAsia="zh-CN" w:bidi="ar-SA"/>
              </w:rPr>
              <w:t>定期</w:t>
            </w:r>
            <w:r>
              <w:rPr>
                <w:rFonts w:hint="default" w:ascii="Times New Roman" w:hAnsi="Times New Roman" w:eastAsia="宋体" w:cs="宋体"/>
                <w:color w:val="auto"/>
                <w:kern w:val="2"/>
                <w:sz w:val="24"/>
                <w:szCs w:val="24"/>
                <w:lang w:val="en-US" w:eastAsia="zh-CN" w:bidi="ar-SA"/>
              </w:rPr>
              <w:t>委托有资质的</w:t>
            </w:r>
            <w:r>
              <w:rPr>
                <w:rFonts w:hint="eastAsia" w:ascii="Times New Roman" w:hAnsi="Times New Roman" w:eastAsia="宋体" w:cs="宋体"/>
                <w:color w:val="auto"/>
                <w:kern w:val="2"/>
                <w:sz w:val="24"/>
                <w:szCs w:val="24"/>
                <w:lang w:val="en-US" w:eastAsia="zh-CN" w:bidi="ar-SA"/>
              </w:rPr>
              <w:t>单位</w:t>
            </w:r>
            <w:r>
              <w:rPr>
                <w:rFonts w:hint="default" w:ascii="Times New Roman" w:hAnsi="Times New Roman" w:eastAsia="宋体" w:cs="宋体"/>
                <w:color w:val="auto"/>
                <w:kern w:val="2"/>
                <w:sz w:val="24"/>
                <w:szCs w:val="24"/>
                <w:lang w:val="en-US" w:eastAsia="zh-CN" w:bidi="ar-SA"/>
              </w:rPr>
              <w:t>处理处置。废绸布和废</w:t>
            </w:r>
            <w:r>
              <w:rPr>
                <w:rFonts w:hint="eastAsia" w:cs="宋体"/>
                <w:color w:val="auto"/>
                <w:kern w:val="2"/>
                <w:sz w:val="24"/>
                <w:szCs w:val="24"/>
                <w:lang w:val="en-US" w:eastAsia="zh-CN" w:bidi="ar-SA"/>
              </w:rPr>
              <w:t>擦拭纸</w:t>
            </w:r>
            <w:r>
              <w:rPr>
                <w:rFonts w:hint="default" w:ascii="Times New Roman" w:hAnsi="Times New Roman" w:eastAsia="宋体" w:cs="宋体"/>
                <w:color w:val="auto"/>
                <w:kern w:val="2"/>
                <w:sz w:val="24"/>
                <w:szCs w:val="24"/>
                <w:lang w:val="en-US" w:eastAsia="zh-CN" w:bidi="ar-SA"/>
              </w:rPr>
              <w:t>产生量为0.0</w:t>
            </w:r>
            <w:r>
              <w:rPr>
                <w:rFonts w:hint="eastAsia" w:cs="宋体"/>
                <w:color w:val="auto"/>
                <w:kern w:val="2"/>
                <w:sz w:val="24"/>
                <w:szCs w:val="24"/>
                <w:lang w:val="en-US" w:eastAsia="zh-CN" w:bidi="ar-SA"/>
              </w:rPr>
              <w:t>0</w:t>
            </w:r>
            <w:r>
              <w:rPr>
                <w:rFonts w:hint="eastAsia" w:ascii="Times New Roman" w:hAnsi="Times New Roman" w:eastAsia="宋体" w:cs="宋体"/>
                <w:color w:val="auto"/>
                <w:kern w:val="2"/>
                <w:sz w:val="24"/>
                <w:szCs w:val="24"/>
                <w:lang w:val="en-US" w:eastAsia="zh-CN" w:bidi="ar-SA"/>
              </w:rPr>
              <w:t>5</w:t>
            </w:r>
            <w:r>
              <w:rPr>
                <w:rFonts w:hint="default" w:ascii="Times New Roman" w:hAnsi="Times New Roman" w:eastAsia="宋体" w:cs="宋体"/>
                <w:color w:val="auto"/>
                <w:kern w:val="2"/>
                <w:sz w:val="24"/>
                <w:szCs w:val="24"/>
                <w:lang w:val="en-US" w:eastAsia="zh-CN" w:bidi="ar-SA"/>
              </w:rPr>
              <w:t>t/a。</w:t>
            </w:r>
          </w:p>
          <w:p w14:paraId="7FCCE0E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（7）废包装容器</w:t>
            </w:r>
          </w:p>
          <w:p w14:paraId="2417440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废包装容器</w:t>
            </w:r>
            <w:r>
              <w:rPr>
                <w:rFonts w:hint="default" w:ascii="Times New Roman" w:hAnsi="Times New Roman" w:eastAsia="宋体" w:cs="宋体"/>
                <w:color w:val="auto"/>
                <w:kern w:val="2"/>
                <w:sz w:val="24"/>
                <w:szCs w:val="24"/>
                <w:lang w:val="en-US" w:eastAsia="zh-CN" w:bidi="ar-SA"/>
              </w:rPr>
              <w:t>主要是使用完乙醇、乙醚、丙酮等有机溶剂的空玻璃瓶，</w:t>
            </w:r>
            <w:r>
              <w:rPr>
                <w:rFonts w:hint="eastAsia" w:ascii="Times New Roman" w:hAnsi="Times New Roman" w:eastAsia="宋体" w:cs="宋体"/>
                <w:color w:val="auto"/>
                <w:kern w:val="2"/>
                <w:sz w:val="24"/>
                <w:szCs w:val="24"/>
                <w:lang w:val="en-US" w:eastAsia="zh-CN" w:bidi="ar-SA"/>
              </w:rPr>
              <w:t>超洗药水的塑料桶</w:t>
            </w:r>
            <w:r>
              <w:rPr>
                <w:rFonts w:hint="eastAsia" w:cs="宋体"/>
                <w:color w:val="auto"/>
                <w:kern w:val="2"/>
                <w:sz w:val="24"/>
                <w:szCs w:val="24"/>
                <w:lang w:val="en-US" w:eastAsia="zh-CN" w:bidi="ar-SA"/>
              </w:rPr>
              <w:t>等废包装容器</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本项目</w:t>
            </w:r>
            <w:r>
              <w:rPr>
                <w:rFonts w:hint="eastAsia" w:ascii="Times New Roman" w:hAnsi="Times New Roman" w:eastAsia="宋体" w:cs="宋体"/>
                <w:color w:val="auto"/>
                <w:kern w:val="2"/>
                <w:sz w:val="24"/>
                <w:szCs w:val="24"/>
                <w:lang w:val="en-US" w:eastAsia="zh-CN" w:bidi="ar-SA"/>
              </w:rPr>
              <w:t>废包装容器</w:t>
            </w:r>
            <w:r>
              <w:rPr>
                <w:rFonts w:hint="default" w:ascii="Times New Roman" w:hAnsi="Times New Roman" w:eastAsia="宋体" w:cs="宋体"/>
                <w:color w:val="auto"/>
                <w:kern w:val="2"/>
                <w:sz w:val="24"/>
                <w:szCs w:val="24"/>
                <w:lang w:val="en-US" w:eastAsia="zh-CN" w:bidi="ar-SA"/>
              </w:rPr>
              <w:t>产生量为0.</w:t>
            </w:r>
            <w:r>
              <w:rPr>
                <w:rFonts w:hint="eastAsia" w:ascii="Times New Roman" w:hAnsi="Times New Roman" w:eastAsia="宋体" w:cs="宋体"/>
                <w:color w:val="auto"/>
                <w:kern w:val="2"/>
                <w:sz w:val="24"/>
                <w:szCs w:val="24"/>
                <w:lang w:val="en-US" w:eastAsia="zh-CN" w:bidi="ar-SA"/>
              </w:rPr>
              <w:t>45</w:t>
            </w:r>
            <w:r>
              <w:rPr>
                <w:rFonts w:hint="default" w:ascii="Times New Roman" w:hAnsi="Times New Roman" w:eastAsia="宋体" w:cs="宋体"/>
                <w:color w:val="auto"/>
                <w:kern w:val="2"/>
                <w:sz w:val="24"/>
                <w:szCs w:val="24"/>
                <w:lang w:val="en-US" w:eastAsia="zh-CN" w:bidi="ar-SA"/>
              </w:rPr>
              <w:t>t/a，属于危险废物，对照</w:t>
            </w:r>
            <w:r>
              <w:rPr>
                <w:rFonts w:hint="eastAsia" w:ascii="Times New Roman" w:hAnsi="Times New Roman" w:eastAsia="宋体" w:cs="宋体"/>
                <w:color w:val="auto"/>
                <w:kern w:val="2"/>
                <w:sz w:val="24"/>
                <w:szCs w:val="24"/>
                <w:lang w:val="en-US" w:eastAsia="zh-CN" w:bidi="ar-SA"/>
              </w:rPr>
              <w:t>《国家危险废物名录》（2025年版）</w:t>
            </w:r>
            <w:r>
              <w:rPr>
                <w:rFonts w:hint="default" w:ascii="Times New Roman" w:hAnsi="Times New Roman" w:eastAsia="宋体" w:cs="宋体"/>
                <w:color w:val="auto"/>
                <w:kern w:val="2"/>
                <w:sz w:val="24"/>
                <w:szCs w:val="24"/>
                <w:lang w:val="en-US" w:eastAsia="zh-CN" w:bidi="ar-SA"/>
              </w:rPr>
              <w:t>中所列的危险</w:t>
            </w:r>
            <w:r>
              <w:rPr>
                <w:rFonts w:hint="eastAsia" w:ascii="Times New Roman" w:hAnsi="Times New Roman" w:eastAsia="宋体" w:cs="宋体"/>
                <w:color w:val="auto"/>
                <w:kern w:val="2"/>
                <w:sz w:val="24"/>
                <w:szCs w:val="24"/>
                <w:lang w:val="en-US" w:eastAsia="zh-CN" w:bidi="ar-SA"/>
              </w:rPr>
              <w:t>废物</w:t>
            </w:r>
            <w:r>
              <w:rPr>
                <w:rFonts w:hint="default" w:ascii="Times New Roman" w:hAnsi="Times New Roman" w:eastAsia="宋体" w:cs="宋体"/>
                <w:color w:val="auto"/>
                <w:kern w:val="2"/>
                <w:sz w:val="24"/>
                <w:szCs w:val="24"/>
                <w:lang w:val="en-US" w:eastAsia="zh-CN" w:bidi="ar-SA"/>
              </w:rPr>
              <w:t>，有机溶剂废玻璃瓶废物类别为HW49其他废物，废物代码900-041-49，妥善收集后临时储存于危险废物暂存间，定期委托有资质的单位处理处置</w:t>
            </w:r>
            <w:r>
              <w:rPr>
                <w:rFonts w:hint="eastAsia" w:ascii="Times New Roman" w:hAnsi="Times New Roman" w:eastAsia="宋体" w:cs="宋体"/>
                <w:color w:val="auto"/>
                <w:kern w:val="2"/>
                <w:sz w:val="24"/>
                <w:szCs w:val="24"/>
                <w:lang w:val="en-US" w:eastAsia="zh-CN" w:bidi="ar-SA"/>
              </w:rPr>
              <w:t>。</w:t>
            </w:r>
          </w:p>
          <w:p w14:paraId="44FA1DC3">
            <w:pPr>
              <w:widowControl w:val="0"/>
              <w:numPr>
                <w:ilvl w:val="0"/>
                <w:numId w:val="0"/>
              </w:numPr>
              <w:bidi w:val="0"/>
              <w:spacing w:line="360" w:lineRule="auto"/>
              <w:ind w:firstLine="480" w:firstLineChars="200"/>
              <w:jc w:val="both"/>
              <w:rPr>
                <w:rFonts w:hint="default" w:cs="宋体"/>
                <w:color w:val="auto"/>
                <w:kern w:val="2"/>
                <w:sz w:val="24"/>
                <w:szCs w:val="24"/>
                <w:highlight w:val="none"/>
                <w:lang w:val="en-US" w:eastAsia="zh-CN" w:bidi="ar-SA"/>
              </w:rPr>
            </w:pPr>
            <w:r>
              <w:rPr>
                <w:rFonts w:hint="eastAsia" w:ascii="Times New Roman" w:hAnsi="Times New Roman" w:eastAsia="宋体" w:cs="宋体"/>
                <w:color w:val="auto"/>
                <w:kern w:val="2"/>
                <w:sz w:val="24"/>
                <w:szCs w:val="24"/>
                <w:highlight w:val="none"/>
                <w:lang w:val="en-US" w:eastAsia="zh-CN" w:bidi="ar-SA"/>
              </w:rPr>
              <w:t>（</w:t>
            </w:r>
            <w:r>
              <w:rPr>
                <w:rFonts w:hint="eastAsia" w:ascii="Times New Roman" w:hAnsi="Times New Roman" w:cs="宋体"/>
                <w:color w:val="auto"/>
                <w:kern w:val="2"/>
                <w:sz w:val="24"/>
                <w:szCs w:val="24"/>
                <w:highlight w:val="none"/>
                <w:lang w:val="en-US" w:eastAsia="zh-CN" w:bidi="ar-SA"/>
              </w:rPr>
              <w:t>8</w:t>
            </w:r>
            <w:r>
              <w:rPr>
                <w:rFonts w:hint="eastAsia" w:ascii="Times New Roman" w:hAnsi="Times New Roman" w:eastAsia="宋体" w:cs="宋体"/>
                <w:color w:val="auto"/>
                <w:kern w:val="2"/>
                <w:sz w:val="24"/>
                <w:szCs w:val="24"/>
                <w:highlight w:val="none"/>
                <w:lang w:val="en-US" w:eastAsia="zh-CN" w:bidi="ar-SA"/>
              </w:rPr>
              <w:t>）</w:t>
            </w:r>
            <w:r>
              <w:rPr>
                <w:rFonts w:hint="eastAsia" w:cs="宋体"/>
                <w:color w:val="auto"/>
                <w:kern w:val="2"/>
                <w:sz w:val="24"/>
                <w:szCs w:val="24"/>
                <w:highlight w:val="none"/>
                <w:lang w:val="en-US" w:eastAsia="zh-CN" w:bidi="ar-SA"/>
              </w:rPr>
              <w:t>废切削液及污泥</w:t>
            </w:r>
          </w:p>
          <w:p w14:paraId="06913C4E">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废切削液</w:t>
            </w:r>
            <w:r>
              <w:rPr>
                <w:rFonts w:hint="eastAsia" w:cs="宋体"/>
                <w:color w:val="auto"/>
                <w:kern w:val="2"/>
                <w:sz w:val="24"/>
                <w:szCs w:val="24"/>
                <w:lang w:val="en-US" w:eastAsia="zh-CN" w:bidi="ar-SA"/>
              </w:rPr>
              <w:t>及污泥</w:t>
            </w:r>
            <w:r>
              <w:rPr>
                <w:rFonts w:hint="eastAsia" w:ascii="Times New Roman" w:hAnsi="Times New Roman" w:eastAsia="宋体" w:cs="宋体"/>
                <w:color w:val="auto"/>
                <w:kern w:val="2"/>
                <w:sz w:val="24"/>
                <w:szCs w:val="24"/>
                <w:lang w:val="en-US" w:eastAsia="zh-CN" w:bidi="ar-SA"/>
              </w:rPr>
              <w:t>产生量为0.</w:t>
            </w:r>
            <w:r>
              <w:rPr>
                <w:rFonts w:hint="eastAsia" w:cs="宋体"/>
                <w:color w:val="auto"/>
                <w:kern w:val="2"/>
                <w:sz w:val="24"/>
                <w:szCs w:val="24"/>
                <w:lang w:val="en-US" w:eastAsia="zh-CN" w:bidi="ar-SA"/>
              </w:rPr>
              <w:t>1</w:t>
            </w:r>
            <w:r>
              <w:rPr>
                <w:rFonts w:hint="eastAsia" w:ascii="Times New Roman" w:hAnsi="Times New Roman" w:eastAsia="宋体" w:cs="宋体"/>
                <w:color w:val="auto"/>
                <w:kern w:val="2"/>
                <w:sz w:val="24"/>
                <w:szCs w:val="24"/>
                <w:lang w:val="en-US" w:eastAsia="zh-CN" w:bidi="ar-SA"/>
              </w:rPr>
              <w:t>t/a。检索《国家危险废物名录》（2025年版），废切削液</w:t>
            </w:r>
            <w:r>
              <w:rPr>
                <w:rFonts w:hint="eastAsia" w:cs="宋体"/>
                <w:color w:val="auto"/>
                <w:kern w:val="2"/>
                <w:sz w:val="24"/>
                <w:szCs w:val="24"/>
                <w:lang w:val="en-US" w:eastAsia="zh-CN" w:bidi="ar-SA"/>
              </w:rPr>
              <w:t>及污泥</w:t>
            </w:r>
            <w:r>
              <w:rPr>
                <w:rFonts w:hint="eastAsia" w:ascii="Times New Roman" w:hAnsi="Times New Roman" w:eastAsia="宋体" w:cs="宋体"/>
                <w:color w:val="auto"/>
                <w:kern w:val="2"/>
                <w:sz w:val="24"/>
                <w:szCs w:val="24"/>
                <w:lang w:val="en-US" w:eastAsia="zh-CN" w:bidi="ar-SA"/>
              </w:rPr>
              <w:t>属危险废物，废物类别HW09油/水、烃/水混合物或者乳化液，危废代码900-006-09，应用专门容器收集后临时储存于危险废物贮存间，委托有资质的单位处理处置。</w:t>
            </w:r>
          </w:p>
          <w:p w14:paraId="27EEB87F">
            <w:pPr>
              <w:widowControl w:val="0"/>
              <w:bidi w:val="0"/>
              <w:spacing w:line="360" w:lineRule="auto"/>
              <w:ind w:firstLine="480" w:firstLineChars="200"/>
              <w:jc w:val="both"/>
              <w:rPr>
                <w:rFonts w:hint="eastAsia" w:cs="宋体"/>
                <w:color w:val="auto"/>
                <w:kern w:val="2"/>
                <w:sz w:val="24"/>
                <w:szCs w:val="24"/>
                <w:lang w:val="en-US" w:eastAsia="zh-CN" w:bidi="ar-SA"/>
              </w:rPr>
            </w:pPr>
            <w:r>
              <w:rPr>
                <w:rFonts w:hint="eastAsia" w:cs="宋体"/>
                <w:color w:val="auto"/>
                <w:kern w:val="2"/>
                <w:sz w:val="24"/>
                <w:szCs w:val="24"/>
                <w:lang w:val="en-US" w:eastAsia="zh-CN" w:bidi="ar-SA"/>
              </w:rPr>
              <w:t>（9）废除油剂</w:t>
            </w:r>
          </w:p>
          <w:p w14:paraId="3012F48E">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cs="宋体"/>
                <w:color w:val="auto"/>
                <w:kern w:val="2"/>
                <w:sz w:val="24"/>
                <w:szCs w:val="24"/>
                <w:lang w:val="en-US" w:eastAsia="zh-CN" w:bidi="ar-SA"/>
              </w:rPr>
              <w:t>废除油剂</w:t>
            </w:r>
            <w:r>
              <w:rPr>
                <w:rFonts w:hint="eastAsia" w:ascii="Times New Roman" w:hAnsi="Times New Roman" w:eastAsia="宋体" w:cs="宋体"/>
                <w:color w:val="auto"/>
                <w:kern w:val="2"/>
                <w:sz w:val="24"/>
                <w:szCs w:val="24"/>
                <w:lang w:val="en-US" w:eastAsia="zh-CN" w:bidi="ar-SA"/>
              </w:rPr>
              <w:t>产生量为</w:t>
            </w:r>
            <w:r>
              <w:rPr>
                <w:rFonts w:hint="eastAsia" w:cs="宋体"/>
                <w:color w:val="auto"/>
                <w:kern w:val="2"/>
                <w:sz w:val="24"/>
                <w:szCs w:val="24"/>
                <w:lang w:val="en-US" w:eastAsia="zh-CN" w:bidi="ar-SA"/>
              </w:rPr>
              <w:t>1.2</w:t>
            </w:r>
            <w:r>
              <w:rPr>
                <w:rFonts w:hint="eastAsia" w:ascii="Times New Roman" w:hAnsi="Times New Roman" w:eastAsia="宋体" w:cs="宋体"/>
                <w:color w:val="auto"/>
                <w:kern w:val="2"/>
                <w:sz w:val="24"/>
                <w:szCs w:val="24"/>
                <w:lang w:val="en-US" w:eastAsia="zh-CN" w:bidi="ar-SA"/>
              </w:rPr>
              <w:t>t/a。检索《国家危险废物名录》（2025年版），</w:t>
            </w:r>
            <w:r>
              <w:rPr>
                <w:rFonts w:hint="eastAsia" w:cs="宋体"/>
                <w:color w:val="auto"/>
                <w:kern w:val="2"/>
                <w:sz w:val="24"/>
                <w:szCs w:val="24"/>
                <w:lang w:val="en-US" w:eastAsia="zh-CN" w:bidi="ar-SA"/>
              </w:rPr>
              <w:t>废除油剂</w:t>
            </w:r>
            <w:r>
              <w:rPr>
                <w:rFonts w:hint="eastAsia" w:ascii="Times New Roman" w:hAnsi="Times New Roman" w:eastAsia="宋体" w:cs="宋体"/>
                <w:color w:val="auto"/>
                <w:kern w:val="2"/>
                <w:sz w:val="24"/>
                <w:szCs w:val="24"/>
                <w:lang w:val="en-US" w:eastAsia="zh-CN" w:bidi="ar-SA"/>
              </w:rPr>
              <w:t>属危险废物，废物类别HW09油/水、烃/水混合物或者乳化液，危废代码</w:t>
            </w:r>
            <w:r>
              <w:rPr>
                <w:rFonts w:hint="default" w:ascii="Times New Roman" w:hAnsi="Times New Roman" w:eastAsia="宋体" w:cs="宋体"/>
                <w:color w:val="auto"/>
                <w:kern w:val="2"/>
                <w:sz w:val="24"/>
                <w:szCs w:val="24"/>
                <w:lang w:val="en-US" w:eastAsia="zh-CN" w:bidi="ar-SA"/>
              </w:rPr>
              <w:t>900-007-09</w:t>
            </w:r>
            <w:r>
              <w:rPr>
                <w:rFonts w:hint="eastAsia" w:ascii="Times New Roman" w:hAnsi="Times New Roman" w:eastAsia="宋体" w:cs="宋体"/>
                <w:color w:val="auto"/>
                <w:kern w:val="2"/>
                <w:sz w:val="24"/>
                <w:szCs w:val="24"/>
                <w:lang w:val="en-US" w:eastAsia="zh-CN" w:bidi="ar-SA"/>
              </w:rPr>
              <w:t>，应用专门容器收集后临时储存于危险废物贮存间，委托有资质的单位处理处置。</w:t>
            </w:r>
          </w:p>
          <w:p w14:paraId="0976FE53">
            <w:pPr>
              <w:pStyle w:val="5"/>
              <w:bidi w:val="0"/>
              <w:rPr>
                <w:rFonts w:hint="eastAsia"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（10）废机油</w:t>
            </w:r>
          </w:p>
          <w:p w14:paraId="04AC6ADC">
            <w:pPr>
              <w:pStyle w:val="25"/>
              <w:rPr>
                <w:rFonts w:hint="default"/>
                <w:color w:val="auto"/>
                <w:lang w:val="en-US" w:eastAsia="zh-CN"/>
              </w:rPr>
            </w:pPr>
            <w:r>
              <w:rPr>
                <w:rFonts w:hint="eastAsia" w:cs="宋体"/>
                <w:color w:val="auto"/>
                <w:kern w:val="2"/>
                <w:sz w:val="24"/>
                <w:szCs w:val="24"/>
                <w:highlight w:val="none"/>
                <w:lang w:val="en-US" w:eastAsia="zh-CN" w:bidi="ar-SA"/>
              </w:rPr>
              <w:t>废机油产生量为0.05t/a</w:t>
            </w:r>
            <w:r>
              <w:rPr>
                <w:rFonts w:hint="eastAsia" w:ascii="Times New Roman" w:hAnsi="Times New Roman" w:eastAsia="宋体" w:cs="宋体"/>
                <w:color w:val="auto"/>
                <w:kern w:val="2"/>
                <w:sz w:val="24"/>
                <w:szCs w:val="24"/>
                <w:highlight w:val="none"/>
                <w:lang w:val="en-US" w:eastAsia="zh-CN" w:bidi="ar-SA"/>
              </w:rPr>
              <w:t>。检索《国家危险废物名录》（2025年版），废除油剂属危险废物，废物类别HW08废矿物油与含矿物油废物，危废代码900-214-08，生产设备</w:t>
            </w:r>
            <w:r>
              <w:rPr>
                <w:rFonts w:hint="eastAsia" w:cs="宋体"/>
                <w:color w:val="auto"/>
                <w:kern w:val="2"/>
                <w:sz w:val="24"/>
                <w:szCs w:val="24"/>
                <w:highlight w:val="none"/>
                <w:lang w:val="en-US" w:eastAsia="zh-CN" w:bidi="ar-SA"/>
              </w:rPr>
              <w:t>检修时会产生废机油，生产设备由设备厂商进行维修，由设备厂商进行更换并转运，由设备厂商进行委托有危废处置资质的单位进行处置。</w:t>
            </w:r>
          </w:p>
          <w:p w14:paraId="1C427E52">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hint="eastAsia" w:cs="宋体"/>
                <w:color w:val="auto"/>
                <w:kern w:val="2"/>
                <w:sz w:val="24"/>
                <w:szCs w:val="24"/>
                <w:lang w:val="en-US" w:eastAsia="zh-CN" w:bidi="ar-SA"/>
              </w:rPr>
              <w:t>11</w:t>
            </w:r>
            <w:r>
              <w:rPr>
                <w:rFonts w:hint="eastAsia" w:ascii="Times New Roman" w:hAnsi="Times New Roman" w:eastAsia="宋体" w:cs="宋体"/>
                <w:color w:val="auto"/>
                <w:kern w:val="2"/>
                <w:sz w:val="24"/>
                <w:szCs w:val="24"/>
                <w:lang w:val="en-US" w:eastAsia="zh-CN" w:bidi="ar-SA"/>
              </w:rPr>
              <w:t>）生活垃圾</w:t>
            </w:r>
          </w:p>
          <w:p w14:paraId="7B8A352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职工生活垃圾</w:t>
            </w:r>
          </w:p>
          <w:p w14:paraId="2425A54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本项目</w:t>
            </w:r>
            <w:r>
              <w:rPr>
                <w:rFonts w:hint="eastAsia" w:cs="宋体"/>
                <w:color w:val="auto"/>
                <w:kern w:val="2"/>
                <w:sz w:val="24"/>
                <w:szCs w:val="24"/>
                <w:lang w:val="en-US" w:eastAsia="zh-CN" w:bidi="ar-SA"/>
              </w:rPr>
              <w:t>新增</w:t>
            </w:r>
            <w:r>
              <w:rPr>
                <w:rFonts w:hint="default" w:ascii="Times New Roman" w:hAnsi="Times New Roman" w:eastAsia="宋体" w:cs="宋体"/>
                <w:color w:val="auto"/>
                <w:kern w:val="2"/>
                <w:sz w:val="24"/>
                <w:szCs w:val="24"/>
                <w:lang w:val="en-US" w:eastAsia="zh-CN" w:bidi="ar-SA"/>
              </w:rPr>
              <w:t>员工共</w:t>
            </w:r>
            <w:r>
              <w:rPr>
                <w:rFonts w:hint="eastAsia" w:cs="宋体"/>
                <w:color w:val="auto"/>
                <w:kern w:val="2"/>
                <w:sz w:val="24"/>
                <w:szCs w:val="24"/>
                <w:lang w:val="en-US" w:eastAsia="zh-CN" w:bidi="ar-SA"/>
              </w:rPr>
              <w:t>60</w:t>
            </w:r>
            <w:r>
              <w:rPr>
                <w:rFonts w:hint="default" w:ascii="Times New Roman" w:hAnsi="Times New Roman" w:eastAsia="宋体" w:cs="宋体"/>
                <w:color w:val="auto"/>
                <w:kern w:val="2"/>
                <w:sz w:val="24"/>
                <w:szCs w:val="24"/>
                <w:lang w:val="en-US" w:eastAsia="zh-CN" w:bidi="ar-SA"/>
              </w:rPr>
              <w:t>人，均不住厂，不住厂员工生活垃圾产生系数按0.5kg/人·天计，年工作天数为</w:t>
            </w:r>
            <w:r>
              <w:rPr>
                <w:rFonts w:hint="eastAsia" w:cs="宋体"/>
                <w:color w:val="auto"/>
                <w:kern w:val="2"/>
                <w:sz w:val="24"/>
                <w:szCs w:val="24"/>
                <w:lang w:val="en-US" w:eastAsia="zh-CN" w:bidi="ar-SA"/>
              </w:rPr>
              <w:t>300</w:t>
            </w:r>
            <w:r>
              <w:rPr>
                <w:rFonts w:hint="default" w:ascii="Times New Roman" w:hAnsi="Times New Roman" w:eastAsia="宋体" w:cs="宋体"/>
                <w:color w:val="auto"/>
                <w:kern w:val="2"/>
                <w:sz w:val="24"/>
                <w:szCs w:val="24"/>
                <w:lang w:val="en-US" w:eastAsia="zh-CN" w:bidi="ar-SA"/>
              </w:rPr>
              <w:t>天，则员工生活垃圾产生量为</w:t>
            </w:r>
            <w:r>
              <w:rPr>
                <w:rFonts w:hint="eastAsia" w:cs="宋体"/>
                <w:color w:val="auto"/>
                <w:kern w:val="2"/>
                <w:sz w:val="24"/>
                <w:szCs w:val="24"/>
                <w:lang w:val="en-US" w:eastAsia="zh-CN" w:bidi="ar-SA"/>
              </w:rPr>
              <w:t>9.0t</w:t>
            </w:r>
            <w:r>
              <w:rPr>
                <w:rFonts w:hint="default" w:ascii="Times New Roman" w:hAnsi="Times New Roman" w:eastAsia="宋体" w:cs="宋体"/>
                <w:color w:val="auto"/>
                <w:kern w:val="2"/>
                <w:sz w:val="24"/>
                <w:szCs w:val="24"/>
                <w:lang w:val="en-US" w:eastAsia="zh-CN" w:bidi="ar-SA"/>
              </w:rPr>
              <w:t>/a。生活垃圾统一收集后委托当地环卫部门处置。</w:t>
            </w:r>
          </w:p>
          <w:p w14:paraId="13F37743">
            <w:pPr>
              <w:widowControl w:val="0"/>
              <w:bidi w:val="0"/>
              <w:adjustRightInd w:val="0"/>
              <w:snapToGrid w:val="0"/>
              <w:spacing w:before="10" w:beforeLines="10" w:after="10" w:afterLines="10"/>
              <w:jc w:val="center"/>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表4.4-1</w:t>
            </w:r>
            <w:r>
              <w:rPr>
                <w:rFonts w:hint="eastAsia" w:cs="Times New Roman"/>
                <w:b/>
                <w:color w:val="auto"/>
                <w:kern w:val="0"/>
                <w:sz w:val="24"/>
                <w:szCs w:val="20"/>
                <w:lang w:val="en-US" w:eastAsia="zh-CN" w:bidi="ar-SA"/>
              </w:rPr>
              <w:t xml:space="preserve">  </w:t>
            </w:r>
            <w:r>
              <w:rPr>
                <w:rFonts w:hint="eastAsia" w:ascii="Times New Roman" w:hAnsi="Times New Roman" w:eastAsia="宋体" w:cs="Times New Roman"/>
                <w:b/>
                <w:color w:val="auto"/>
                <w:kern w:val="0"/>
                <w:sz w:val="24"/>
                <w:szCs w:val="20"/>
                <w:lang w:val="en-US" w:eastAsia="zh-CN" w:bidi="ar-SA"/>
              </w:rPr>
              <w:t>本次项目一般工业固体废物和生活垃圾产生处置一览表</w:t>
            </w:r>
          </w:p>
          <w:tbl>
            <w:tblPr>
              <w:tblStyle w:val="20"/>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1140"/>
              <w:gridCol w:w="1129"/>
              <w:gridCol w:w="1389"/>
              <w:gridCol w:w="926"/>
              <w:gridCol w:w="2246"/>
            </w:tblGrid>
            <w:tr w14:paraId="387629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9" w:type="pct"/>
                  <w:tcBorders>
                    <w:tl2br w:val="nil"/>
                    <w:tr2bl w:val="nil"/>
                  </w:tcBorders>
                  <w:noWrap w:val="0"/>
                  <w:vAlign w:val="center"/>
                </w:tcPr>
                <w:p w14:paraId="5334FD5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产生环节</w:t>
                  </w:r>
                </w:p>
              </w:tc>
              <w:tc>
                <w:tcPr>
                  <w:tcW w:w="711" w:type="pct"/>
                  <w:tcBorders>
                    <w:tl2br w:val="nil"/>
                    <w:tr2bl w:val="nil"/>
                  </w:tcBorders>
                  <w:noWrap w:val="0"/>
                  <w:vAlign w:val="center"/>
                </w:tcPr>
                <w:p w14:paraId="5B15021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固废名称</w:t>
                  </w:r>
                </w:p>
              </w:tc>
              <w:tc>
                <w:tcPr>
                  <w:tcW w:w="704" w:type="pct"/>
                  <w:tcBorders>
                    <w:tl2br w:val="nil"/>
                    <w:tr2bl w:val="nil"/>
                  </w:tcBorders>
                  <w:noWrap w:val="0"/>
                  <w:vAlign w:val="center"/>
                </w:tcPr>
                <w:p w14:paraId="0348E89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物理性状</w:t>
                  </w:r>
                </w:p>
              </w:tc>
              <w:tc>
                <w:tcPr>
                  <w:tcW w:w="866" w:type="pct"/>
                  <w:tcBorders>
                    <w:tl2br w:val="nil"/>
                    <w:tr2bl w:val="nil"/>
                  </w:tcBorders>
                  <w:noWrap w:val="0"/>
                  <w:vAlign w:val="center"/>
                </w:tcPr>
                <w:p w14:paraId="1B6B60F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固废属性</w:t>
                  </w:r>
                </w:p>
              </w:tc>
              <w:tc>
                <w:tcPr>
                  <w:tcW w:w="577" w:type="pct"/>
                  <w:tcBorders>
                    <w:tl2br w:val="nil"/>
                    <w:tr2bl w:val="nil"/>
                  </w:tcBorders>
                  <w:noWrap w:val="0"/>
                  <w:vAlign w:val="center"/>
                </w:tcPr>
                <w:p w14:paraId="34D68BB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产生量（t/a）</w:t>
                  </w:r>
                </w:p>
              </w:tc>
              <w:tc>
                <w:tcPr>
                  <w:tcW w:w="1400" w:type="pct"/>
                  <w:tcBorders>
                    <w:tl2br w:val="nil"/>
                    <w:tr2bl w:val="nil"/>
                  </w:tcBorders>
                  <w:noWrap w:val="0"/>
                  <w:vAlign w:val="center"/>
                </w:tcPr>
                <w:p w14:paraId="5851F39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处置方式</w:t>
                  </w:r>
                </w:p>
              </w:tc>
            </w:tr>
            <w:tr w14:paraId="3421A2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9" w:type="pct"/>
                  <w:tcBorders>
                    <w:tl2br w:val="nil"/>
                    <w:tr2bl w:val="nil"/>
                  </w:tcBorders>
                  <w:noWrap w:val="0"/>
                  <w:vAlign w:val="center"/>
                </w:tcPr>
                <w:p w14:paraId="702D2F1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抛光</w:t>
                  </w:r>
                </w:p>
              </w:tc>
              <w:tc>
                <w:tcPr>
                  <w:tcW w:w="711" w:type="pct"/>
                  <w:tcBorders>
                    <w:tl2br w:val="nil"/>
                    <w:tr2bl w:val="nil"/>
                  </w:tcBorders>
                  <w:noWrap w:val="0"/>
                  <w:vAlign w:val="center"/>
                </w:tcPr>
                <w:p w14:paraId="55B6D34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抛光残渣</w:t>
                  </w:r>
                </w:p>
              </w:tc>
              <w:tc>
                <w:tcPr>
                  <w:tcW w:w="704" w:type="pct"/>
                  <w:tcBorders>
                    <w:tl2br w:val="nil"/>
                    <w:tr2bl w:val="nil"/>
                  </w:tcBorders>
                  <w:noWrap w:val="0"/>
                  <w:vAlign w:val="center"/>
                </w:tcPr>
                <w:p w14:paraId="4D71D71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866" w:type="pct"/>
                  <w:tcBorders>
                    <w:tl2br w:val="nil"/>
                    <w:tr2bl w:val="nil"/>
                  </w:tcBorders>
                  <w:noWrap w:val="0"/>
                  <w:vAlign w:val="center"/>
                </w:tcPr>
                <w:p w14:paraId="643BC58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一般工业固体废物</w:t>
                  </w:r>
                </w:p>
              </w:tc>
              <w:tc>
                <w:tcPr>
                  <w:tcW w:w="577" w:type="pct"/>
                  <w:tcBorders>
                    <w:tl2br w:val="nil"/>
                    <w:tr2bl w:val="nil"/>
                  </w:tcBorders>
                  <w:noWrap w:val="0"/>
                  <w:vAlign w:val="center"/>
                </w:tcPr>
                <w:p w14:paraId="259CE8D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0.4</w:t>
                  </w:r>
                </w:p>
              </w:tc>
              <w:tc>
                <w:tcPr>
                  <w:tcW w:w="1400" w:type="pct"/>
                  <w:tcBorders>
                    <w:tl2br w:val="nil"/>
                    <w:tr2bl w:val="nil"/>
                  </w:tcBorders>
                  <w:noWrap w:val="0"/>
                  <w:vAlign w:val="center"/>
                </w:tcPr>
                <w:p w14:paraId="5C9530F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妥善收集后外售给其他企业回收综合利用</w:t>
                  </w:r>
                </w:p>
              </w:tc>
            </w:tr>
            <w:tr w14:paraId="7485D4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9" w:type="pct"/>
                  <w:tcBorders>
                    <w:tl2br w:val="nil"/>
                    <w:tr2bl w:val="nil"/>
                  </w:tcBorders>
                  <w:noWrap w:val="0"/>
                  <w:vAlign w:val="center"/>
                </w:tcPr>
                <w:p w14:paraId="3C84A8F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磨边</w:t>
                  </w:r>
                </w:p>
              </w:tc>
              <w:tc>
                <w:tcPr>
                  <w:tcW w:w="711" w:type="pct"/>
                  <w:tcBorders>
                    <w:tl2br w:val="nil"/>
                    <w:tr2bl w:val="nil"/>
                  </w:tcBorders>
                  <w:noWrap w:val="0"/>
                  <w:vAlign w:val="center"/>
                </w:tcPr>
                <w:p w14:paraId="7A58C8F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废边角料</w:t>
                  </w:r>
                </w:p>
              </w:tc>
              <w:tc>
                <w:tcPr>
                  <w:tcW w:w="704" w:type="pct"/>
                  <w:tcBorders>
                    <w:tl2br w:val="nil"/>
                    <w:tr2bl w:val="nil"/>
                  </w:tcBorders>
                  <w:noWrap w:val="0"/>
                  <w:vAlign w:val="center"/>
                </w:tcPr>
                <w:p w14:paraId="5297FEE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866" w:type="pct"/>
                  <w:tcBorders>
                    <w:tl2br w:val="nil"/>
                    <w:tr2bl w:val="nil"/>
                  </w:tcBorders>
                  <w:noWrap w:val="0"/>
                  <w:vAlign w:val="center"/>
                </w:tcPr>
                <w:p w14:paraId="4A6D7F5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一般工业固体废物</w:t>
                  </w:r>
                </w:p>
              </w:tc>
              <w:tc>
                <w:tcPr>
                  <w:tcW w:w="577" w:type="pct"/>
                  <w:tcBorders>
                    <w:tl2br w:val="nil"/>
                    <w:tr2bl w:val="nil"/>
                  </w:tcBorders>
                  <w:noWrap w:val="0"/>
                  <w:vAlign w:val="center"/>
                </w:tcPr>
                <w:p w14:paraId="0625270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0.5</w:t>
                  </w:r>
                </w:p>
              </w:tc>
              <w:tc>
                <w:tcPr>
                  <w:tcW w:w="1400" w:type="pct"/>
                  <w:tcBorders>
                    <w:tl2br w:val="nil"/>
                    <w:tr2bl w:val="nil"/>
                  </w:tcBorders>
                  <w:noWrap w:val="0"/>
                  <w:vAlign w:val="center"/>
                </w:tcPr>
                <w:p w14:paraId="13F4013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妥善收集后外售给其他企业回收综合利用</w:t>
                  </w:r>
                </w:p>
              </w:tc>
            </w:tr>
            <w:tr w14:paraId="17F170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9" w:type="pct"/>
                  <w:tcBorders>
                    <w:tl2br w:val="nil"/>
                    <w:tr2bl w:val="nil"/>
                  </w:tcBorders>
                  <w:noWrap w:val="0"/>
                  <w:vAlign w:val="center"/>
                </w:tcPr>
                <w:p w14:paraId="38227D4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沉淀</w:t>
                  </w:r>
                </w:p>
              </w:tc>
              <w:tc>
                <w:tcPr>
                  <w:tcW w:w="711" w:type="pct"/>
                  <w:tcBorders>
                    <w:tl2br w:val="nil"/>
                    <w:tr2bl w:val="nil"/>
                  </w:tcBorders>
                  <w:noWrap w:val="0"/>
                  <w:vAlign w:val="center"/>
                </w:tcPr>
                <w:p w14:paraId="5EA59DA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沉淀池污泥</w:t>
                  </w:r>
                </w:p>
              </w:tc>
              <w:tc>
                <w:tcPr>
                  <w:tcW w:w="704" w:type="pct"/>
                  <w:tcBorders>
                    <w:tl2br w:val="nil"/>
                    <w:tr2bl w:val="nil"/>
                  </w:tcBorders>
                  <w:noWrap w:val="0"/>
                  <w:vAlign w:val="center"/>
                </w:tcPr>
                <w:p w14:paraId="4CD2103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866" w:type="pct"/>
                  <w:tcBorders>
                    <w:tl2br w:val="nil"/>
                    <w:tr2bl w:val="nil"/>
                  </w:tcBorders>
                  <w:noWrap w:val="0"/>
                  <w:vAlign w:val="center"/>
                </w:tcPr>
                <w:p w14:paraId="6BB0679C">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一般工业固体废物</w:t>
                  </w:r>
                </w:p>
              </w:tc>
              <w:tc>
                <w:tcPr>
                  <w:tcW w:w="577" w:type="pct"/>
                  <w:tcBorders>
                    <w:tl2br w:val="nil"/>
                    <w:tr2bl w:val="nil"/>
                  </w:tcBorders>
                  <w:noWrap w:val="0"/>
                  <w:vAlign w:val="center"/>
                </w:tcPr>
                <w:p w14:paraId="785F175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1.5</w:t>
                  </w:r>
                </w:p>
              </w:tc>
              <w:tc>
                <w:tcPr>
                  <w:tcW w:w="1400" w:type="pct"/>
                  <w:tcBorders>
                    <w:tl2br w:val="nil"/>
                    <w:tr2bl w:val="nil"/>
                  </w:tcBorders>
                  <w:noWrap w:val="0"/>
                  <w:vAlign w:val="center"/>
                </w:tcPr>
                <w:p w14:paraId="2319BCE6">
                  <w:pPr>
                    <w:pStyle w:val="30"/>
                    <w:bidi w:val="0"/>
                    <w:rPr>
                      <w:rFonts w:hint="default"/>
                      <w:color w:val="auto"/>
                      <w:lang w:val="en-US" w:eastAsia="zh-CN"/>
                    </w:rPr>
                  </w:pPr>
                  <w:r>
                    <w:rPr>
                      <w:rFonts w:hint="eastAsia"/>
                      <w:color w:val="auto"/>
                      <w:lang w:val="en-US" w:eastAsia="zh-CN"/>
                    </w:rPr>
                    <w:t>定期进行清掏，并由当地环卫部门统一清运处理</w:t>
                  </w:r>
                </w:p>
              </w:tc>
            </w:tr>
            <w:tr w14:paraId="52387D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9" w:type="pct"/>
                  <w:tcBorders>
                    <w:tl2br w:val="nil"/>
                    <w:tr2bl w:val="nil"/>
                  </w:tcBorders>
                  <w:noWrap w:val="0"/>
                  <w:vAlign w:val="center"/>
                </w:tcPr>
                <w:p w14:paraId="6388B21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检测</w:t>
                  </w:r>
                </w:p>
              </w:tc>
              <w:tc>
                <w:tcPr>
                  <w:tcW w:w="711" w:type="pct"/>
                  <w:tcBorders>
                    <w:tl2br w:val="nil"/>
                    <w:tr2bl w:val="nil"/>
                  </w:tcBorders>
                  <w:noWrap w:val="0"/>
                  <w:vAlign w:val="center"/>
                </w:tcPr>
                <w:p w14:paraId="417EA88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不合格产品</w:t>
                  </w:r>
                </w:p>
              </w:tc>
              <w:tc>
                <w:tcPr>
                  <w:tcW w:w="704" w:type="pct"/>
                  <w:tcBorders>
                    <w:tl2br w:val="nil"/>
                    <w:tr2bl w:val="nil"/>
                  </w:tcBorders>
                  <w:noWrap w:val="0"/>
                  <w:vAlign w:val="center"/>
                </w:tcPr>
                <w:p w14:paraId="4F62BB9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866" w:type="pct"/>
                  <w:tcBorders>
                    <w:tl2br w:val="nil"/>
                    <w:tr2bl w:val="nil"/>
                  </w:tcBorders>
                  <w:noWrap w:val="0"/>
                  <w:vAlign w:val="center"/>
                </w:tcPr>
                <w:p w14:paraId="685A975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一般工业固体废物</w:t>
                  </w:r>
                </w:p>
              </w:tc>
              <w:tc>
                <w:tcPr>
                  <w:tcW w:w="577" w:type="pct"/>
                  <w:tcBorders>
                    <w:tl2br w:val="nil"/>
                    <w:tr2bl w:val="nil"/>
                  </w:tcBorders>
                  <w:noWrap w:val="0"/>
                  <w:vAlign w:val="center"/>
                </w:tcPr>
                <w:p w14:paraId="641052B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w:t>
                  </w:r>
                  <w:r>
                    <w:rPr>
                      <w:rFonts w:hint="eastAsia" w:cs="Times New Roman"/>
                      <w:color w:val="auto"/>
                      <w:kern w:val="0"/>
                      <w:sz w:val="21"/>
                      <w:szCs w:val="20"/>
                      <w:lang w:val="en-US" w:eastAsia="zh-CN" w:bidi="ar-SA"/>
                    </w:rPr>
                    <w:t>.0</w:t>
                  </w:r>
                </w:p>
              </w:tc>
              <w:tc>
                <w:tcPr>
                  <w:tcW w:w="1400" w:type="pct"/>
                  <w:tcBorders>
                    <w:tl2br w:val="nil"/>
                    <w:tr2bl w:val="nil"/>
                  </w:tcBorders>
                  <w:noWrap w:val="0"/>
                  <w:vAlign w:val="center"/>
                </w:tcPr>
                <w:p w14:paraId="00452B9D">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妥善收集后外售给其他企业回收综合利用</w:t>
                  </w:r>
                </w:p>
              </w:tc>
            </w:tr>
            <w:tr w14:paraId="6C01BE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39" w:type="pct"/>
                  <w:tcBorders>
                    <w:tl2br w:val="nil"/>
                    <w:tr2bl w:val="nil"/>
                  </w:tcBorders>
                  <w:noWrap w:val="0"/>
                  <w:vAlign w:val="center"/>
                </w:tcPr>
                <w:p w14:paraId="70F7612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职工生活</w:t>
                  </w:r>
                </w:p>
              </w:tc>
              <w:tc>
                <w:tcPr>
                  <w:tcW w:w="711" w:type="pct"/>
                  <w:tcBorders>
                    <w:tl2br w:val="nil"/>
                    <w:tr2bl w:val="nil"/>
                  </w:tcBorders>
                  <w:noWrap w:val="0"/>
                  <w:vAlign w:val="center"/>
                </w:tcPr>
                <w:p w14:paraId="61DE1AB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生活垃圾</w:t>
                  </w:r>
                </w:p>
              </w:tc>
              <w:tc>
                <w:tcPr>
                  <w:tcW w:w="704" w:type="pct"/>
                  <w:tcBorders>
                    <w:tl2br w:val="nil"/>
                    <w:tr2bl w:val="nil"/>
                  </w:tcBorders>
                  <w:noWrap w:val="0"/>
                  <w:vAlign w:val="center"/>
                </w:tcPr>
                <w:p w14:paraId="1F97040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866" w:type="pct"/>
                  <w:tcBorders>
                    <w:tl2br w:val="nil"/>
                    <w:tr2bl w:val="nil"/>
                  </w:tcBorders>
                  <w:noWrap w:val="0"/>
                  <w:vAlign w:val="center"/>
                </w:tcPr>
                <w:p w14:paraId="2AAF3F5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生活垃圾</w:t>
                  </w:r>
                </w:p>
              </w:tc>
              <w:tc>
                <w:tcPr>
                  <w:tcW w:w="577" w:type="pct"/>
                  <w:tcBorders>
                    <w:tl2br w:val="nil"/>
                    <w:tr2bl w:val="nil"/>
                  </w:tcBorders>
                  <w:noWrap w:val="0"/>
                  <w:vAlign w:val="center"/>
                </w:tcPr>
                <w:p w14:paraId="06F59DE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9.0</w:t>
                  </w:r>
                </w:p>
              </w:tc>
              <w:tc>
                <w:tcPr>
                  <w:tcW w:w="1400" w:type="pct"/>
                  <w:tcBorders>
                    <w:tl2br w:val="nil"/>
                    <w:tr2bl w:val="nil"/>
                  </w:tcBorders>
                  <w:noWrap w:val="0"/>
                  <w:vAlign w:val="center"/>
                </w:tcPr>
                <w:p w14:paraId="6239563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委托环卫部门统一清运</w:t>
                  </w:r>
                </w:p>
              </w:tc>
            </w:tr>
          </w:tbl>
          <w:p w14:paraId="2119360D">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表4.4-2</w:t>
            </w:r>
            <w:r>
              <w:rPr>
                <w:rFonts w:hint="eastAsia" w:cs="Times New Roman"/>
                <w:b/>
                <w:color w:val="auto"/>
                <w:kern w:val="0"/>
                <w:sz w:val="24"/>
                <w:szCs w:val="20"/>
                <w:lang w:val="en-US" w:eastAsia="zh-CN" w:bidi="ar-SA"/>
              </w:rPr>
              <w:t xml:space="preserve">  </w:t>
            </w:r>
            <w:r>
              <w:rPr>
                <w:rFonts w:hint="eastAsia" w:ascii="Times New Roman" w:hAnsi="Times New Roman" w:eastAsia="宋体" w:cs="Times New Roman"/>
                <w:b/>
                <w:color w:val="auto"/>
                <w:kern w:val="0"/>
                <w:sz w:val="24"/>
                <w:szCs w:val="20"/>
                <w:lang w:val="en-US" w:eastAsia="zh-CN" w:bidi="ar-SA"/>
              </w:rPr>
              <w:t>本次项目危险废物产生处置一览表</w:t>
            </w:r>
          </w:p>
          <w:tbl>
            <w:tblPr>
              <w:tblStyle w:val="20"/>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81"/>
              <w:gridCol w:w="1139"/>
              <w:gridCol w:w="726"/>
              <w:gridCol w:w="1120"/>
              <w:gridCol w:w="752"/>
              <w:gridCol w:w="599"/>
              <w:gridCol w:w="630"/>
              <w:gridCol w:w="615"/>
              <w:gridCol w:w="968"/>
              <w:gridCol w:w="982"/>
            </w:tblGrid>
            <w:tr w14:paraId="481E6C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1277" w:hRule="atLeast"/>
                <w:jc w:val="center"/>
              </w:trPr>
              <w:tc>
                <w:tcPr>
                  <w:tcW w:w="300" w:type="pct"/>
                  <w:tcBorders>
                    <w:tl2br w:val="nil"/>
                    <w:tr2bl w:val="nil"/>
                  </w:tcBorders>
                  <w:noWrap w:val="0"/>
                  <w:vAlign w:val="center"/>
                </w:tcPr>
                <w:p w14:paraId="6BCCB7B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序号</w:t>
                  </w:r>
                </w:p>
              </w:tc>
              <w:tc>
                <w:tcPr>
                  <w:tcW w:w="711" w:type="pct"/>
                  <w:tcBorders>
                    <w:tl2br w:val="nil"/>
                    <w:tr2bl w:val="nil"/>
                  </w:tcBorders>
                  <w:noWrap w:val="0"/>
                  <w:vAlign w:val="center"/>
                </w:tcPr>
                <w:p w14:paraId="0C32C17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cs="Times New Roman"/>
                      <w:b/>
                      <w:bCs/>
                      <w:color w:val="auto"/>
                      <w:kern w:val="0"/>
                      <w:sz w:val="21"/>
                      <w:szCs w:val="20"/>
                      <w:lang w:val="en-US" w:eastAsia="zh-CN" w:bidi="ar-SA"/>
                    </w:rPr>
                    <w:t>危险废物</w:t>
                  </w:r>
                  <w:r>
                    <w:rPr>
                      <w:rFonts w:hint="eastAsia" w:ascii="Times New Roman" w:hAnsi="Times New Roman" w:eastAsia="宋体" w:cs="Times New Roman"/>
                      <w:b/>
                      <w:bCs/>
                      <w:color w:val="auto"/>
                      <w:kern w:val="0"/>
                      <w:sz w:val="21"/>
                      <w:szCs w:val="20"/>
                      <w:lang w:val="en-US" w:eastAsia="zh-CN" w:bidi="ar-SA"/>
                    </w:rPr>
                    <w:t>名称</w:t>
                  </w:r>
                </w:p>
              </w:tc>
              <w:tc>
                <w:tcPr>
                  <w:tcW w:w="453" w:type="pct"/>
                  <w:tcBorders>
                    <w:tl2br w:val="nil"/>
                    <w:tr2bl w:val="nil"/>
                  </w:tcBorders>
                  <w:noWrap w:val="0"/>
                  <w:vAlign w:val="center"/>
                </w:tcPr>
                <w:p w14:paraId="0C6A74E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cs="Times New Roman"/>
                      <w:b/>
                      <w:bCs/>
                      <w:color w:val="auto"/>
                      <w:kern w:val="0"/>
                      <w:sz w:val="21"/>
                      <w:szCs w:val="20"/>
                      <w:lang w:val="en-US" w:eastAsia="zh-CN" w:bidi="ar-SA"/>
                    </w:rPr>
                    <w:t>危险废物</w:t>
                  </w:r>
                  <w:r>
                    <w:rPr>
                      <w:rFonts w:hint="eastAsia" w:ascii="Times New Roman" w:hAnsi="Times New Roman" w:eastAsia="宋体" w:cs="Times New Roman"/>
                      <w:b/>
                      <w:bCs/>
                      <w:color w:val="auto"/>
                      <w:kern w:val="0"/>
                      <w:sz w:val="21"/>
                      <w:szCs w:val="20"/>
                      <w:lang w:val="en-US" w:eastAsia="zh-CN" w:bidi="ar-SA"/>
                    </w:rPr>
                    <w:t>类别</w:t>
                  </w:r>
                </w:p>
              </w:tc>
              <w:tc>
                <w:tcPr>
                  <w:tcW w:w="699" w:type="pct"/>
                  <w:tcBorders>
                    <w:tl2br w:val="nil"/>
                    <w:tr2bl w:val="nil"/>
                  </w:tcBorders>
                  <w:noWrap w:val="0"/>
                  <w:vAlign w:val="center"/>
                </w:tcPr>
                <w:p w14:paraId="200009D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cs="Times New Roman"/>
                      <w:b/>
                      <w:bCs/>
                      <w:color w:val="auto"/>
                      <w:kern w:val="0"/>
                      <w:sz w:val="21"/>
                      <w:szCs w:val="20"/>
                      <w:lang w:val="en-US" w:eastAsia="zh-CN" w:bidi="ar-SA"/>
                    </w:rPr>
                    <w:t>危险废物</w:t>
                  </w:r>
                  <w:r>
                    <w:rPr>
                      <w:rFonts w:hint="eastAsia" w:ascii="Times New Roman" w:hAnsi="Times New Roman" w:eastAsia="宋体" w:cs="Times New Roman"/>
                      <w:b/>
                      <w:bCs/>
                      <w:color w:val="auto"/>
                      <w:kern w:val="0"/>
                      <w:sz w:val="21"/>
                      <w:szCs w:val="20"/>
                      <w:lang w:val="en-US" w:eastAsia="zh-CN" w:bidi="ar-SA"/>
                    </w:rPr>
                    <w:t>代码</w:t>
                  </w:r>
                </w:p>
              </w:tc>
              <w:tc>
                <w:tcPr>
                  <w:tcW w:w="469" w:type="pct"/>
                  <w:tcBorders>
                    <w:tl2br w:val="nil"/>
                    <w:tr2bl w:val="nil"/>
                  </w:tcBorders>
                  <w:noWrap w:val="0"/>
                  <w:vAlign w:val="center"/>
                </w:tcPr>
                <w:p w14:paraId="40AEE3D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产生环节</w:t>
                  </w:r>
                </w:p>
              </w:tc>
              <w:tc>
                <w:tcPr>
                  <w:tcW w:w="374" w:type="pct"/>
                  <w:tcBorders>
                    <w:tl2br w:val="nil"/>
                    <w:tr2bl w:val="nil"/>
                  </w:tcBorders>
                  <w:noWrap w:val="0"/>
                  <w:vAlign w:val="center"/>
                </w:tcPr>
                <w:p w14:paraId="2F59AF9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状态</w:t>
                  </w:r>
                </w:p>
              </w:tc>
              <w:tc>
                <w:tcPr>
                  <w:tcW w:w="393" w:type="pct"/>
                  <w:tcBorders>
                    <w:tl2br w:val="nil"/>
                    <w:tr2bl w:val="nil"/>
                  </w:tcBorders>
                  <w:noWrap w:val="0"/>
                  <w:vAlign w:val="center"/>
                </w:tcPr>
                <w:p w14:paraId="2DAF6FBB">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主要成分</w:t>
                  </w:r>
                </w:p>
              </w:tc>
              <w:tc>
                <w:tcPr>
                  <w:tcW w:w="384" w:type="pct"/>
                  <w:tcBorders>
                    <w:tl2br w:val="nil"/>
                    <w:tr2bl w:val="nil"/>
                  </w:tcBorders>
                  <w:noWrap w:val="0"/>
                  <w:vAlign w:val="center"/>
                </w:tcPr>
                <w:p w14:paraId="771F81C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危险特性</w:t>
                  </w:r>
                </w:p>
              </w:tc>
              <w:tc>
                <w:tcPr>
                  <w:tcW w:w="604" w:type="pct"/>
                  <w:tcBorders>
                    <w:tl2br w:val="nil"/>
                    <w:tr2bl w:val="nil"/>
                  </w:tcBorders>
                  <w:noWrap w:val="0"/>
                  <w:vAlign w:val="center"/>
                </w:tcPr>
                <w:p w14:paraId="1F25162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cs="Times New Roman"/>
                      <w:b/>
                      <w:bCs/>
                      <w:color w:val="auto"/>
                      <w:kern w:val="0"/>
                      <w:sz w:val="21"/>
                      <w:szCs w:val="20"/>
                      <w:lang w:val="en-US" w:eastAsia="zh-CN" w:bidi="ar-SA"/>
                    </w:rPr>
                    <w:t>本次项目</w:t>
                  </w:r>
                  <w:r>
                    <w:rPr>
                      <w:rFonts w:hint="eastAsia" w:ascii="Times New Roman" w:hAnsi="Times New Roman" w:eastAsia="宋体" w:cs="Times New Roman"/>
                      <w:b/>
                      <w:bCs/>
                      <w:color w:val="auto"/>
                      <w:kern w:val="0"/>
                      <w:sz w:val="21"/>
                      <w:szCs w:val="20"/>
                      <w:lang w:val="en-US" w:eastAsia="zh-CN" w:bidi="ar-SA"/>
                    </w:rPr>
                    <w:t>产生量</w:t>
                  </w:r>
                </w:p>
              </w:tc>
              <w:tc>
                <w:tcPr>
                  <w:tcW w:w="609" w:type="pct"/>
                  <w:tcBorders>
                    <w:tl2br w:val="nil"/>
                    <w:tr2bl w:val="nil"/>
                  </w:tcBorders>
                  <w:noWrap w:val="0"/>
                  <w:vAlign w:val="center"/>
                </w:tcPr>
                <w:p w14:paraId="19AC8FA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处置措施</w:t>
                  </w:r>
                </w:p>
              </w:tc>
            </w:tr>
            <w:tr w14:paraId="521F6F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8" w:hRule="atLeast"/>
                <w:jc w:val="center"/>
              </w:trPr>
              <w:tc>
                <w:tcPr>
                  <w:tcW w:w="300" w:type="pct"/>
                  <w:tcBorders>
                    <w:tl2br w:val="nil"/>
                    <w:tr2bl w:val="nil"/>
                  </w:tcBorders>
                  <w:noWrap w:val="0"/>
                  <w:vAlign w:val="center"/>
                </w:tcPr>
                <w:p w14:paraId="79280C1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w:t>
                  </w:r>
                </w:p>
              </w:tc>
              <w:tc>
                <w:tcPr>
                  <w:tcW w:w="711" w:type="pct"/>
                  <w:tcBorders>
                    <w:tl2br w:val="nil"/>
                    <w:tr2bl w:val="nil"/>
                  </w:tcBorders>
                  <w:noWrap w:val="0"/>
                  <w:vAlign w:val="center"/>
                </w:tcPr>
                <w:p w14:paraId="7FB7F24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废活性炭</w:t>
                  </w:r>
                </w:p>
              </w:tc>
              <w:tc>
                <w:tcPr>
                  <w:tcW w:w="453" w:type="pct"/>
                  <w:tcBorders>
                    <w:tl2br w:val="nil"/>
                    <w:tr2bl w:val="nil"/>
                  </w:tcBorders>
                  <w:noWrap w:val="0"/>
                  <w:vAlign w:val="center"/>
                </w:tcPr>
                <w:p w14:paraId="283EC68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HW49</w:t>
                  </w:r>
                </w:p>
              </w:tc>
              <w:tc>
                <w:tcPr>
                  <w:tcW w:w="699" w:type="pct"/>
                  <w:tcBorders>
                    <w:tl2br w:val="nil"/>
                    <w:tr2bl w:val="nil"/>
                  </w:tcBorders>
                  <w:noWrap w:val="0"/>
                  <w:vAlign w:val="center"/>
                </w:tcPr>
                <w:p w14:paraId="6ACB457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900-039-49</w:t>
                  </w:r>
                </w:p>
              </w:tc>
              <w:tc>
                <w:tcPr>
                  <w:tcW w:w="469" w:type="pct"/>
                  <w:tcBorders>
                    <w:tl2br w:val="nil"/>
                    <w:tr2bl w:val="nil"/>
                  </w:tcBorders>
                  <w:noWrap w:val="0"/>
                  <w:vAlign w:val="center"/>
                </w:tcPr>
                <w:p w14:paraId="3587241D">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废气治理</w:t>
                  </w:r>
                </w:p>
              </w:tc>
              <w:tc>
                <w:tcPr>
                  <w:tcW w:w="374" w:type="pct"/>
                  <w:tcBorders>
                    <w:tl2br w:val="nil"/>
                    <w:tr2bl w:val="nil"/>
                  </w:tcBorders>
                  <w:noWrap w:val="0"/>
                  <w:vAlign w:val="center"/>
                </w:tcPr>
                <w:p w14:paraId="36BAF2C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393" w:type="pct"/>
                  <w:tcBorders>
                    <w:tl2br w:val="nil"/>
                    <w:tr2bl w:val="nil"/>
                  </w:tcBorders>
                  <w:noWrap w:val="0"/>
                  <w:vAlign w:val="center"/>
                </w:tcPr>
                <w:p w14:paraId="7FF61FE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饱和活性炭、非甲烷总烃</w:t>
                  </w:r>
                </w:p>
              </w:tc>
              <w:tc>
                <w:tcPr>
                  <w:tcW w:w="384" w:type="pct"/>
                  <w:tcBorders>
                    <w:tl2br w:val="nil"/>
                    <w:tr2bl w:val="nil"/>
                  </w:tcBorders>
                  <w:noWrap w:val="0"/>
                  <w:vAlign w:val="center"/>
                </w:tcPr>
                <w:p w14:paraId="4C71B52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T/In</w:t>
                  </w:r>
                </w:p>
              </w:tc>
              <w:tc>
                <w:tcPr>
                  <w:tcW w:w="604" w:type="pct"/>
                  <w:tcBorders>
                    <w:tl2br w:val="nil"/>
                    <w:tr2bl w:val="nil"/>
                  </w:tcBorders>
                  <w:noWrap w:val="0"/>
                  <w:vAlign w:val="center"/>
                </w:tcPr>
                <w:p w14:paraId="3BABFF8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0.7428</w:t>
                  </w:r>
                  <w:r>
                    <w:rPr>
                      <w:rFonts w:hint="eastAsia" w:ascii="Times New Roman" w:hAnsi="Times New Roman" w:eastAsia="宋体" w:cs="Times New Roman"/>
                      <w:color w:val="auto"/>
                      <w:kern w:val="0"/>
                      <w:sz w:val="21"/>
                      <w:szCs w:val="20"/>
                      <w:lang w:val="en-US" w:eastAsia="zh-CN" w:bidi="ar-SA"/>
                    </w:rPr>
                    <w:t>t/a</w:t>
                  </w:r>
                </w:p>
              </w:tc>
              <w:tc>
                <w:tcPr>
                  <w:tcW w:w="609" w:type="pct"/>
                  <w:vMerge w:val="restart"/>
                  <w:tcBorders>
                    <w:tl2br w:val="nil"/>
                    <w:tr2bl w:val="nil"/>
                  </w:tcBorders>
                  <w:noWrap w:val="0"/>
                  <w:vAlign w:val="center"/>
                </w:tcPr>
                <w:p w14:paraId="0CD1C2A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收集后暂存至厂区的</w:t>
                  </w:r>
                  <w:r>
                    <w:rPr>
                      <w:rFonts w:hint="eastAsia" w:cs="Times New Roman"/>
                      <w:color w:val="auto"/>
                      <w:kern w:val="0"/>
                      <w:sz w:val="21"/>
                      <w:szCs w:val="20"/>
                      <w:lang w:val="en-US" w:eastAsia="zh-CN" w:bidi="ar-SA"/>
                    </w:rPr>
                    <w:t>危险废物</w:t>
                  </w:r>
                  <w:r>
                    <w:rPr>
                      <w:rFonts w:hint="eastAsia" w:ascii="Times New Roman" w:hAnsi="Times New Roman" w:eastAsia="宋体" w:cs="Times New Roman"/>
                      <w:color w:val="auto"/>
                      <w:kern w:val="0"/>
                      <w:sz w:val="21"/>
                      <w:szCs w:val="20"/>
                      <w:lang w:val="en-US" w:eastAsia="zh-CN" w:bidi="ar-SA"/>
                    </w:rPr>
                    <w:t>贮存库中，定期委托有</w:t>
                  </w:r>
                  <w:r>
                    <w:rPr>
                      <w:rFonts w:hint="eastAsia" w:cs="Times New Roman"/>
                      <w:color w:val="auto"/>
                      <w:kern w:val="0"/>
                      <w:sz w:val="21"/>
                      <w:szCs w:val="20"/>
                      <w:lang w:val="en-US" w:eastAsia="zh-CN" w:bidi="ar-SA"/>
                    </w:rPr>
                    <w:t>危险废物</w:t>
                  </w:r>
                  <w:r>
                    <w:rPr>
                      <w:rFonts w:hint="eastAsia" w:ascii="Times New Roman" w:hAnsi="Times New Roman" w:eastAsia="宋体" w:cs="Times New Roman"/>
                      <w:color w:val="auto"/>
                      <w:kern w:val="0"/>
                      <w:sz w:val="21"/>
                      <w:szCs w:val="20"/>
                      <w:lang w:val="en-US" w:eastAsia="zh-CN" w:bidi="ar-SA"/>
                    </w:rPr>
                    <w:t>处置资质单位进行处理</w:t>
                  </w:r>
                </w:p>
              </w:tc>
            </w:tr>
            <w:tr w14:paraId="353EBA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300" w:type="pct"/>
                  <w:tcBorders>
                    <w:tl2br w:val="nil"/>
                    <w:tr2bl w:val="nil"/>
                  </w:tcBorders>
                  <w:noWrap w:val="0"/>
                  <w:vAlign w:val="center"/>
                </w:tcPr>
                <w:p w14:paraId="5D770C0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w:t>
                  </w:r>
                </w:p>
              </w:tc>
              <w:tc>
                <w:tcPr>
                  <w:tcW w:w="711" w:type="pct"/>
                  <w:tcBorders>
                    <w:tl2br w:val="nil"/>
                    <w:tr2bl w:val="nil"/>
                  </w:tcBorders>
                  <w:noWrap w:val="0"/>
                  <w:vAlign w:val="center"/>
                </w:tcPr>
                <w:p w14:paraId="056DA7F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废绸布和废</w:t>
                  </w:r>
                  <w:r>
                    <w:rPr>
                      <w:rFonts w:hint="eastAsia" w:cs="Times New Roman"/>
                      <w:color w:val="auto"/>
                      <w:kern w:val="0"/>
                      <w:sz w:val="21"/>
                      <w:szCs w:val="20"/>
                      <w:lang w:val="en-US" w:eastAsia="zh-CN" w:bidi="ar-SA"/>
                    </w:rPr>
                    <w:t>擦拭纸</w:t>
                  </w:r>
                </w:p>
              </w:tc>
              <w:tc>
                <w:tcPr>
                  <w:tcW w:w="453" w:type="pct"/>
                  <w:tcBorders>
                    <w:tl2br w:val="nil"/>
                    <w:tr2bl w:val="nil"/>
                  </w:tcBorders>
                  <w:noWrap w:val="0"/>
                  <w:vAlign w:val="center"/>
                </w:tcPr>
                <w:p w14:paraId="7C19543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HW49</w:t>
                  </w:r>
                </w:p>
              </w:tc>
              <w:tc>
                <w:tcPr>
                  <w:tcW w:w="699" w:type="pct"/>
                  <w:tcBorders>
                    <w:tl2br w:val="nil"/>
                    <w:tr2bl w:val="nil"/>
                  </w:tcBorders>
                  <w:noWrap w:val="0"/>
                  <w:vAlign w:val="center"/>
                </w:tcPr>
                <w:p w14:paraId="2DA54A1E">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900-041-49</w:t>
                  </w:r>
                </w:p>
              </w:tc>
              <w:tc>
                <w:tcPr>
                  <w:tcW w:w="469" w:type="pct"/>
                  <w:tcBorders>
                    <w:tl2br w:val="nil"/>
                    <w:tr2bl w:val="nil"/>
                  </w:tcBorders>
                  <w:noWrap w:val="0"/>
                  <w:vAlign w:val="center"/>
                </w:tcPr>
                <w:p w14:paraId="59CCE0E8">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擦拭检测</w:t>
                  </w:r>
                </w:p>
              </w:tc>
              <w:tc>
                <w:tcPr>
                  <w:tcW w:w="374" w:type="pct"/>
                  <w:tcBorders>
                    <w:tl2br w:val="nil"/>
                    <w:tr2bl w:val="nil"/>
                  </w:tcBorders>
                  <w:noWrap w:val="0"/>
                  <w:vAlign w:val="center"/>
                </w:tcPr>
                <w:p w14:paraId="0986C753">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393" w:type="pct"/>
                  <w:tcBorders>
                    <w:tl2br w:val="nil"/>
                    <w:tr2bl w:val="nil"/>
                  </w:tcBorders>
                  <w:noWrap w:val="0"/>
                  <w:vAlign w:val="center"/>
                </w:tcPr>
                <w:p w14:paraId="3A3D48BE">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有机溶剂</w:t>
                  </w:r>
                </w:p>
              </w:tc>
              <w:tc>
                <w:tcPr>
                  <w:tcW w:w="384" w:type="pct"/>
                  <w:tcBorders>
                    <w:tl2br w:val="nil"/>
                    <w:tr2bl w:val="nil"/>
                  </w:tcBorders>
                  <w:noWrap w:val="0"/>
                  <w:vAlign w:val="center"/>
                </w:tcPr>
                <w:p w14:paraId="59AE925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T/In</w:t>
                  </w:r>
                </w:p>
              </w:tc>
              <w:tc>
                <w:tcPr>
                  <w:tcW w:w="604" w:type="pct"/>
                  <w:tcBorders>
                    <w:tl2br w:val="nil"/>
                    <w:tr2bl w:val="nil"/>
                  </w:tcBorders>
                  <w:noWrap w:val="0"/>
                  <w:vAlign w:val="center"/>
                </w:tcPr>
                <w:p w14:paraId="6E9A7ED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0.0</w:t>
                  </w:r>
                  <w:r>
                    <w:rPr>
                      <w:rFonts w:hint="eastAsia" w:cs="Times New Roman"/>
                      <w:color w:val="auto"/>
                      <w:kern w:val="0"/>
                      <w:sz w:val="21"/>
                      <w:szCs w:val="20"/>
                      <w:lang w:val="en-US" w:eastAsia="zh-CN" w:bidi="ar-SA"/>
                    </w:rPr>
                    <w:t>0</w:t>
                  </w:r>
                  <w:r>
                    <w:rPr>
                      <w:rFonts w:hint="eastAsia" w:ascii="Times New Roman" w:hAnsi="Times New Roman" w:eastAsia="宋体" w:cs="Times New Roman"/>
                      <w:color w:val="auto"/>
                      <w:kern w:val="0"/>
                      <w:sz w:val="21"/>
                      <w:szCs w:val="20"/>
                      <w:lang w:val="en-US" w:eastAsia="zh-CN" w:bidi="ar-SA"/>
                    </w:rPr>
                    <w:t>5t/a</w:t>
                  </w:r>
                </w:p>
              </w:tc>
              <w:tc>
                <w:tcPr>
                  <w:tcW w:w="609" w:type="pct"/>
                  <w:vMerge w:val="continue"/>
                  <w:tcBorders>
                    <w:tl2br w:val="nil"/>
                    <w:tr2bl w:val="nil"/>
                  </w:tcBorders>
                  <w:noWrap w:val="0"/>
                  <w:vAlign w:val="center"/>
                </w:tcPr>
                <w:p w14:paraId="12C13C3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r>
            <w:tr w14:paraId="4742B3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300" w:type="pct"/>
                  <w:tcBorders>
                    <w:tl2br w:val="nil"/>
                    <w:tr2bl w:val="nil"/>
                  </w:tcBorders>
                  <w:noWrap w:val="0"/>
                  <w:vAlign w:val="center"/>
                </w:tcPr>
                <w:p w14:paraId="69F5ED8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3</w:t>
                  </w:r>
                </w:p>
              </w:tc>
              <w:tc>
                <w:tcPr>
                  <w:tcW w:w="711" w:type="pct"/>
                  <w:tcBorders>
                    <w:tl2br w:val="nil"/>
                    <w:tr2bl w:val="nil"/>
                  </w:tcBorders>
                  <w:noWrap w:val="0"/>
                  <w:vAlign w:val="center"/>
                </w:tcPr>
                <w:p w14:paraId="62A4173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废包装容器</w:t>
                  </w:r>
                </w:p>
              </w:tc>
              <w:tc>
                <w:tcPr>
                  <w:tcW w:w="453" w:type="pct"/>
                  <w:tcBorders>
                    <w:tl2br w:val="nil"/>
                    <w:tr2bl w:val="nil"/>
                  </w:tcBorders>
                  <w:noWrap w:val="0"/>
                  <w:vAlign w:val="center"/>
                </w:tcPr>
                <w:p w14:paraId="61FAFAC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HW49</w:t>
                  </w:r>
                </w:p>
              </w:tc>
              <w:tc>
                <w:tcPr>
                  <w:tcW w:w="699" w:type="pct"/>
                  <w:tcBorders>
                    <w:tl2br w:val="nil"/>
                    <w:tr2bl w:val="nil"/>
                  </w:tcBorders>
                  <w:noWrap w:val="0"/>
                  <w:vAlign w:val="center"/>
                </w:tcPr>
                <w:p w14:paraId="71D0E2E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900-041-49</w:t>
                  </w:r>
                </w:p>
              </w:tc>
              <w:tc>
                <w:tcPr>
                  <w:tcW w:w="469" w:type="pct"/>
                  <w:tcBorders>
                    <w:tl2br w:val="nil"/>
                    <w:tr2bl w:val="nil"/>
                  </w:tcBorders>
                  <w:noWrap w:val="0"/>
                  <w:vAlign w:val="center"/>
                </w:tcPr>
                <w:p w14:paraId="365522C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w:t>
                  </w:r>
                </w:p>
              </w:tc>
              <w:tc>
                <w:tcPr>
                  <w:tcW w:w="374" w:type="pct"/>
                  <w:tcBorders>
                    <w:tl2br w:val="nil"/>
                    <w:tr2bl w:val="nil"/>
                  </w:tcBorders>
                  <w:noWrap w:val="0"/>
                  <w:vAlign w:val="center"/>
                </w:tcPr>
                <w:p w14:paraId="3396835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固态</w:t>
                  </w:r>
                </w:p>
              </w:tc>
              <w:tc>
                <w:tcPr>
                  <w:tcW w:w="393" w:type="pct"/>
                  <w:tcBorders>
                    <w:tl2br w:val="nil"/>
                    <w:tr2bl w:val="nil"/>
                  </w:tcBorders>
                  <w:noWrap w:val="0"/>
                  <w:vAlign w:val="center"/>
                </w:tcPr>
                <w:p w14:paraId="47E122C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有机溶剂</w:t>
                  </w:r>
                </w:p>
              </w:tc>
              <w:tc>
                <w:tcPr>
                  <w:tcW w:w="384" w:type="pct"/>
                  <w:tcBorders>
                    <w:tl2br w:val="nil"/>
                    <w:tr2bl w:val="nil"/>
                  </w:tcBorders>
                  <w:noWrap w:val="0"/>
                  <w:vAlign w:val="center"/>
                </w:tcPr>
                <w:p w14:paraId="25BB732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lang w:val="en-US" w:eastAsia="zh-CN" w:bidi="ar-SA"/>
                    </w:rPr>
                    <w:t>T/In</w:t>
                  </w:r>
                </w:p>
              </w:tc>
              <w:tc>
                <w:tcPr>
                  <w:tcW w:w="604" w:type="pct"/>
                  <w:tcBorders>
                    <w:tl2br w:val="nil"/>
                    <w:tr2bl w:val="nil"/>
                  </w:tcBorders>
                  <w:noWrap w:val="0"/>
                  <w:vAlign w:val="center"/>
                </w:tcPr>
                <w:p w14:paraId="590A457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0.45t/a</w:t>
                  </w:r>
                </w:p>
              </w:tc>
              <w:tc>
                <w:tcPr>
                  <w:tcW w:w="609" w:type="pct"/>
                  <w:vMerge w:val="continue"/>
                  <w:tcBorders>
                    <w:tl2br w:val="nil"/>
                    <w:tr2bl w:val="nil"/>
                  </w:tcBorders>
                  <w:noWrap w:val="0"/>
                  <w:vAlign w:val="center"/>
                </w:tcPr>
                <w:p w14:paraId="7D2F813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r>
            <w:tr w14:paraId="48904D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300" w:type="pct"/>
                  <w:tcBorders>
                    <w:tl2br w:val="nil"/>
                    <w:tr2bl w:val="nil"/>
                  </w:tcBorders>
                  <w:noWrap w:val="0"/>
                  <w:vAlign w:val="center"/>
                </w:tcPr>
                <w:p w14:paraId="19E3353F">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4</w:t>
                  </w:r>
                </w:p>
              </w:tc>
              <w:tc>
                <w:tcPr>
                  <w:tcW w:w="711" w:type="pct"/>
                  <w:tcBorders>
                    <w:tl2br w:val="nil"/>
                    <w:tr2bl w:val="nil"/>
                  </w:tcBorders>
                  <w:noWrap w:val="0"/>
                  <w:vAlign w:val="center"/>
                </w:tcPr>
                <w:p w14:paraId="3B93BEB3">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废切削液</w:t>
                  </w:r>
                  <w:r>
                    <w:rPr>
                      <w:rFonts w:hint="eastAsia" w:cs="Times New Roman"/>
                      <w:color w:val="auto"/>
                      <w:kern w:val="0"/>
                      <w:sz w:val="21"/>
                      <w:szCs w:val="20"/>
                      <w:lang w:val="en-US" w:eastAsia="zh-CN" w:bidi="ar-SA"/>
                    </w:rPr>
                    <w:t>及污泥</w:t>
                  </w:r>
                </w:p>
              </w:tc>
              <w:tc>
                <w:tcPr>
                  <w:tcW w:w="453" w:type="pct"/>
                  <w:tcBorders>
                    <w:tl2br w:val="nil"/>
                    <w:tr2bl w:val="nil"/>
                  </w:tcBorders>
                  <w:noWrap w:val="0"/>
                  <w:vAlign w:val="center"/>
                </w:tcPr>
                <w:p w14:paraId="57F9611D">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highlight w:val="none"/>
                      <w:lang w:val="en-US" w:eastAsia="zh-CN" w:bidi="ar-SA"/>
                    </w:rPr>
                    <w:t>HW09</w:t>
                  </w:r>
                </w:p>
              </w:tc>
              <w:tc>
                <w:tcPr>
                  <w:tcW w:w="699" w:type="pct"/>
                  <w:tcBorders>
                    <w:tl2br w:val="nil"/>
                    <w:tr2bl w:val="nil"/>
                  </w:tcBorders>
                  <w:noWrap w:val="0"/>
                  <w:vAlign w:val="center"/>
                </w:tcPr>
                <w:p w14:paraId="3EEA1F13">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highlight w:val="none"/>
                      <w:lang w:val="en-US" w:eastAsia="zh-CN" w:bidi="ar-SA"/>
                    </w:rPr>
                    <w:t>900-006-09</w:t>
                  </w:r>
                </w:p>
              </w:tc>
              <w:tc>
                <w:tcPr>
                  <w:tcW w:w="469" w:type="pct"/>
                  <w:tcBorders>
                    <w:tl2br w:val="nil"/>
                    <w:tr2bl w:val="nil"/>
                  </w:tcBorders>
                  <w:noWrap w:val="0"/>
                  <w:vAlign w:val="center"/>
                </w:tcPr>
                <w:p w14:paraId="11184176">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highlight w:val="none"/>
                      <w:lang w:val="en-US" w:eastAsia="zh-CN" w:bidi="ar-SA"/>
                    </w:rPr>
                    <w:t>铣磨、磨边</w:t>
                  </w:r>
                </w:p>
              </w:tc>
              <w:tc>
                <w:tcPr>
                  <w:tcW w:w="374" w:type="pct"/>
                  <w:tcBorders>
                    <w:tl2br w:val="nil"/>
                    <w:tr2bl w:val="nil"/>
                  </w:tcBorders>
                  <w:noWrap w:val="0"/>
                  <w:vAlign w:val="center"/>
                </w:tcPr>
                <w:p w14:paraId="0DA3BD39">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highlight w:val="none"/>
                      <w:lang w:val="en-US" w:eastAsia="zh-CN" w:bidi="ar-SA"/>
                    </w:rPr>
                    <w:t>液态</w:t>
                  </w:r>
                </w:p>
              </w:tc>
              <w:tc>
                <w:tcPr>
                  <w:tcW w:w="393" w:type="pct"/>
                  <w:tcBorders>
                    <w:tl2br w:val="nil"/>
                    <w:tr2bl w:val="nil"/>
                  </w:tcBorders>
                  <w:noWrap w:val="0"/>
                  <w:vAlign w:val="center"/>
                </w:tcPr>
                <w:p w14:paraId="6EBF3B0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废切削液</w:t>
                  </w:r>
                </w:p>
              </w:tc>
              <w:tc>
                <w:tcPr>
                  <w:tcW w:w="384" w:type="pct"/>
                  <w:tcBorders>
                    <w:tl2br w:val="nil"/>
                    <w:tr2bl w:val="nil"/>
                  </w:tcBorders>
                  <w:noWrap w:val="0"/>
                  <w:vAlign w:val="center"/>
                </w:tcPr>
                <w:p w14:paraId="7519E19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default" w:ascii="Times New Roman" w:hAnsi="Times New Roman" w:eastAsia="宋体" w:cs="Times New Roman"/>
                      <w:color w:val="auto"/>
                      <w:kern w:val="0"/>
                      <w:sz w:val="21"/>
                      <w:szCs w:val="20"/>
                      <w:highlight w:val="none"/>
                      <w:lang w:val="en-US" w:eastAsia="zh-CN" w:bidi="ar-SA"/>
                    </w:rPr>
                    <w:t>T/C</w:t>
                  </w:r>
                </w:p>
              </w:tc>
              <w:tc>
                <w:tcPr>
                  <w:tcW w:w="604" w:type="pct"/>
                  <w:tcBorders>
                    <w:tl2br w:val="nil"/>
                    <w:tr2bl w:val="nil"/>
                  </w:tcBorders>
                  <w:noWrap w:val="0"/>
                  <w:vAlign w:val="center"/>
                </w:tcPr>
                <w:p w14:paraId="7E556415">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highlight w:val="none"/>
                      <w:lang w:val="en-US" w:eastAsia="zh-CN" w:bidi="ar-SA"/>
                    </w:rPr>
                    <w:t>0.1t/a</w:t>
                  </w:r>
                </w:p>
              </w:tc>
              <w:tc>
                <w:tcPr>
                  <w:tcW w:w="609" w:type="pct"/>
                  <w:vMerge w:val="continue"/>
                  <w:tcBorders>
                    <w:tl2br w:val="nil"/>
                    <w:tr2bl w:val="nil"/>
                  </w:tcBorders>
                  <w:noWrap w:val="0"/>
                  <w:vAlign w:val="center"/>
                </w:tcPr>
                <w:p w14:paraId="7E3C62E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r>
            <w:tr w14:paraId="31B13D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300" w:type="pct"/>
                  <w:tcBorders>
                    <w:tl2br w:val="nil"/>
                    <w:tr2bl w:val="nil"/>
                  </w:tcBorders>
                  <w:noWrap w:val="0"/>
                  <w:vAlign w:val="center"/>
                </w:tcPr>
                <w:p w14:paraId="7407984E">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5</w:t>
                  </w:r>
                </w:p>
              </w:tc>
              <w:tc>
                <w:tcPr>
                  <w:tcW w:w="711" w:type="pct"/>
                  <w:tcBorders>
                    <w:tl2br w:val="nil"/>
                    <w:tr2bl w:val="nil"/>
                  </w:tcBorders>
                  <w:noWrap w:val="0"/>
                  <w:vAlign w:val="center"/>
                </w:tcPr>
                <w:p w14:paraId="08BF8FE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废除油剂</w:t>
                  </w:r>
                </w:p>
              </w:tc>
              <w:tc>
                <w:tcPr>
                  <w:tcW w:w="453" w:type="pct"/>
                  <w:tcBorders>
                    <w:tl2br w:val="nil"/>
                    <w:tr2bl w:val="nil"/>
                  </w:tcBorders>
                  <w:noWrap w:val="0"/>
                  <w:vAlign w:val="center"/>
                </w:tcPr>
                <w:p w14:paraId="1B2721A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HW09</w:t>
                  </w:r>
                </w:p>
              </w:tc>
              <w:tc>
                <w:tcPr>
                  <w:tcW w:w="699" w:type="pct"/>
                  <w:tcBorders>
                    <w:tl2br w:val="nil"/>
                    <w:tr2bl w:val="nil"/>
                  </w:tcBorders>
                  <w:noWrap w:val="0"/>
                  <w:vAlign w:val="center"/>
                </w:tcPr>
                <w:p w14:paraId="20C6BEB9">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highlight w:val="none"/>
                      <w:lang w:val="en-US" w:eastAsia="zh-CN" w:bidi="ar-SA"/>
                    </w:rPr>
                  </w:pPr>
                  <w:r>
                    <w:rPr>
                      <w:rFonts w:hint="default" w:ascii="Times New Roman" w:hAnsi="Times New Roman" w:eastAsia="宋体" w:cs="Times New Roman"/>
                      <w:color w:val="auto"/>
                      <w:kern w:val="0"/>
                      <w:sz w:val="21"/>
                      <w:szCs w:val="20"/>
                      <w:highlight w:val="none"/>
                      <w:lang w:val="en-US" w:eastAsia="zh-CN" w:bidi="ar-SA"/>
                    </w:rPr>
                    <w:t>900-007-09</w:t>
                  </w:r>
                </w:p>
              </w:tc>
              <w:tc>
                <w:tcPr>
                  <w:tcW w:w="469" w:type="pct"/>
                  <w:tcBorders>
                    <w:tl2br w:val="nil"/>
                    <w:tr2bl w:val="nil"/>
                  </w:tcBorders>
                  <w:noWrap w:val="0"/>
                  <w:vAlign w:val="center"/>
                </w:tcPr>
                <w:p w14:paraId="7C1E3A2F">
                  <w:pPr>
                    <w:widowControl w:val="0"/>
                    <w:bidi w:val="0"/>
                    <w:adjustRightInd w:val="0"/>
                    <w:snapToGrid w:val="0"/>
                    <w:spacing w:before="10" w:beforeLines="10" w:after="10" w:afterLines="10" w:line="240" w:lineRule="auto"/>
                    <w:jc w:val="center"/>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超声波清洗</w:t>
                  </w:r>
                </w:p>
              </w:tc>
              <w:tc>
                <w:tcPr>
                  <w:tcW w:w="374" w:type="pct"/>
                  <w:tcBorders>
                    <w:tl2br w:val="nil"/>
                    <w:tr2bl w:val="nil"/>
                  </w:tcBorders>
                  <w:noWrap w:val="0"/>
                  <w:vAlign w:val="center"/>
                </w:tcPr>
                <w:p w14:paraId="002800AD">
                  <w:pPr>
                    <w:widowControl w:val="0"/>
                    <w:bidi w:val="0"/>
                    <w:adjustRightInd w:val="0"/>
                    <w:snapToGrid w:val="0"/>
                    <w:spacing w:before="10" w:beforeLines="10" w:after="10" w:afterLines="10" w:line="240" w:lineRule="auto"/>
                    <w:jc w:val="center"/>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液态</w:t>
                  </w:r>
                </w:p>
              </w:tc>
              <w:tc>
                <w:tcPr>
                  <w:tcW w:w="393" w:type="pct"/>
                  <w:tcBorders>
                    <w:tl2br w:val="nil"/>
                    <w:tr2bl w:val="nil"/>
                  </w:tcBorders>
                  <w:noWrap w:val="0"/>
                  <w:vAlign w:val="center"/>
                </w:tcPr>
                <w:p w14:paraId="6037F363">
                  <w:pPr>
                    <w:widowControl w:val="0"/>
                    <w:bidi w:val="0"/>
                    <w:adjustRightInd w:val="0"/>
                    <w:snapToGrid w:val="0"/>
                    <w:spacing w:before="10" w:beforeLines="10" w:after="10" w:afterLines="10" w:line="240" w:lineRule="auto"/>
                    <w:jc w:val="center"/>
                    <w:rPr>
                      <w:rFonts w:hint="default" w:cs="Times New Roman"/>
                      <w:color w:val="auto"/>
                      <w:kern w:val="0"/>
                      <w:sz w:val="21"/>
                      <w:szCs w:val="20"/>
                      <w:lang w:val="en-US" w:eastAsia="zh-CN" w:bidi="ar-SA"/>
                    </w:rPr>
                  </w:pPr>
                  <w:r>
                    <w:rPr>
                      <w:rFonts w:hint="eastAsia" w:cs="Times New Roman"/>
                      <w:color w:val="auto"/>
                      <w:kern w:val="0"/>
                      <w:sz w:val="21"/>
                      <w:szCs w:val="20"/>
                      <w:lang w:val="en-US" w:eastAsia="zh-CN" w:bidi="ar-SA"/>
                    </w:rPr>
                    <w:t>除油剂</w:t>
                  </w:r>
                </w:p>
              </w:tc>
              <w:tc>
                <w:tcPr>
                  <w:tcW w:w="384" w:type="pct"/>
                  <w:tcBorders>
                    <w:tl2br w:val="nil"/>
                    <w:tr2bl w:val="nil"/>
                  </w:tcBorders>
                  <w:noWrap w:val="0"/>
                  <w:vAlign w:val="center"/>
                </w:tcPr>
                <w:p w14:paraId="685C8271">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T</w:t>
                  </w:r>
                </w:p>
              </w:tc>
              <w:tc>
                <w:tcPr>
                  <w:tcW w:w="604" w:type="pct"/>
                  <w:tcBorders>
                    <w:tl2br w:val="nil"/>
                    <w:tr2bl w:val="nil"/>
                  </w:tcBorders>
                  <w:noWrap w:val="0"/>
                  <w:vAlign w:val="center"/>
                </w:tcPr>
                <w:p w14:paraId="3B33A38B">
                  <w:pPr>
                    <w:widowControl w:val="0"/>
                    <w:bidi w:val="0"/>
                    <w:adjustRightInd w:val="0"/>
                    <w:snapToGrid w:val="0"/>
                    <w:spacing w:before="10" w:beforeLines="10" w:after="10" w:afterLines="10" w:line="240" w:lineRule="auto"/>
                    <w:jc w:val="center"/>
                    <w:rPr>
                      <w:rFonts w:hint="default"/>
                      <w:color w:val="auto"/>
                      <w:lang w:val="en-US" w:eastAsia="zh-CN"/>
                    </w:rPr>
                  </w:pPr>
                  <w:r>
                    <w:rPr>
                      <w:rFonts w:hint="eastAsia" w:cs="Times New Roman"/>
                      <w:color w:val="auto"/>
                      <w:kern w:val="0"/>
                      <w:sz w:val="21"/>
                      <w:szCs w:val="20"/>
                      <w:highlight w:val="none"/>
                      <w:lang w:val="en-US" w:eastAsia="zh-CN" w:bidi="ar-SA"/>
                    </w:rPr>
                    <w:t>1.2t/a</w:t>
                  </w:r>
                </w:p>
              </w:tc>
              <w:tc>
                <w:tcPr>
                  <w:tcW w:w="609" w:type="pct"/>
                  <w:vMerge w:val="continue"/>
                  <w:tcBorders>
                    <w:tl2br w:val="nil"/>
                    <w:tr2bl w:val="nil"/>
                  </w:tcBorders>
                  <w:noWrap w:val="0"/>
                  <w:vAlign w:val="center"/>
                </w:tcPr>
                <w:p w14:paraId="0FB09A8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p>
              </w:tc>
            </w:tr>
            <w:tr w14:paraId="0E9655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300" w:type="pct"/>
                  <w:tcBorders>
                    <w:tl2br w:val="nil"/>
                    <w:tr2bl w:val="nil"/>
                  </w:tcBorders>
                  <w:noWrap w:val="0"/>
                  <w:vAlign w:val="center"/>
                </w:tcPr>
                <w:p w14:paraId="311B11A6">
                  <w:pPr>
                    <w:widowControl w:val="0"/>
                    <w:bidi w:val="0"/>
                    <w:adjustRightInd w:val="0"/>
                    <w:snapToGrid w:val="0"/>
                    <w:spacing w:before="10" w:beforeLines="10" w:after="10" w:afterLines="10" w:line="240" w:lineRule="auto"/>
                    <w:jc w:val="center"/>
                    <w:rPr>
                      <w:rFonts w:hint="default" w:cs="Times New Roman"/>
                      <w:color w:val="auto"/>
                      <w:kern w:val="0"/>
                      <w:sz w:val="21"/>
                      <w:szCs w:val="20"/>
                      <w:lang w:val="en-US" w:eastAsia="zh-CN" w:bidi="ar-SA"/>
                    </w:rPr>
                  </w:pPr>
                  <w:r>
                    <w:rPr>
                      <w:rFonts w:hint="eastAsia" w:cs="Times New Roman"/>
                      <w:color w:val="auto"/>
                      <w:kern w:val="0"/>
                      <w:sz w:val="21"/>
                      <w:szCs w:val="20"/>
                      <w:lang w:val="en-US" w:eastAsia="zh-CN" w:bidi="ar-SA"/>
                    </w:rPr>
                    <w:t>6</w:t>
                  </w:r>
                </w:p>
              </w:tc>
              <w:tc>
                <w:tcPr>
                  <w:tcW w:w="711" w:type="pct"/>
                  <w:tcBorders>
                    <w:tl2br w:val="nil"/>
                    <w:tr2bl w:val="nil"/>
                  </w:tcBorders>
                  <w:noWrap w:val="0"/>
                  <w:vAlign w:val="center"/>
                </w:tcPr>
                <w:p w14:paraId="32B4B138">
                  <w:pPr>
                    <w:widowControl w:val="0"/>
                    <w:bidi w:val="0"/>
                    <w:adjustRightInd w:val="0"/>
                    <w:snapToGrid w:val="0"/>
                    <w:spacing w:before="10" w:beforeLines="10" w:after="10" w:afterLines="10" w:line="240" w:lineRule="auto"/>
                    <w:jc w:val="center"/>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废机油</w:t>
                  </w:r>
                </w:p>
              </w:tc>
              <w:tc>
                <w:tcPr>
                  <w:tcW w:w="453" w:type="pct"/>
                  <w:tcBorders>
                    <w:tl2br w:val="nil"/>
                    <w:tr2bl w:val="nil"/>
                  </w:tcBorders>
                  <w:noWrap w:val="0"/>
                  <w:vAlign w:val="center"/>
                </w:tcPr>
                <w:p w14:paraId="7282FBA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lang w:val="en-US" w:eastAsia="zh-CN" w:bidi="ar-SA"/>
                    </w:rPr>
                    <w:t>HW08</w:t>
                  </w:r>
                </w:p>
              </w:tc>
              <w:tc>
                <w:tcPr>
                  <w:tcW w:w="699" w:type="pct"/>
                  <w:tcBorders>
                    <w:tl2br w:val="nil"/>
                    <w:tr2bl w:val="nil"/>
                  </w:tcBorders>
                  <w:noWrap w:val="0"/>
                  <w:vAlign w:val="center"/>
                </w:tcPr>
                <w:p w14:paraId="233B80D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lang w:val="en-US" w:eastAsia="zh-CN" w:bidi="ar-SA"/>
                    </w:rPr>
                    <w:t>900-214-08</w:t>
                  </w:r>
                </w:p>
              </w:tc>
              <w:tc>
                <w:tcPr>
                  <w:tcW w:w="469" w:type="pct"/>
                  <w:tcBorders>
                    <w:tl2br w:val="nil"/>
                    <w:tr2bl w:val="nil"/>
                  </w:tcBorders>
                  <w:noWrap w:val="0"/>
                  <w:vAlign w:val="center"/>
                </w:tcPr>
                <w:p w14:paraId="2B206934">
                  <w:pPr>
                    <w:widowControl w:val="0"/>
                    <w:bidi w:val="0"/>
                    <w:adjustRightInd w:val="0"/>
                    <w:snapToGrid w:val="0"/>
                    <w:spacing w:before="10" w:beforeLines="10" w:after="10" w:afterLines="10" w:line="240" w:lineRule="auto"/>
                    <w:jc w:val="center"/>
                    <w:rPr>
                      <w:rFonts w:hint="eastAsia"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highlight w:val="none"/>
                      <w:lang w:val="en-US" w:eastAsia="zh-CN" w:bidi="ar-SA"/>
                    </w:rPr>
                    <w:t>设备检修</w:t>
                  </w:r>
                </w:p>
              </w:tc>
              <w:tc>
                <w:tcPr>
                  <w:tcW w:w="374" w:type="pct"/>
                  <w:tcBorders>
                    <w:tl2br w:val="nil"/>
                    <w:tr2bl w:val="nil"/>
                  </w:tcBorders>
                  <w:noWrap w:val="0"/>
                  <w:vAlign w:val="center"/>
                </w:tcPr>
                <w:p w14:paraId="0944FD26">
                  <w:pPr>
                    <w:widowControl w:val="0"/>
                    <w:bidi w:val="0"/>
                    <w:adjustRightInd w:val="0"/>
                    <w:snapToGrid w:val="0"/>
                    <w:spacing w:before="10" w:beforeLines="10" w:after="10" w:afterLines="10" w:line="240" w:lineRule="auto"/>
                    <w:jc w:val="center"/>
                    <w:rPr>
                      <w:rFonts w:hint="eastAsia"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lang w:val="en-US" w:eastAsia="zh-CN" w:bidi="ar-SA"/>
                    </w:rPr>
                    <w:t>液态</w:t>
                  </w:r>
                </w:p>
              </w:tc>
              <w:tc>
                <w:tcPr>
                  <w:tcW w:w="393" w:type="pct"/>
                  <w:tcBorders>
                    <w:tl2br w:val="nil"/>
                    <w:tr2bl w:val="nil"/>
                  </w:tcBorders>
                  <w:noWrap w:val="0"/>
                  <w:vAlign w:val="center"/>
                </w:tcPr>
                <w:p w14:paraId="0E9463EB">
                  <w:pPr>
                    <w:widowControl w:val="0"/>
                    <w:bidi w:val="0"/>
                    <w:adjustRightInd w:val="0"/>
                    <w:snapToGrid w:val="0"/>
                    <w:spacing w:before="10" w:beforeLines="10" w:after="10" w:afterLines="10" w:line="240" w:lineRule="auto"/>
                    <w:jc w:val="center"/>
                    <w:rPr>
                      <w:rFonts w:hint="eastAsia"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机油</w:t>
                  </w:r>
                </w:p>
              </w:tc>
              <w:tc>
                <w:tcPr>
                  <w:tcW w:w="384" w:type="pct"/>
                  <w:tcBorders>
                    <w:tl2br w:val="nil"/>
                    <w:tr2bl w:val="nil"/>
                  </w:tcBorders>
                  <w:noWrap w:val="0"/>
                  <w:vAlign w:val="center"/>
                </w:tcPr>
                <w:p w14:paraId="66C61A66">
                  <w:pPr>
                    <w:widowControl w:val="0"/>
                    <w:bidi w:val="0"/>
                    <w:adjustRightInd w:val="0"/>
                    <w:snapToGrid w:val="0"/>
                    <w:spacing w:before="10" w:beforeLines="10" w:after="10" w:afterLines="10" w:line="240" w:lineRule="auto"/>
                    <w:jc w:val="center"/>
                    <w:rPr>
                      <w:rFonts w:hint="eastAsia" w:cs="Times New Roman"/>
                      <w:color w:val="auto"/>
                      <w:kern w:val="0"/>
                      <w:sz w:val="21"/>
                      <w:szCs w:val="20"/>
                      <w:highlight w:val="none"/>
                      <w:lang w:val="en-US" w:eastAsia="zh-CN" w:bidi="ar-SA"/>
                    </w:rPr>
                  </w:pPr>
                  <w:r>
                    <w:rPr>
                      <w:rFonts w:hint="eastAsia" w:ascii="Times New Roman" w:hAnsi="Times New Roman" w:eastAsia="宋体" w:cs="Times New Roman"/>
                      <w:color w:val="auto"/>
                      <w:kern w:val="0"/>
                      <w:sz w:val="21"/>
                      <w:szCs w:val="20"/>
                      <w:lang w:val="en-US" w:eastAsia="zh-CN" w:bidi="ar-SA"/>
                    </w:rPr>
                    <w:t>T</w:t>
                  </w:r>
                  <w:r>
                    <w:rPr>
                      <w:rFonts w:hint="eastAsia" w:cs="Times New Roman"/>
                      <w:color w:val="auto"/>
                      <w:kern w:val="0"/>
                      <w:sz w:val="21"/>
                      <w:szCs w:val="20"/>
                      <w:lang w:val="en-US" w:eastAsia="zh-CN" w:bidi="ar-SA"/>
                    </w:rPr>
                    <w:t xml:space="preserve">, </w:t>
                  </w:r>
                  <w:r>
                    <w:rPr>
                      <w:rFonts w:hint="eastAsia" w:ascii="Times New Roman" w:hAnsi="Times New Roman" w:eastAsia="宋体" w:cs="Times New Roman"/>
                      <w:color w:val="auto"/>
                      <w:kern w:val="0"/>
                      <w:sz w:val="21"/>
                      <w:szCs w:val="20"/>
                      <w:lang w:val="en-US" w:eastAsia="zh-CN" w:bidi="ar-SA"/>
                    </w:rPr>
                    <w:t>I</w:t>
                  </w:r>
                </w:p>
              </w:tc>
              <w:tc>
                <w:tcPr>
                  <w:tcW w:w="604" w:type="pct"/>
                  <w:tcBorders>
                    <w:tl2br w:val="nil"/>
                    <w:tr2bl w:val="nil"/>
                  </w:tcBorders>
                  <w:noWrap w:val="0"/>
                  <w:vAlign w:val="center"/>
                </w:tcPr>
                <w:p w14:paraId="06471209">
                  <w:pPr>
                    <w:widowControl w:val="0"/>
                    <w:bidi w:val="0"/>
                    <w:adjustRightInd w:val="0"/>
                    <w:snapToGrid w:val="0"/>
                    <w:spacing w:before="10" w:beforeLines="10" w:after="10" w:afterLines="10" w:line="240" w:lineRule="auto"/>
                    <w:jc w:val="center"/>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0.05t/a</w:t>
                  </w:r>
                </w:p>
              </w:tc>
              <w:tc>
                <w:tcPr>
                  <w:tcW w:w="609" w:type="pct"/>
                  <w:tcBorders>
                    <w:tl2br w:val="nil"/>
                    <w:tr2bl w:val="nil"/>
                  </w:tcBorders>
                  <w:noWrap w:val="0"/>
                  <w:vAlign w:val="center"/>
                </w:tcPr>
                <w:p w14:paraId="4D256FF5">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由设备厂商进行委托有危废处置资质的单位进行处置</w:t>
                  </w:r>
                </w:p>
              </w:tc>
            </w:tr>
            <w:tr w14:paraId="77AFEA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77" w:hRule="atLeast"/>
                <w:jc w:val="center"/>
              </w:trPr>
              <w:tc>
                <w:tcPr>
                  <w:tcW w:w="5000" w:type="pct"/>
                  <w:gridSpan w:val="10"/>
                  <w:tcBorders>
                    <w:tl2br w:val="nil"/>
                    <w:tr2bl w:val="nil"/>
                  </w:tcBorders>
                  <w:noWrap w:val="0"/>
                  <w:vAlign w:val="center"/>
                </w:tcPr>
                <w:p w14:paraId="0048A3C1">
                  <w:pPr>
                    <w:widowControl w:val="0"/>
                    <w:bidi w:val="0"/>
                    <w:adjustRightInd w:val="0"/>
                    <w:snapToGrid w:val="0"/>
                    <w:spacing w:before="10" w:beforeLines="10" w:after="10" w:afterLines="10" w:line="240" w:lineRule="auto"/>
                    <w:jc w:val="left"/>
                    <w:rPr>
                      <w:rFonts w:hint="default" w:ascii="Times New Roman" w:hAnsi="Times New Roman" w:eastAsia="宋体" w:cs="Times New Roman"/>
                      <w:color w:val="auto"/>
                      <w:kern w:val="0"/>
                      <w:sz w:val="21"/>
                      <w:szCs w:val="20"/>
                      <w:lang w:val="en-US" w:eastAsia="zh-CN" w:bidi="ar-SA"/>
                    </w:rPr>
                  </w:pPr>
                  <w:bookmarkStart w:id="97" w:name="_Toc30387"/>
                  <w:r>
                    <w:rPr>
                      <w:rFonts w:hint="eastAsia" w:ascii="Times New Roman" w:hAnsi="Times New Roman" w:eastAsia="宋体" w:cs="Times New Roman"/>
                      <w:color w:val="auto"/>
                      <w:kern w:val="0"/>
                      <w:sz w:val="18"/>
                      <w:szCs w:val="18"/>
                      <w:lang w:val="en-US" w:eastAsia="zh-CN" w:bidi="ar-SA"/>
                    </w:rPr>
                    <w:t>注：</w:t>
                  </w:r>
                  <w:r>
                    <w:rPr>
                      <w:rFonts w:ascii="Times New Roman" w:hAnsi="Times New Roman" w:eastAsia="宋体" w:cs="宋体"/>
                      <w:color w:val="auto"/>
                      <w:sz w:val="18"/>
                      <w:szCs w:val="18"/>
                    </w:rPr>
                    <w:t>本项目危险废物年产生总量2.5478t，其中固态危废1.1978t、液态危废1.35t；经体积核算，危废贮存所需有效容积约5.22m³。拟建</w:t>
                  </w:r>
                  <w:r>
                    <w:rPr>
                      <w:rFonts w:hint="eastAsia" w:ascii="Times New Roman" w:hAnsi="Times New Roman" w:eastAsia="宋体" w:cs="宋体"/>
                      <w:color w:val="auto"/>
                      <w:sz w:val="18"/>
                      <w:szCs w:val="18"/>
                      <w:lang w:val="en-US" w:eastAsia="zh-CN"/>
                    </w:rPr>
                    <w:t>7</w:t>
                  </w:r>
                  <w:r>
                    <w:rPr>
                      <w:rFonts w:ascii="Times New Roman" w:hAnsi="Times New Roman" w:eastAsia="宋体" w:cs="宋体"/>
                      <w:color w:val="auto"/>
                      <w:sz w:val="18"/>
                      <w:szCs w:val="18"/>
                    </w:rPr>
                    <w:t>㎡危废暂存间，库房常规净高2.2m，扣除人行通道、防渗围堰、分区隔离等无效空间后有效可用容积约6.05m³，满足项目危险废物分区暂存需求。建设单位严格执行危废定期外运处置制度（贮存周期不超过6个月），可保障危废贮存库库容满足生产配套要求。</w:t>
                  </w:r>
                </w:p>
              </w:tc>
            </w:tr>
          </w:tbl>
          <w:p w14:paraId="224D1AF2">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r>
              <w:rPr>
                <w:rFonts w:hint="eastAsia" w:ascii="Times New Roman" w:hAnsi="Times New Roman" w:eastAsia="宋体" w:cs="Times New Roman"/>
                <w:b/>
                <w:color w:val="auto"/>
                <w:kern w:val="2"/>
                <w:sz w:val="24"/>
                <w:szCs w:val="24"/>
                <w:lang w:val="en-US" w:eastAsia="zh-CN" w:bidi="ar-SA"/>
              </w:rPr>
              <w:t>4.4.3固体废物管理措施及环境影响分析</w:t>
            </w:r>
            <w:bookmarkEnd w:id="97"/>
          </w:p>
          <w:p w14:paraId="0C621745">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（1）一般工业固体废物贮存要求</w:t>
            </w:r>
          </w:p>
          <w:p w14:paraId="329841E4">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国家《一般工业固体废物贮存和填埋污染控制标准》（GB18599-2020），一般工业固体废物的贮存和管理应做到：在生产过程中应加强一般工业固体废物贮存规范化管理，固体废物分类定点堆放。确保固体废物贮存过程满足防渗漏、防雨淋和防扬尘等环境保护要求。</w:t>
            </w:r>
          </w:p>
          <w:p w14:paraId="40640400">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（2）一般工业固体废物转移和管理要求</w:t>
            </w:r>
          </w:p>
          <w:p w14:paraId="70D60B20">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①采取防扬散、防流失、防渗漏或者其他防止固体废物污染环境的措施，不得擅自倾倒、堆放、丢弃、遗撒固体废物。</w:t>
            </w:r>
          </w:p>
          <w:p w14:paraId="1A4A4AD7">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②禁止向江河、湖泊、运河、渠道、水库及其最高水位线以下的滩地和岸坡以及法律法规规定的其他地点倾倒、堆放、贮存固体废物。</w:t>
            </w:r>
          </w:p>
          <w:p w14:paraId="08455FF3">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③转移固体废物出省、自治区、直辖市行政区域利用的，应当报固体废物移出地的省、自治区、直辖市人民政府生态环境主管部门备案。移出地的省、自治区、直辖市人民政府生态环境主管部门应当将备案信息通报</w:t>
            </w:r>
            <w:r>
              <w:rPr>
                <w:rFonts w:hint="eastAsia" w:cs="宋体"/>
                <w:color w:val="auto"/>
                <w:kern w:val="2"/>
                <w:sz w:val="24"/>
                <w:szCs w:val="24"/>
                <w:lang w:val="en-US" w:eastAsia="zh-CN" w:bidi="ar-SA"/>
              </w:rPr>
              <w:t>接收</w:t>
            </w:r>
            <w:r>
              <w:rPr>
                <w:rFonts w:hint="eastAsia" w:ascii="Times New Roman" w:hAnsi="Times New Roman" w:eastAsia="宋体" w:cs="宋体"/>
                <w:color w:val="auto"/>
                <w:kern w:val="2"/>
                <w:sz w:val="24"/>
                <w:szCs w:val="24"/>
                <w:lang w:val="en-US" w:eastAsia="zh-CN" w:bidi="ar-SA"/>
              </w:rPr>
              <w:t>地的省、自治区、直辖市人民政府生态环境主管部门。</w:t>
            </w:r>
          </w:p>
          <w:p w14:paraId="0931FD4E">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④建立健全工业固体废物产生、收集、贮存、运输、利用、处置全过程的污染环境防治责任制度，建立工业固体废物管理台账，如实记录产生工业固体废物的种类、数量、流向、贮存、利用、处置等信息，实现工业固体废物可追溯、可查询，并采取防治工业固体废物污染环境的措施。</w:t>
            </w:r>
          </w:p>
          <w:p w14:paraId="7C81350A">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⑤禁止向生活垃圾收集设施中投放工业固体废物。</w:t>
            </w:r>
          </w:p>
          <w:p w14:paraId="442DF6C4">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（3）生活垃圾</w:t>
            </w:r>
          </w:p>
          <w:p w14:paraId="1FA1834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生活垃圾极易腐败发臭，必须按照垃圾分类要求对生活垃圾进行分类，定点收集，及时清运或处理，做到日产日清。项目在厂区生产区和办公生活区分别设置一些垃圾收集桶。项目配备专职的清洁人员和必要的工具，负责清扫厂区，维持清洁卫生，生活垃圾收集后委托当地环卫部门统一清运。</w:t>
            </w:r>
          </w:p>
          <w:p w14:paraId="430C6862">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4</w:t>
            </w:r>
            <w:r>
              <w:rPr>
                <w:rFonts w:hint="default" w:ascii="Times New Roman" w:hAnsi="Times New Roman" w:eastAsia="宋体" w:cs="宋体"/>
                <w:color w:val="auto"/>
                <w:kern w:val="2"/>
                <w:sz w:val="24"/>
                <w:szCs w:val="24"/>
                <w:lang w:val="en-US" w:eastAsia="zh-CN" w:bidi="ar-SA"/>
              </w:rPr>
              <w:t>）危险废物暂存</w:t>
            </w:r>
            <w:r>
              <w:rPr>
                <w:rFonts w:hint="eastAsia" w:ascii="Times New Roman" w:hAnsi="Times New Roman" w:eastAsia="宋体" w:cs="宋体"/>
                <w:color w:val="auto"/>
                <w:kern w:val="2"/>
                <w:sz w:val="24"/>
                <w:szCs w:val="24"/>
                <w:lang w:val="en-US" w:eastAsia="zh-CN" w:bidi="ar-SA"/>
              </w:rPr>
              <w:t>贮存管理要求</w:t>
            </w:r>
          </w:p>
          <w:p w14:paraId="5AA4C5E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厂区内</w:t>
            </w:r>
            <w:r>
              <w:rPr>
                <w:rFonts w:hint="eastAsia" w:cs="宋体"/>
                <w:color w:val="auto"/>
                <w:kern w:val="2"/>
                <w:sz w:val="24"/>
                <w:szCs w:val="24"/>
                <w:lang w:val="en-US" w:eastAsia="zh-CN" w:bidi="ar-SA"/>
              </w:rPr>
              <w:t>建设</w:t>
            </w:r>
            <w:r>
              <w:rPr>
                <w:rFonts w:hint="default" w:ascii="Times New Roman" w:hAnsi="Times New Roman" w:eastAsia="宋体" w:cs="宋体"/>
                <w:color w:val="auto"/>
                <w:kern w:val="2"/>
                <w:sz w:val="24"/>
                <w:szCs w:val="24"/>
                <w:lang w:val="en-US" w:eastAsia="zh-CN" w:bidi="ar-SA"/>
              </w:rPr>
              <w:t>1个危险废物暂存间</w:t>
            </w:r>
            <w:r>
              <w:rPr>
                <w:rFonts w:hint="eastAsia" w:cs="宋体"/>
                <w:color w:val="auto"/>
                <w:kern w:val="2"/>
                <w:sz w:val="24"/>
                <w:szCs w:val="24"/>
                <w:lang w:val="en-US" w:eastAsia="zh-CN" w:bidi="ar-SA"/>
              </w:rPr>
              <w:t>（7m</w:t>
            </w:r>
            <w:r>
              <w:rPr>
                <w:rFonts w:hint="eastAsia" w:cs="宋体"/>
                <w:color w:val="auto"/>
                <w:kern w:val="2"/>
                <w:sz w:val="24"/>
                <w:szCs w:val="24"/>
                <w:vertAlign w:val="superscript"/>
                <w:lang w:val="en-US" w:eastAsia="zh-CN" w:bidi="ar-SA"/>
              </w:rPr>
              <w:t>2</w:t>
            </w:r>
            <w:r>
              <w:rPr>
                <w:rFonts w:hint="eastAsia"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，对厂区内产生的危险废物进行暂存；</w:t>
            </w:r>
            <w:r>
              <w:rPr>
                <w:rFonts w:hint="eastAsia" w:cs="宋体"/>
                <w:color w:val="auto"/>
                <w:kern w:val="2"/>
                <w:sz w:val="24"/>
                <w:szCs w:val="24"/>
                <w:lang w:val="en-US" w:eastAsia="zh-CN" w:bidi="ar-SA"/>
              </w:rPr>
              <w:t>危险废物</w:t>
            </w:r>
            <w:r>
              <w:rPr>
                <w:rFonts w:hint="default" w:ascii="Times New Roman" w:hAnsi="Times New Roman" w:eastAsia="宋体" w:cs="宋体"/>
                <w:color w:val="auto"/>
                <w:kern w:val="2"/>
                <w:sz w:val="24"/>
                <w:szCs w:val="24"/>
                <w:lang w:val="en-US" w:eastAsia="zh-CN" w:bidi="ar-SA"/>
              </w:rPr>
              <w:t>均交由有资质单位处置。厂区内设置的</w:t>
            </w:r>
            <w:r>
              <w:rPr>
                <w:rFonts w:hint="eastAsia" w:cs="宋体"/>
                <w:color w:val="auto"/>
                <w:kern w:val="2"/>
                <w:sz w:val="24"/>
                <w:szCs w:val="24"/>
                <w:lang w:val="en-US" w:eastAsia="zh-CN" w:bidi="ar-SA"/>
              </w:rPr>
              <w:t>危险废物</w:t>
            </w:r>
            <w:r>
              <w:rPr>
                <w:rFonts w:hint="default" w:ascii="Times New Roman" w:hAnsi="Times New Roman" w:eastAsia="宋体" w:cs="宋体"/>
                <w:color w:val="auto"/>
                <w:kern w:val="2"/>
                <w:sz w:val="24"/>
                <w:szCs w:val="24"/>
                <w:lang w:val="en-US" w:eastAsia="zh-CN" w:bidi="ar-SA"/>
              </w:rPr>
              <w:t>暂存间应按照</w:t>
            </w:r>
            <w:r>
              <w:rPr>
                <w:rFonts w:hint="eastAsia" w:cs="宋体"/>
                <w:color w:val="auto"/>
                <w:kern w:val="2"/>
                <w:sz w:val="24"/>
                <w:szCs w:val="24"/>
                <w:lang w:val="en-US" w:eastAsia="zh-CN" w:bidi="ar-SA"/>
              </w:rPr>
              <w:t>《危险废物贮存污染控制标准》（GB18597-2023）</w:t>
            </w:r>
            <w:r>
              <w:rPr>
                <w:rFonts w:hint="default" w:ascii="Times New Roman" w:hAnsi="Times New Roman" w:eastAsia="宋体" w:cs="宋体"/>
                <w:color w:val="auto"/>
                <w:kern w:val="2"/>
                <w:sz w:val="24"/>
                <w:szCs w:val="24"/>
                <w:lang w:val="en-US" w:eastAsia="zh-CN" w:bidi="ar-SA"/>
              </w:rPr>
              <w:t>。</w:t>
            </w:r>
          </w:p>
          <w:p w14:paraId="368D19D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A</w:t>
            </w:r>
            <w:r>
              <w:rPr>
                <w:rFonts w:hint="eastAsia"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危险废物贮存</w:t>
            </w:r>
            <w:r>
              <w:rPr>
                <w:rFonts w:hint="eastAsia" w:ascii="Times New Roman" w:hAnsi="Times New Roman" w:eastAsia="宋体" w:cs="宋体"/>
                <w:color w:val="auto"/>
                <w:kern w:val="2"/>
                <w:sz w:val="24"/>
                <w:szCs w:val="24"/>
                <w:lang w:val="en-US" w:eastAsia="zh-CN" w:bidi="ar-SA"/>
              </w:rPr>
              <w:t>设施污染控制要求一般规定</w:t>
            </w:r>
          </w:p>
          <w:p w14:paraId="4D3614D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①贮存设施应根据危险废物的形态、物理化学性质、包装形式和污染物迁移途径，采取必要的防风、防晒、防雨、防漏、防渗、防腐以及其他环境污染防治措施，不应露天堆放危险废物</w:t>
            </w:r>
            <w:r>
              <w:rPr>
                <w:rFonts w:hint="eastAsia" w:ascii="Times New Roman" w:hAnsi="Times New Roman" w:eastAsia="宋体" w:cs="宋体"/>
                <w:color w:val="auto"/>
                <w:kern w:val="2"/>
                <w:sz w:val="24"/>
                <w:szCs w:val="24"/>
                <w:lang w:val="en-US" w:eastAsia="zh-CN" w:bidi="ar-SA"/>
              </w:rPr>
              <w:t>；</w:t>
            </w:r>
          </w:p>
          <w:p w14:paraId="2C37AD76">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w:t>
            </w:r>
            <w:r>
              <w:rPr>
                <w:rFonts w:ascii="Times New Roman" w:hAnsi="Times New Roman" w:eastAsia="宋体" w:cs="宋体"/>
                <w:color w:val="auto"/>
                <w:kern w:val="2"/>
                <w:sz w:val="24"/>
                <w:szCs w:val="24"/>
                <w:lang w:val="en-US" w:eastAsia="zh-CN" w:bidi="ar-SA"/>
              </w:rPr>
              <w:t>贮存设施应根据危险废物的类别、数量、形态、物理化学性质和污染防治等要求设置必要的贮存分区，避免不相容的危险废物接触、混合</w:t>
            </w:r>
            <w:r>
              <w:rPr>
                <w:rFonts w:hint="eastAsia" w:ascii="Times New Roman" w:hAnsi="Times New Roman" w:eastAsia="宋体" w:cs="宋体"/>
                <w:color w:val="auto"/>
                <w:kern w:val="2"/>
                <w:sz w:val="24"/>
                <w:szCs w:val="24"/>
                <w:lang w:val="en-US" w:eastAsia="zh-CN" w:bidi="ar-SA"/>
              </w:rPr>
              <w:t>；</w:t>
            </w:r>
          </w:p>
          <w:p w14:paraId="6C266E81">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③</w:t>
            </w:r>
            <w:r>
              <w:rPr>
                <w:rFonts w:ascii="Times New Roman" w:hAnsi="Times New Roman" w:eastAsia="宋体" w:cs="宋体"/>
                <w:color w:val="auto"/>
                <w:kern w:val="2"/>
                <w:sz w:val="24"/>
                <w:szCs w:val="24"/>
                <w:lang w:val="en-US" w:eastAsia="zh-CN" w:bidi="ar-SA"/>
              </w:rPr>
              <w:t>贮存设施或贮存分区内地面、墙面</w:t>
            </w:r>
            <w:r>
              <w:rPr>
                <w:rFonts w:hint="eastAsia" w:cs="宋体"/>
                <w:color w:val="auto"/>
                <w:kern w:val="2"/>
                <w:sz w:val="24"/>
                <w:szCs w:val="24"/>
                <w:lang w:val="en-US" w:eastAsia="zh-CN" w:bidi="ar-SA"/>
              </w:rPr>
              <w:t>裙角</w:t>
            </w:r>
            <w:r>
              <w:rPr>
                <w:rFonts w:ascii="Times New Roman" w:hAnsi="Times New Roman" w:eastAsia="宋体" w:cs="宋体"/>
                <w:color w:val="auto"/>
                <w:kern w:val="2"/>
                <w:sz w:val="24"/>
                <w:szCs w:val="24"/>
                <w:lang w:val="en-US" w:eastAsia="zh-CN" w:bidi="ar-SA"/>
              </w:rPr>
              <w:t>、堵截泄漏的围堰、接触危险废物的隔板和墙体等应采用坚固的材料建造，表面无裂缝</w:t>
            </w:r>
            <w:r>
              <w:rPr>
                <w:rFonts w:hint="eastAsia" w:ascii="Times New Roman" w:hAnsi="Times New Roman" w:eastAsia="宋体" w:cs="宋体"/>
                <w:color w:val="auto"/>
                <w:kern w:val="2"/>
                <w:sz w:val="24"/>
                <w:szCs w:val="24"/>
                <w:lang w:val="en-US" w:eastAsia="zh-CN" w:bidi="ar-SA"/>
              </w:rPr>
              <w:t>；</w:t>
            </w:r>
          </w:p>
          <w:p w14:paraId="1BE9957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④</w:t>
            </w:r>
            <w:r>
              <w:rPr>
                <w:rFonts w:ascii="Times New Roman" w:hAnsi="Times New Roman" w:eastAsia="宋体" w:cs="宋体"/>
                <w:color w:val="auto"/>
                <w:kern w:val="2"/>
                <w:sz w:val="24"/>
                <w:szCs w:val="24"/>
                <w:lang w:val="en-US" w:eastAsia="zh-CN" w:bidi="ar-SA"/>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eastAsia" w:cs="宋体"/>
                <w:color w:val="auto"/>
                <w:kern w:val="2"/>
                <w:sz w:val="24"/>
                <w:szCs w:val="24"/>
                <w:lang w:val="en-US" w:eastAsia="zh-CN" w:bidi="ar-SA"/>
              </w:rPr>
              <w:t>—</w:t>
            </w:r>
            <w:r>
              <w:rPr>
                <w:rFonts w:ascii="Times New Roman" w:hAnsi="Times New Roman" w:eastAsia="宋体" w:cs="宋体"/>
                <w:color w:val="auto"/>
                <w:kern w:val="2"/>
                <w:sz w:val="24"/>
                <w:szCs w:val="24"/>
                <w:vertAlign w:val="superscript"/>
                <w:lang w:val="en-US" w:eastAsia="zh-CN" w:bidi="ar-SA"/>
              </w:rPr>
              <w:t>7</w:t>
            </w:r>
            <w:r>
              <w:rPr>
                <w:rFonts w:ascii="Times New Roman" w:hAnsi="Times New Roman" w:eastAsia="宋体" w:cs="宋体"/>
                <w:color w:val="auto"/>
                <w:kern w:val="2"/>
                <w:sz w:val="24"/>
                <w:szCs w:val="24"/>
                <w:lang w:val="en-US" w:eastAsia="zh-CN" w:bidi="ar-SA"/>
              </w:rPr>
              <w:t>cm/s），或至少2mm厚高密度聚乙烯膜等人工防渗材料（渗透系数不大于10</w:t>
            </w:r>
            <w:r>
              <w:rPr>
                <w:rFonts w:hint="eastAsia" w:cs="宋体"/>
                <w:color w:val="auto"/>
                <w:kern w:val="2"/>
                <w:sz w:val="24"/>
                <w:szCs w:val="24"/>
                <w:lang w:val="en-US" w:eastAsia="zh-CN" w:bidi="ar-SA"/>
              </w:rPr>
              <w:t>—</w:t>
            </w:r>
            <w:r>
              <w:rPr>
                <w:rFonts w:ascii="Times New Roman" w:hAnsi="Times New Roman" w:eastAsia="宋体" w:cs="宋体"/>
                <w:color w:val="auto"/>
                <w:kern w:val="2"/>
                <w:sz w:val="24"/>
                <w:szCs w:val="24"/>
                <w:vertAlign w:val="superscript"/>
                <w:lang w:val="en-US" w:eastAsia="zh-CN" w:bidi="ar-SA"/>
              </w:rPr>
              <w:t>10</w:t>
            </w:r>
            <w:r>
              <w:rPr>
                <w:rFonts w:ascii="Times New Roman" w:hAnsi="Times New Roman" w:eastAsia="宋体" w:cs="宋体"/>
                <w:color w:val="auto"/>
                <w:kern w:val="2"/>
                <w:sz w:val="24"/>
                <w:szCs w:val="24"/>
                <w:lang w:val="en-US" w:eastAsia="zh-CN" w:bidi="ar-SA"/>
              </w:rPr>
              <w:t>cm/s），或其他防渗性能等效的材料</w:t>
            </w:r>
            <w:r>
              <w:rPr>
                <w:rFonts w:hint="eastAsia" w:ascii="Times New Roman" w:hAnsi="Times New Roman" w:eastAsia="宋体" w:cs="宋体"/>
                <w:color w:val="auto"/>
                <w:kern w:val="2"/>
                <w:sz w:val="24"/>
                <w:szCs w:val="24"/>
                <w:lang w:val="en-US" w:eastAsia="zh-CN" w:bidi="ar-SA"/>
              </w:rPr>
              <w:t>；</w:t>
            </w:r>
          </w:p>
          <w:p w14:paraId="3E192B7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⑤</w:t>
            </w:r>
            <w:r>
              <w:rPr>
                <w:rFonts w:ascii="Times New Roman" w:hAnsi="Times New Roman" w:eastAsia="宋体" w:cs="宋体"/>
                <w:color w:val="auto"/>
                <w:kern w:val="2"/>
                <w:sz w:val="24"/>
                <w:szCs w:val="24"/>
                <w:lang w:val="en-US" w:eastAsia="zh-CN" w:bidi="ar-SA"/>
              </w:rPr>
              <w:t>同一贮存设施宜采用相同的防渗、防腐工艺（包括防渗、防腐结构或材料），防渗、防腐材料应覆盖所有可能与废物及其渗滤液、渗漏液等接触的构筑物表面；采用不同防渗、防腐工艺应分别建设贮存分区</w:t>
            </w:r>
            <w:r>
              <w:rPr>
                <w:rFonts w:hint="eastAsia" w:ascii="Times New Roman" w:hAnsi="Times New Roman" w:eastAsia="宋体" w:cs="宋体"/>
                <w:color w:val="auto"/>
                <w:kern w:val="2"/>
                <w:sz w:val="24"/>
                <w:szCs w:val="24"/>
                <w:lang w:val="en-US" w:eastAsia="zh-CN" w:bidi="ar-SA"/>
              </w:rPr>
              <w:t>；</w:t>
            </w:r>
          </w:p>
          <w:p w14:paraId="56E8042B">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⑥</w:t>
            </w:r>
            <w:r>
              <w:rPr>
                <w:rFonts w:ascii="Times New Roman" w:hAnsi="Times New Roman" w:eastAsia="宋体" w:cs="宋体"/>
                <w:color w:val="auto"/>
                <w:kern w:val="2"/>
                <w:sz w:val="24"/>
                <w:szCs w:val="24"/>
                <w:lang w:val="en-US" w:eastAsia="zh-CN" w:bidi="ar-SA"/>
              </w:rPr>
              <w:t>贮存设施应采取技术和管理措施防止无关人员进入</w:t>
            </w:r>
            <w:r>
              <w:rPr>
                <w:rFonts w:hint="eastAsia" w:ascii="Times New Roman" w:hAnsi="Times New Roman" w:eastAsia="宋体" w:cs="宋体"/>
                <w:color w:val="auto"/>
                <w:kern w:val="2"/>
                <w:sz w:val="24"/>
                <w:szCs w:val="24"/>
                <w:lang w:val="en-US" w:eastAsia="zh-CN" w:bidi="ar-SA"/>
              </w:rPr>
              <w:t>。</w:t>
            </w:r>
          </w:p>
          <w:p w14:paraId="3B8BB02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B</w:t>
            </w:r>
            <w:r>
              <w:rPr>
                <w:rFonts w:hint="eastAsia"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危险废物</w:t>
            </w:r>
            <w:r>
              <w:rPr>
                <w:rFonts w:hint="eastAsia" w:ascii="Times New Roman" w:hAnsi="Times New Roman" w:eastAsia="宋体" w:cs="宋体"/>
                <w:color w:val="auto"/>
                <w:kern w:val="2"/>
                <w:sz w:val="24"/>
                <w:szCs w:val="24"/>
                <w:lang w:val="en-US" w:eastAsia="zh-CN" w:bidi="ar-SA"/>
              </w:rPr>
              <w:t>容器和包装物污染控制要求</w:t>
            </w:r>
          </w:p>
          <w:p w14:paraId="6814D76E">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①</w:t>
            </w:r>
            <w:r>
              <w:rPr>
                <w:rFonts w:ascii="Times New Roman" w:hAnsi="Times New Roman" w:eastAsia="宋体" w:cs="宋体"/>
                <w:color w:val="auto"/>
                <w:kern w:val="2"/>
                <w:sz w:val="24"/>
                <w:szCs w:val="24"/>
                <w:lang w:val="en-US" w:eastAsia="zh-CN" w:bidi="ar-SA"/>
              </w:rPr>
              <w:t>容器和包装物材质、内衬应与盛装的危险废物相容</w:t>
            </w:r>
            <w:r>
              <w:rPr>
                <w:rFonts w:hint="eastAsia" w:ascii="Times New Roman" w:hAnsi="Times New Roman" w:eastAsia="宋体" w:cs="宋体"/>
                <w:color w:val="auto"/>
                <w:kern w:val="2"/>
                <w:sz w:val="24"/>
                <w:szCs w:val="24"/>
                <w:lang w:val="en-US" w:eastAsia="zh-CN" w:bidi="ar-SA"/>
              </w:rPr>
              <w:t>；</w:t>
            </w:r>
          </w:p>
          <w:p w14:paraId="669D6FDD">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②</w:t>
            </w:r>
            <w:r>
              <w:rPr>
                <w:rFonts w:ascii="Times New Roman" w:hAnsi="Times New Roman" w:eastAsia="宋体" w:cs="宋体"/>
                <w:color w:val="auto"/>
                <w:kern w:val="2"/>
                <w:sz w:val="24"/>
                <w:szCs w:val="24"/>
                <w:lang w:val="en-US" w:eastAsia="zh-CN" w:bidi="ar-SA"/>
              </w:rPr>
              <w:t>针对不同类别、形态、物理化学性质的危险废物，其容器和包装物应满足相应的防渗、防漏、防腐和强度等要求</w:t>
            </w:r>
            <w:r>
              <w:rPr>
                <w:rFonts w:hint="eastAsia" w:ascii="Times New Roman" w:hAnsi="Times New Roman" w:eastAsia="宋体" w:cs="宋体"/>
                <w:color w:val="auto"/>
                <w:kern w:val="2"/>
                <w:sz w:val="24"/>
                <w:szCs w:val="24"/>
                <w:lang w:val="en-US" w:eastAsia="zh-CN" w:bidi="ar-SA"/>
              </w:rPr>
              <w:t>；</w:t>
            </w:r>
          </w:p>
          <w:p w14:paraId="20C5FB8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③硬质容器和包装物及其支护结构堆叠码放时不应有明显变形，无破损泄漏；</w:t>
            </w:r>
          </w:p>
          <w:p w14:paraId="3E7A12C9">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④柔性容器和包装物堆叠码放时应封口严密，无破损泄漏；</w:t>
            </w:r>
          </w:p>
          <w:p w14:paraId="0E069076">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⑤使用容器盛装液态、半固态危险废物时，容器内部应留有适当的空间，以适应因温度变化等可能引发的收缩和膨胀，防止其导致容器渗漏或永久变形；</w:t>
            </w:r>
          </w:p>
          <w:p w14:paraId="347EFC3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⑥</w:t>
            </w:r>
            <w:r>
              <w:rPr>
                <w:rFonts w:ascii="Times New Roman" w:hAnsi="Times New Roman" w:eastAsia="宋体" w:cs="宋体"/>
                <w:color w:val="auto"/>
                <w:kern w:val="2"/>
                <w:sz w:val="24"/>
                <w:szCs w:val="24"/>
                <w:lang w:val="en-US" w:eastAsia="zh-CN" w:bidi="ar-SA"/>
              </w:rPr>
              <w:t>容器和包装物外表面应保持清洁。</w:t>
            </w:r>
          </w:p>
          <w:p w14:paraId="0941D0E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C</w:t>
            </w:r>
            <w:r>
              <w:rPr>
                <w:rFonts w:hint="eastAsia"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危险废物贮存</w:t>
            </w:r>
            <w:r>
              <w:rPr>
                <w:rFonts w:hint="eastAsia" w:ascii="Times New Roman" w:hAnsi="Times New Roman" w:eastAsia="宋体" w:cs="宋体"/>
                <w:color w:val="auto"/>
                <w:kern w:val="2"/>
                <w:sz w:val="24"/>
                <w:szCs w:val="24"/>
                <w:lang w:val="en-US" w:eastAsia="zh-CN" w:bidi="ar-SA"/>
              </w:rPr>
              <w:t>过程污染控制要求一般规定</w:t>
            </w:r>
          </w:p>
          <w:p w14:paraId="7E1E7F1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①在常温常压下不易水解、不易挥发的固态危险废物可分类堆放贮存，其他固态危险废物应装入容器或包装物内贮存</w:t>
            </w:r>
            <w:r>
              <w:rPr>
                <w:rFonts w:hint="eastAsia" w:ascii="Times New Roman" w:hAnsi="Times New Roman" w:eastAsia="宋体" w:cs="宋体"/>
                <w:color w:val="auto"/>
                <w:kern w:val="2"/>
                <w:sz w:val="24"/>
                <w:szCs w:val="24"/>
                <w:lang w:val="en-US" w:eastAsia="zh-CN" w:bidi="ar-SA"/>
              </w:rPr>
              <w:t>；</w:t>
            </w:r>
          </w:p>
          <w:p w14:paraId="481EF525">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②液态危险废物应装入容器内贮存，或直接采用贮存池、贮存罐区贮存</w:t>
            </w:r>
            <w:r>
              <w:rPr>
                <w:rFonts w:hint="eastAsia" w:ascii="Times New Roman" w:hAnsi="Times New Roman" w:eastAsia="宋体" w:cs="宋体"/>
                <w:color w:val="auto"/>
                <w:kern w:val="2"/>
                <w:sz w:val="24"/>
                <w:szCs w:val="24"/>
                <w:lang w:val="en-US" w:eastAsia="zh-CN" w:bidi="ar-SA"/>
              </w:rPr>
              <w:t>；</w:t>
            </w:r>
          </w:p>
          <w:p w14:paraId="3B95F694">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③半固态危险废物应装入容器或包装袋内贮存，或直接采用贮存池贮存</w:t>
            </w:r>
            <w:r>
              <w:rPr>
                <w:rFonts w:hint="eastAsia" w:ascii="Times New Roman" w:hAnsi="Times New Roman" w:eastAsia="宋体" w:cs="宋体"/>
                <w:color w:val="auto"/>
                <w:kern w:val="2"/>
                <w:sz w:val="24"/>
                <w:szCs w:val="24"/>
                <w:lang w:val="en-US" w:eastAsia="zh-CN" w:bidi="ar-SA"/>
              </w:rPr>
              <w:t>；</w:t>
            </w:r>
          </w:p>
          <w:p w14:paraId="42BFCF9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④具有热塑性的危险废物应装入容器或包装袋内进行贮存；</w:t>
            </w:r>
          </w:p>
          <w:p w14:paraId="5BFC5819">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⑤易产生粉尘、VOCs、酸雾、有毒有害大气污染物和刺激性气味气体的危险废物应装入闭口容器或包装物内贮存；</w:t>
            </w:r>
          </w:p>
          <w:p w14:paraId="7A5AEC1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⑥危险废物贮存过程中易产生粉尘等无组织排放的，应采取抑尘等有效措施。</w:t>
            </w:r>
          </w:p>
          <w:p w14:paraId="29FE88C6">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D</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贮存设施运行环境管理要求</w:t>
            </w:r>
          </w:p>
          <w:p w14:paraId="42A06960">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①</w:t>
            </w:r>
            <w:r>
              <w:rPr>
                <w:rFonts w:hint="default" w:ascii="Times New Roman" w:hAnsi="Times New Roman" w:eastAsia="宋体" w:cs="宋体"/>
                <w:color w:val="auto"/>
                <w:kern w:val="2"/>
                <w:sz w:val="24"/>
                <w:szCs w:val="24"/>
                <w:lang w:val="en-US" w:eastAsia="zh-CN" w:bidi="ar-SA"/>
              </w:rPr>
              <w:t>危险废物存入贮存设施前应对危险废物类别和特性与危险废物标签等危险废物识别标志的一致性进行核验，不一致的或类别、特性不明的不应存入</w:t>
            </w:r>
            <w:r>
              <w:rPr>
                <w:rFonts w:hint="eastAsia" w:ascii="Times New Roman" w:hAnsi="Times New Roman" w:eastAsia="宋体" w:cs="宋体"/>
                <w:color w:val="auto"/>
                <w:kern w:val="2"/>
                <w:sz w:val="24"/>
                <w:szCs w:val="24"/>
                <w:lang w:val="en-US" w:eastAsia="zh-CN" w:bidi="ar-SA"/>
              </w:rPr>
              <w:t>；</w:t>
            </w:r>
          </w:p>
          <w:p w14:paraId="05E20A02">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②应定期检查危险废物的贮存状况，及时清理贮存设施地面，更换破损泄漏的危险废物贮存容器和包装物，保证堆存危险废物的防雨、防风、防扬尘等设施功能完好；</w:t>
            </w:r>
          </w:p>
          <w:p w14:paraId="2F1E8E68">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③作业设备及车辆等结束作业离开贮存设施时，应对其残留的危险废物进行清理，清理的废物或清洗废水应收集处理；</w:t>
            </w:r>
          </w:p>
          <w:p w14:paraId="6DA05EC1">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④贮存设施运行期间，应按国家有关标准和规定建立危险废物管理台账并保存；</w:t>
            </w:r>
          </w:p>
          <w:p w14:paraId="697F50C7">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⑤贮存设施所有者或运营者应建立贮存设施环境管理制度、管理人员岗位职责制度、设施运行操作制度、人员岗位培训制度等；</w:t>
            </w:r>
          </w:p>
          <w:p w14:paraId="35226BE9">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⑥贮存设施所有者或运营者应依据国家土壤和地下水污染防治的有关规定，结合贮存设施特点建立土壤和地下水污染隐患排查制度，并定期开展隐患排查；发现隐患应及时采取措施消除隐患，并建立档案；</w:t>
            </w:r>
          </w:p>
          <w:p w14:paraId="0FE6E00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⑦贮存设施所有者或运营者应建立贮存设施全部档案，包括设计、施工、验收、运行、监测和环境应急等，应按国家有关档案管理的法律法规进行整理和归档。</w:t>
            </w:r>
          </w:p>
          <w:p w14:paraId="196A9ACE">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E</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污染物排放控制要求</w:t>
            </w:r>
          </w:p>
          <w:p w14:paraId="18ACAB5B">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①贮存设施产生的废水（包括贮存设施、作业设备、车辆等清洗废水，贮存罐区积存雨水，贮存事故废水等）应进行收集处理，废水排放应符合GB 8978规定的要求</w:t>
            </w:r>
            <w:r>
              <w:rPr>
                <w:rFonts w:hint="eastAsia" w:ascii="Times New Roman" w:hAnsi="Times New Roman" w:eastAsia="宋体" w:cs="宋体"/>
                <w:color w:val="auto"/>
                <w:kern w:val="2"/>
                <w:sz w:val="24"/>
                <w:szCs w:val="24"/>
                <w:lang w:val="en-US" w:eastAsia="zh-CN" w:bidi="ar-SA"/>
              </w:rPr>
              <w:t>；</w:t>
            </w:r>
          </w:p>
          <w:p w14:paraId="75E779E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②贮存设施产生的废气（含无组织废气）的排放应符合GB 16297和GB 37822规定的要求</w:t>
            </w:r>
            <w:r>
              <w:rPr>
                <w:rFonts w:hint="eastAsia" w:ascii="Times New Roman" w:hAnsi="Times New Roman" w:eastAsia="宋体" w:cs="宋体"/>
                <w:color w:val="auto"/>
                <w:kern w:val="2"/>
                <w:sz w:val="24"/>
                <w:szCs w:val="24"/>
                <w:lang w:val="en-US" w:eastAsia="zh-CN" w:bidi="ar-SA"/>
              </w:rPr>
              <w:t>；</w:t>
            </w:r>
          </w:p>
          <w:p w14:paraId="5FB63D9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③贮存设施产生的恶臭气体的排放应符合GB14554规定的要求</w:t>
            </w:r>
            <w:r>
              <w:rPr>
                <w:rFonts w:hint="eastAsia" w:ascii="Times New Roman" w:hAnsi="Times New Roman" w:eastAsia="宋体" w:cs="宋体"/>
                <w:color w:val="auto"/>
                <w:kern w:val="2"/>
                <w:sz w:val="24"/>
                <w:szCs w:val="24"/>
                <w:lang w:val="en-US" w:eastAsia="zh-CN" w:bidi="ar-SA"/>
              </w:rPr>
              <w:t>；</w:t>
            </w:r>
          </w:p>
          <w:p w14:paraId="1529F903">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④贮存设施内产生以及清理的固体废物应按固体废物分类管理要求妥善处理；</w:t>
            </w:r>
          </w:p>
          <w:p w14:paraId="364D713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⑤贮存设施排放的环境噪声应符合GB12348规定的要求。</w:t>
            </w:r>
          </w:p>
          <w:p w14:paraId="0C57D7B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5</w:t>
            </w:r>
            <w:r>
              <w:rPr>
                <w:rFonts w:hint="default" w:ascii="Times New Roman" w:hAnsi="Times New Roman" w:eastAsia="宋体" w:cs="宋体"/>
                <w:color w:val="auto"/>
                <w:kern w:val="2"/>
                <w:sz w:val="24"/>
                <w:szCs w:val="24"/>
                <w:lang w:val="en-US" w:eastAsia="zh-CN" w:bidi="ar-SA"/>
              </w:rPr>
              <w:t>）危险废物运输过程环境管理要求</w:t>
            </w:r>
          </w:p>
          <w:p w14:paraId="1A87DB4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危险废物在收集时，应清楚废物的类别及</w:t>
            </w:r>
            <w:r>
              <w:rPr>
                <w:rFonts w:hint="eastAsia" w:cs="宋体"/>
                <w:color w:val="auto"/>
                <w:kern w:val="2"/>
                <w:sz w:val="24"/>
                <w:szCs w:val="24"/>
                <w:lang w:val="en-US" w:eastAsia="zh-CN" w:bidi="ar-SA"/>
              </w:rPr>
              <w:t>主要成分</w:t>
            </w:r>
            <w:r>
              <w:rPr>
                <w:rFonts w:hint="default" w:ascii="Times New Roman" w:hAnsi="Times New Roman" w:eastAsia="宋体" w:cs="宋体"/>
                <w:color w:val="auto"/>
                <w:kern w:val="2"/>
                <w:sz w:val="24"/>
                <w:szCs w:val="24"/>
                <w:lang w:val="en-US" w:eastAsia="zh-CN" w:bidi="ar-SA"/>
              </w:rPr>
              <w:t>，以方便委托处理单位处理，根据危险废物的性质和形态，可采用不同大小和不同材质的容器进行包装，所有包装容器应足够安全，并经过周密检查，严防在装载、搬移或运输途中出现渗漏、溢出、抛洒或挥发等情况。最后</w:t>
            </w:r>
            <w:r>
              <w:rPr>
                <w:rFonts w:hint="eastAsia" w:cs="宋体"/>
                <w:color w:val="auto"/>
                <w:kern w:val="2"/>
                <w:sz w:val="24"/>
                <w:szCs w:val="24"/>
                <w:lang w:val="en-US" w:eastAsia="zh-CN" w:bidi="ar-SA"/>
              </w:rPr>
              <w:t>按照</w:t>
            </w:r>
            <w:r>
              <w:rPr>
                <w:rFonts w:hint="default" w:ascii="Times New Roman" w:hAnsi="Times New Roman" w:eastAsia="宋体" w:cs="宋体"/>
                <w:color w:val="auto"/>
                <w:kern w:val="2"/>
                <w:sz w:val="24"/>
                <w:szCs w:val="24"/>
                <w:lang w:val="en-US" w:eastAsia="zh-CN" w:bidi="ar-SA"/>
              </w:rPr>
              <w:t>危险废物交换和转移管理工作的有关要求，对危险废物进行安全包装，并在包装的明显位置附上危险废物标签。</w:t>
            </w:r>
          </w:p>
          <w:p w14:paraId="43EB896D">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厂内转运时，危险废物产生后放入专门盛装危险废物的容器或防漏胶袋中，由带有防漏托盘的车辆转运至</w:t>
            </w:r>
            <w:r>
              <w:rPr>
                <w:rFonts w:hint="eastAsia" w:cs="宋体"/>
                <w:color w:val="auto"/>
                <w:kern w:val="2"/>
                <w:sz w:val="24"/>
                <w:szCs w:val="24"/>
                <w:lang w:val="en-US" w:eastAsia="zh-CN" w:bidi="ar-SA"/>
              </w:rPr>
              <w:t>危险废物</w:t>
            </w:r>
            <w:r>
              <w:rPr>
                <w:rFonts w:hint="default" w:ascii="Times New Roman" w:hAnsi="Times New Roman" w:eastAsia="宋体" w:cs="宋体"/>
                <w:color w:val="auto"/>
                <w:kern w:val="2"/>
                <w:sz w:val="24"/>
                <w:szCs w:val="24"/>
                <w:lang w:val="en-US" w:eastAsia="zh-CN" w:bidi="ar-SA"/>
              </w:rPr>
              <w:t>暂存间，转运过程中由于人为操作失误造成的容器倒翻、胶袋破损等情况时，泄漏的危险废物大部分会进入托盘中，极少情况下会出现托盘满溢泄漏情况。由于本项目危险废物产生点距离厂内</w:t>
            </w:r>
            <w:r>
              <w:rPr>
                <w:rFonts w:hint="eastAsia" w:cs="宋体"/>
                <w:color w:val="auto"/>
                <w:kern w:val="2"/>
                <w:sz w:val="24"/>
                <w:szCs w:val="24"/>
                <w:lang w:val="en-US" w:eastAsia="zh-CN" w:bidi="ar-SA"/>
              </w:rPr>
              <w:t>危险废物</w:t>
            </w:r>
            <w:r>
              <w:rPr>
                <w:rFonts w:hint="default" w:ascii="Times New Roman" w:hAnsi="Times New Roman" w:eastAsia="宋体" w:cs="宋体"/>
                <w:color w:val="auto"/>
                <w:kern w:val="2"/>
                <w:sz w:val="24"/>
                <w:szCs w:val="24"/>
                <w:lang w:val="en-US" w:eastAsia="zh-CN" w:bidi="ar-SA"/>
              </w:rPr>
              <w:t>暂存间较近，因此企业在加强管理的情况下，厂内转运过程中出现散落、泄漏概率很小，不会产生二次污染。</w:t>
            </w:r>
          </w:p>
          <w:p w14:paraId="1632B286">
            <w:pPr>
              <w:keepNext/>
              <w:keepLines/>
              <w:widowControl w:val="0"/>
              <w:bidi w:val="0"/>
              <w:spacing w:beforeLines="0" w:beforeAutospacing="0" w:afterLines="0" w:afterAutospacing="0" w:line="360" w:lineRule="auto"/>
              <w:jc w:val="left"/>
              <w:outlineLvl w:val="1"/>
              <w:rPr>
                <w:rFonts w:hint="eastAsia" w:ascii="Times New Roman" w:hAnsi="Times New Roman" w:eastAsia="宋体" w:cs="Times New Roman"/>
                <w:b/>
                <w:color w:val="auto"/>
                <w:kern w:val="2"/>
                <w:sz w:val="28"/>
                <w:szCs w:val="24"/>
                <w:lang w:val="en-US" w:eastAsia="zh-CN" w:bidi="ar-SA"/>
              </w:rPr>
            </w:pPr>
            <w:bookmarkStart w:id="98" w:name="_Toc19078"/>
            <w:bookmarkStart w:id="99" w:name="_Toc14536"/>
            <w:r>
              <w:rPr>
                <w:rFonts w:hint="eastAsia" w:ascii="Times New Roman" w:hAnsi="Times New Roman" w:eastAsia="宋体" w:cs="Times New Roman"/>
                <w:b/>
                <w:color w:val="auto"/>
                <w:kern w:val="2"/>
                <w:sz w:val="28"/>
                <w:szCs w:val="24"/>
                <w:lang w:val="en-US" w:eastAsia="zh-CN" w:bidi="ar-SA"/>
              </w:rPr>
              <w:t>4.5运营期地下水、土壤环境影响和保护措施</w:t>
            </w:r>
            <w:bookmarkEnd w:id="98"/>
            <w:bookmarkEnd w:id="99"/>
          </w:p>
          <w:p w14:paraId="2B9C5AFF">
            <w:pPr>
              <w:keepNext/>
              <w:keepLines/>
              <w:widowControl w:val="0"/>
              <w:bidi w:val="0"/>
              <w:spacing w:beforeLines="0" w:beforeAutospacing="0" w:afterLines="0" w:afterAutospacing="0" w:line="360" w:lineRule="auto"/>
              <w:jc w:val="left"/>
              <w:outlineLvl w:val="2"/>
              <w:rPr>
                <w:rFonts w:ascii="Times New Roman" w:hAnsi="Times New Roman" w:eastAsia="宋体" w:cs="Times New Roman"/>
                <w:b/>
                <w:color w:val="auto"/>
                <w:kern w:val="2"/>
                <w:sz w:val="24"/>
                <w:szCs w:val="24"/>
                <w:lang w:val="en-US" w:eastAsia="zh-CN" w:bidi="ar-SA"/>
              </w:rPr>
            </w:pPr>
            <w:bookmarkStart w:id="100" w:name="_Toc30362"/>
            <w:r>
              <w:rPr>
                <w:rFonts w:hint="eastAsia" w:ascii="Times New Roman" w:hAnsi="Times New Roman" w:eastAsia="宋体" w:cs="Times New Roman"/>
                <w:b/>
                <w:color w:val="auto"/>
                <w:kern w:val="2"/>
                <w:sz w:val="24"/>
                <w:szCs w:val="24"/>
                <w:lang w:val="en-US" w:eastAsia="zh-CN" w:bidi="ar-SA"/>
              </w:rPr>
              <w:t>4.5.1</w:t>
            </w:r>
            <w:r>
              <w:rPr>
                <w:rFonts w:ascii="Times New Roman" w:hAnsi="Times New Roman" w:eastAsia="宋体" w:cs="Times New Roman"/>
                <w:b/>
                <w:color w:val="auto"/>
                <w:kern w:val="2"/>
                <w:sz w:val="24"/>
                <w:szCs w:val="24"/>
                <w:lang w:val="en-US" w:eastAsia="zh-CN" w:bidi="ar-SA"/>
              </w:rPr>
              <w:t>地下水、土壤环境影响分析</w:t>
            </w:r>
            <w:bookmarkEnd w:id="100"/>
          </w:p>
          <w:p w14:paraId="2C067993">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（1）地下水环境</w:t>
            </w:r>
          </w:p>
          <w:p w14:paraId="43F9737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厂区雨水经雨水管网收集后，通过厂区雨水排放口排入镇区雨水排水系统</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循环冷却水塔的冷却水循环使用，定期补充，不外排</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生活污水经化粪池处理达标后，</w:t>
            </w:r>
            <w:r>
              <w:rPr>
                <w:rFonts w:hint="eastAsia" w:ascii="Times New Roman" w:hAnsi="Times New Roman" w:eastAsia="宋体" w:cs="宋体"/>
                <w:color w:val="auto"/>
                <w:kern w:val="2"/>
                <w:sz w:val="24"/>
                <w:szCs w:val="24"/>
                <w:lang w:val="en-US" w:eastAsia="zh-CN" w:bidi="ar-SA"/>
              </w:rPr>
              <w:t>与处理达标的生产废水一同</w:t>
            </w:r>
            <w:r>
              <w:rPr>
                <w:rFonts w:hint="default" w:ascii="Times New Roman" w:hAnsi="Times New Roman" w:eastAsia="宋体" w:cs="宋体"/>
                <w:color w:val="auto"/>
                <w:kern w:val="2"/>
                <w:sz w:val="24"/>
                <w:szCs w:val="24"/>
                <w:lang w:val="en-US" w:eastAsia="zh-CN" w:bidi="ar-SA"/>
              </w:rPr>
              <w:t>排入市政污水管网，纳入</w:t>
            </w:r>
            <w:r>
              <w:rPr>
                <w:rFonts w:hint="eastAsia" w:ascii="Times New Roman" w:hAnsi="Times New Roman" w:eastAsia="宋体" w:cs="宋体"/>
                <w:color w:val="auto"/>
                <w:kern w:val="2"/>
                <w:sz w:val="24"/>
                <w:szCs w:val="24"/>
                <w:lang w:val="en-US" w:eastAsia="zh-CN" w:bidi="ar-SA"/>
              </w:rPr>
              <w:t>大学城</w:t>
            </w:r>
            <w:r>
              <w:rPr>
                <w:rFonts w:hint="default" w:ascii="Times New Roman" w:hAnsi="Times New Roman" w:eastAsia="宋体" w:cs="宋体"/>
                <w:color w:val="auto"/>
                <w:kern w:val="2"/>
                <w:sz w:val="24"/>
                <w:szCs w:val="24"/>
                <w:lang w:val="en-US" w:eastAsia="zh-CN" w:bidi="ar-SA"/>
              </w:rPr>
              <w:t>污水处理厂</w:t>
            </w:r>
            <w:r>
              <w:rPr>
                <w:rFonts w:hint="eastAsia" w:ascii="Times New Roman" w:hAnsi="Times New Roman" w:eastAsia="宋体" w:cs="宋体"/>
                <w:color w:val="auto"/>
                <w:kern w:val="2"/>
                <w:sz w:val="24"/>
                <w:szCs w:val="24"/>
                <w:lang w:val="en-US" w:eastAsia="zh-CN" w:bidi="ar-SA"/>
              </w:rPr>
              <w:t>。</w:t>
            </w:r>
          </w:p>
          <w:p w14:paraId="7FCE807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正常工况下化粪池及污水管道均采取严格的防渗、防溢流等措施，废水不易渗漏和进入地下水。</w:t>
            </w:r>
          </w:p>
          <w:p w14:paraId="152A35D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企业严格按照《一般工业固体废物贮存和填埋污染控制标准》（GB 18599-2020）中固废临时贮存场所要求进行建设，具备防风、防雨、防晒、防渗漏等要求。在正常工况，不会对评价区地下水产生明显影响，其影响程度是可接受的。</w:t>
            </w:r>
          </w:p>
          <w:p w14:paraId="7C6440F5">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项目使用的原料均属于无毒或低毒的原料，在做好厂房防渗情况下，不会产生原料进入地下污染地下水的情况。</w:t>
            </w:r>
          </w:p>
          <w:p w14:paraId="23F9C5F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cs="宋体"/>
                <w:color w:val="auto"/>
                <w:kern w:val="2"/>
                <w:sz w:val="24"/>
                <w:szCs w:val="24"/>
                <w:lang w:val="en-US" w:eastAsia="zh-CN" w:bidi="ar-SA"/>
              </w:rPr>
              <w:t>综上所述</w:t>
            </w:r>
            <w:r>
              <w:rPr>
                <w:rFonts w:hint="default" w:ascii="Times New Roman" w:hAnsi="Times New Roman" w:eastAsia="宋体" w:cs="宋体"/>
                <w:color w:val="auto"/>
                <w:kern w:val="2"/>
                <w:sz w:val="24"/>
                <w:szCs w:val="24"/>
                <w:lang w:val="en-US" w:eastAsia="zh-CN" w:bidi="ar-SA"/>
              </w:rPr>
              <w:t>，项目在正常运行工况下，项目对地下水影响不大。但公司应加强管理，杜绝防渗层破裂等事故影响。</w:t>
            </w:r>
          </w:p>
          <w:p w14:paraId="26F637B0">
            <w:pPr>
              <w:keepNext/>
              <w:keepLines/>
              <w:widowControl w:val="0"/>
              <w:bidi w:val="0"/>
              <w:spacing w:beforeLines="0" w:beforeAutospacing="0" w:afterLines="0" w:afterAutospacing="0" w:line="360" w:lineRule="auto"/>
              <w:jc w:val="left"/>
              <w:outlineLvl w:val="2"/>
              <w:rPr>
                <w:rFonts w:ascii="Times New Roman" w:hAnsi="Times New Roman" w:eastAsia="宋体" w:cs="Times New Roman"/>
                <w:b/>
                <w:color w:val="auto"/>
                <w:kern w:val="2"/>
                <w:sz w:val="24"/>
                <w:szCs w:val="24"/>
                <w:lang w:val="en-US" w:eastAsia="zh-CN" w:bidi="ar-SA"/>
              </w:rPr>
            </w:pPr>
            <w:bookmarkStart w:id="101" w:name="_Toc30944"/>
            <w:r>
              <w:rPr>
                <w:rFonts w:ascii="Times New Roman" w:hAnsi="Times New Roman" w:eastAsia="宋体" w:cs="Times New Roman"/>
                <w:b/>
                <w:color w:val="auto"/>
                <w:kern w:val="2"/>
                <w:sz w:val="24"/>
                <w:szCs w:val="24"/>
                <w:lang w:val="en-US" w:eastAsia="zh-CN" w:bidi="ar-SA"/>
              </w:rPr>
              <w:t>4.</w:t>
            </w:r>
            <w:r>
              <w:rPr>
                <w:rFonts w:hint="eastAsia" w:ascii="Times New Roman" w:hAnsi="Times New Roman" w:eastAsia="宋体" w:cs="Times New Roman"/>
                <w:b/>
                <w:color w:val="auto"/>
                <w:kern w:val="2"/>
                <w:sz w:val="24"/>
                <w:szCs w:val="24"/>
                <w:lang w:val="en-US" w:eastAsia="zh-CN" w:bidi="ar-SA"/>
              </w:rPr>
              <w:t>5</w:t>
            </w:r>
            <w:r>
              <w:rPr>
                <w:rFonts w:ascii="Times New Roman" w:hAnsi="Times New Roman" w:eastAsia="宋体" w:cs="Times New Roman"/>
                <w:b/>
                <w:color w:val="auto"/>
                <w:kern w:val="2"/>
                <w:sz w:val="24"/>
                <w:szCs w:val="24"/>
                <w:lang w:val="en-US" w:eastAsia="zh-CN" w:bidi="ar-SA"/>
              </w:rPr>
              <w:t>.2地下水、土壤环境防控措施</w:t>
            </w:r>
            <w:bookmarkEnd w:id="101"/>
          </w:p>
          <w:p w14:paraId="1EFA1B34">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1</w:t>
            </w:r>
            <w:r>
              <w:rPr>
                <w:rFonts w:hint="eastAsia" w:ascii="Times New Roman" w:hAnsi="Times New Roman" w:eastAsia="宋体" w:cs="宋体"/>
                <w:color w:val="auto"/>
                <w:kern w:val="2"/>
                <w:sz w:val="24"/>
                <w:szCs w:val="24"/>
                <w:lang w:val="en-US" w:eastAsia="zh-CN" w:bidi="ar-SA"/>
              </w:rPr>
              <w:t>）</w:t>
            </w:r>
            <w:r>
              <w:rPr>
                <w:rFonts w:ascii="Times New Roman" w:hAnsi="Times New Roman" w:eastAsia="宋体" w:cs="宋体"/>
                <w:color w:val="auto"/>
                <w:kern w:val="2"/>
                <w:sz w:val="24"/>
                <w:szCs w:val="24"/>
                <w:lang w:val="en-US" w:eastAsia="zh-CN" w:bidi="ar-SA"/>
              </w:rPr>
              <w:t>防渗措施</w:t>
            </w:r>
          </w:p>
          <w:p w14:paraId="3C002EAE">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①合理进行防渗区域划分</w:t>
            </w:r>
          </w:p>
          <w:p w14:paraId="0EBC74C6">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本项目位于</w:t>
            </w:r>
            <w:r>
              <w:rPr>
                <w:rFonts w:hint="eastAsia" w:cs="宋体"/>
                <w:color w:val="auto"/>
                <w:kern w:val="2"/>
                <w:sz w:val="24"/>
                <w:szCs w:val="24"/>
                <w:lang w:val="en-US" w:eastAsia="zh-CN" w:bidi="ar-SA"/>
              </w:rPr>
              <w:t>福建省福州市闽侯县上街镇马保村后园32号2号楼1层</w:t>
            </w:r>
            <w:r>
              <w:rPr>
                <w:rFonts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本项目涉及生产废水的产生与排放，产生的固体废物包括一般工业固体废物和危险废物。生产废水的排放、危险废物的产生和贮存存在对地下水和土壤污染途径。根据《环境影响评价技术导则地下水环境》（HJ610-2016）以及结合</w:t>
            </w:r>
            <w:r>
              <w:rPr>
                <w:rFonts w:ascii="Times New Roman" w:hAnsi="Times New Roman" w:eastAsia="宋体" w:cs="宋体"/>
                <w:color w:val="auto"/>
                <w:kern w:val="2"/>
                <w:sz w:val="24"/>
                <w:szCs w:val="24"/>
                <w:lang w:val="en-US" w:eastAsia="zh-CN" w:bidi="ar-SA"/>
              </w:rPr>
              <w:t>实际情况考虑根据本项目厂区可能泄漏至地面区域污染物的性质和生产单元的构筑方式，将厂区划分为一般污染防治区</w:t>
            </w:r>
            <w:r>
              <w:rPr>
                <w:rFonts w:hint="eastAsia" w:ascii="Times New Roman" w:hAnsi="Times New Roman" w:eastAsia="宋体" w:cs="宋体"/>
                <w:color w:val="auto"/>
                <w:kern w:val="2"/>
                <w:sz w:val="24"/>
                <w:szCs w:val="24"/>
                <w:lang w:val="en-US" w:eastAsia="zh-CN" w:bidi="ar-SA"/>
              </w:rPr>
              <w:t>和重点污染防治区</w:t>
            </w:r>
            <w:r>
              <w:rPr>
                <w:rFonts w:ascii="Times New Roman" w:hAnsi="Times New Roman" w:eastAsia="宋体" w:cs="宋体"/>
                <w:color w:val="auto"/>
                <w:kern w:val="2"/>
                <w:sz w:val="24"/>
                <w:szCs w:val="24"/>
                <w:lang w:val="en-US" w:eastAsia="zh-CN" w:bidi="ar-SA"/>
              </w:rPr>
              <w:t>，</w:t>
            </w:r>
            <w:r>
              <w:rPr>
                <w:rFonts w:hint="eastAsia" w:ascii="Times New Roman" w:hAnsi="Times New Roman" w:eastAsia="宋体" w:cs="宋体"/>
                <w:color w:val="auto"/>
                <w:kern w:val="2"/>
                <w:sz w:val="24"/>
                <w:szCs w:val="24"/>
                <w:lang w:val="en-US" w:eastAsia="zh-CN" w:bidi="ar-SA"/>
              </w:rPr>
              <w:t>并</w:t>
            </w:r>
            <w:r>
              <w:rPr>
                <w:rFonts w:ascii="Times New Roman" w:hAnsi="Times New Roman" w:eastAsia="宋体" w:cs="宋体"/>
                <w:color w:val="auto"/>
                <w:kern w:val="2"/>
                <w:sz w:val="24"/>
                <w:szCs w:val="24"/>
                <w:lang w:val="en-US" w:eastAsia="zh-CN" w:bidi="ar-SA"/>
              </w:rPr>
              <w:t>提出相应的防渗要求。结合项目的特点，项目防渗防治分区见表4.5-1。</w:t>
            </w:r>
          </w:p>
          <w:p w14:paraId="3F1E7BAF">
            <w:pPr>
              <w:widowControl w:val="0"/>
              <w:bidi w:val="0"/>
              <w:adjustRightInd w:val="0"/>
              <w:snapToGrid w:val="0"/>
              <w:spacing w:before="10" w:beforeLines="10" w:after="10" w:afterLines="10"/>
              <w:jc w:val="center"/>
              <w:rPr>
                <w:rFonts w:ascii="Times New Roman" w:hAnsi="Times New Roman" w:eastAsia="宋体" w:cs="Times New Roman"/>
                <w:b/>
                <w:color w:val="auto"/>
                <w:kern w:val="0"/>
                <w:sz w:val="24"/>
                <w:szCs w:val="20"/>
                <w:lang w:val="en-US" w:eastAsia="zh-CN" w:bidi="ar-SA"/>
              </w:rPr>
            </w:pPr>
            <w:r>
              <w:rPr>
                <w:rFonts w:ascii="Times New Roman" w:hAnsi="Times New Roman" w:eastAsia="宋体" w:cs="Times New Roman"/>
                <w:b/>
                <w:color w:val="auto"/>
                <w:kern w:val="0"/>
                <w:sz w:val="24"/>
                <w:szCs w:val="20"/>
                <w:lang w:val="en-US" w:eastAsia="zh-CN" w:bidi="ar-SA"/>
              </w:rPr>
              <w:t>表4.</w:t>
            </w:r>
            <w:r>
              <w:rPr>
                <w:rFonts w:hint="eastAsia" w:ascii="Times New Roman" w:hAnsi="Times New Roman" w:eastAsia="宋体" w:cs="Times New Roman"/>
                <w:b/>
                <w:color w:val="auto"/>
                <w:kern w:val="0"/>
                <w:sz w:val="24"/>
                <w:szCs w:val="20"/>
                <w:lang w:val="en-US" w:eastAsia="zh-CN" w:bidi="ar-SA"/>
              </w:rPr>
              <w:t>5</w:t>
            </w:r>
            <w:r>
              <w:rPr>
                <w:rFonts w:ascii="Times New Roman" w:hAnsi="Times New Roman" w:eastAsia="宋体" w:cs="Times New Roman"/>
                <w:b/>
                <w:color w:val="auto"/>
                <w:kern w:val="0"/>
                <w:sz w:val="24"/>
                <w:szCs w:val="20"/>
                <w:lang w:val="en-US" w:eastAsia="zh-CN" w:bidi="ar-SA"/>
              </w:rPr>
              <w:t>-1</w:t>
            </w:r>
            <w:r>
              <w:rPr>
                <w:rFonts w:hint="eastAsia" w:cs="Times New Roman"/>
                <w:b/>
                <w:color w:val="auto"/>
                <w:kern w:val="0"/>
                <w:sz w:val="24"/>
                <w:szCs w:val="20"/>
                <w:lang w:val="en-US" w:eastAsia="zh-CN" w:bidi="ar-SA"/>
              </w:rPr>
              <w:t xml:space="preserve">  </w:t>
            </w:r>
            <w:r>
              <w:rPr>
                <w:rFonts w:hint="eastAsia" w:ascii="Times New Roman" w:hAnsi="Times New Roman" w:eastAsia="宋体" w:cs="Times New Roman"/>
                <w:b/>
                <w:color w:val="auto"/>
                <w:kern w:val="0"/>
                <w:sz w:val="24"/>
                <w:szCs w:val="20"/>
                <w:lang w:val="en-US" w:eastAsia="zh-CN" w:bidi="ar-SA"/>
              </w:rPr>
              <w:t>地下水、</w:t>
            </w:r>
            <w:r>
              <w:rPr>
                <w:rFonts w:ascii="Times New Roman" w:hAnsi="Times New Roman" w:eastAsia="宋体" w:cs="Times New Roman"/>
                <w:b/>
                <w:color w:val="auto"/>
                <w:kern w:val="0"/>
                <w:sz w:val="24"/>
                <w:szCs w:val="20"/>
                <w:lang w:val="en-US" w:eastAsia="zh-CN" w:bidi="ar-SA"/>
              </w:rPr>
              <w:t>土壤污染防治分区一览表</w:t>
            </w:r>
          </w:p>
          <w:tbl>
            <w:tblPr>
              <w:tblStyle w:val="19"/>
              <w:tblW w:w="7777" w:type="dxa"/>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2156"/>
              <w:gridCol w:w="814"/>
              <w:gridCol w:w="3457"/>
              <w:gridCol w:w="1350"/>
            </w:tblGrid>
            <w:tr w14:paraId="25A2FA8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3" w:hRule="atLeast"/>
                <w:jc w:val="center"/>
              </w:trPr>
              <w:tc>
                <w:tcPr>
                  <w:tcW w:w="2156" w:type="dxa"/>
                  <w:tcBorders>
                    <w:tl2br w:val="nil"/>
                    <w:tr2bl w:val="nil"/>
                  </w:tcBorders>
                  <w:noWrap w:val="0"/>
                  <w:vAlign w:val="center"/>
                </w:tcPr>
                <w:p w14:paraId="15EB506E">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防治分区</w:t>
                  </w:r>
                </w:p>
              </w:tc>
              <w:tc>
                <w:tcPr>
                  <w:tcW w:w="814" w:type="dxa"/>
                  <w:tcBorders>
                    <w:tl2br w:val="nil"/>
                    <w:tr2bl w:val="nil"/>
                  </w:tcBorders>
                  <w:noWrap w:val="0"/>
                  <w:vAlign w:val="center"/>
                </w:tcPr>
                <w:p w14:paraId="610B87EC">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序号</w:t>
                  </w:r>
                </w:p>
              </w:tc>
              <w:tc>
                <w:tcPr>
                  <w:tcW w:w="3457" w:type="dxa"/>
                  <w:tcBorders>
                    <w:tl2br w:val="nil"/>
                    <w:tr2bl w:val="nil"/>
                  </w:tcBorders>
                  <w:noWrap w:val="0"/>
                  <w:vAlign w:val="center"/>
                </w:tcPr>
                <w:p w14:paraId="73D0878E">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装置或者构筑物名称</w:t>
                  </w:r>
                </w:p>
              </w:tc>
              <w:tc>
                <w:tcPr>
                  <w:tcW w:w="1350" w:type="dxa"/>
                  <w:tcBorders>
                    <w:tl2br w:val="nil"/>
                    <w:tr2bl w:val="nil"/>
                  </w:tcBorders>
                  <w:noWrap w:val="0"/>
                  <w:vAlign w:val="center"/>
                </w:tcPr>
                <w:p w14:paraId="3EBCCC5B">
                  <w:pPr>
                    <w:widowControl w:val="0"/>
                    <w:bidi w:val="0"/>
                    <w:adjustRightInd w:val="0"/>
                    <w:snapToGrid w:val="0"/>
                    <w:spacing w:before="10" w:beforeLines="10" w:after="10" w:afterLines="10" w:line="240" w:lineRule="auto"/>
                    <w:jc w:val="center"/>
                    <w:rPr>
                      <w:rFonts w:ascii="Times New Roman" w:hAnsi="Times New Roman" w:eastAsia="宋体" w:cs="Times New Roman"/>
                      <w:b/>
                      <w:bCs/>
                      <w:color w:val="auto"/>
                      <w:kern w:val="0"/>
                      <w:sz w:val="21"/>
                      <w:szCs w:val="20"/>
                      <w:lang w:val="en-US" w:eastAsia="zh-CN" w:bidi="ar-SA"/>
                    </w:rPr>
                  </w:pPr>
                  <w:r>
                    <w:rPr>
                      <w:rFonts w:ascii="Times New Roman" w:hAnsi="Times New Roman" w:eastAsia="宋体" w:cs="Times New Roman"/>
                      <w:b/>
                      <w:bCs/>
                      <w:color w:val="auto"/>
                      <w:kern w:val="0"/>
                      <w:sz w:val="21"/>
                      <w:szCs w:val="20"/>
                      <w:lang w:val="en-US" w:eastAsia="zh-CN" w:bidi="ar-SA"/>
                    </w:rPr>
                    <w:t>防渗区域</w:t>
                  </w:r>
                </w:p>
              </w:tc>
            </w:tr>
            <w:tr w14:paraId="31EE679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37" w:hRule="atLeast"/>
                <w:jc w:val="center"/>
              </w:trPr>
              <w:tc>
                <w:tcPr>
                  <w:tcW w:w="2156" w:type="dxa"/>
                  <w:tcBorders>
                    <w:tl2br w:val="nil"/>
                    <w:tr2bl w:val="nil"/>
                  </w:tcBorders>
                  <w:noWrap w:val="0"/>
                  <w:vAlign w:val="center"/>
                </w:tcPr>
                <w:p w14:paraId="7CEFB4E2">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重点污染防治区</w:t>
                  </w:r>
                </w:p>
              </w:tc>
              <w:tc>
                <w:tcPr>
                  <w:tcW w:w="814" w:type="dxa"/>
                  <w:tcBorders>
                    <w:tl2br w:val="nil"/>
                    <w:tr2bl w:val="nil"/>
                  </w:tcBorders>
                  <w:noWrap w:val="0"/>
                  <w:vAlign w:val="center"/>
                </w:tcPr>
                <w:p w14:paraId="4FDBB42C">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w:t>
                  </w:r>
                </w:p>
              </w:tc>
              <w:tc>
                <w:tcPr>
                  <w:tcW w:w="3457" w:type="dxa"/>
                  <w:tcBorders>
                    <w:tl2br w:val="nil"/>
                    <w:tr2bl w:val="nil"/>
                  </w:tcBorders>
                  <w:noWrap w:val="0"/>
                  <w:vAlign w:val="center"/>
                </w:tcPr>
                <w:p w14:paraId="6314DA7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危险废物暂存间</w:t>
                  </w:r>
                </w:p>
              </w:tc>
              <w:tc>
                <w:tcPr>
                  <w:tcW w:w="1350" w:type="dxa"/>
                  <w:tcBorders>
                    <w:tl2br w:val="nil"/>
                    <w:tr2bl w:val="nil"/>
                  </w:tcBorders>
                  <w:noWrap w:val="0"/>
                  <w:vAlign w:val="center"/>
                </w:tcPr>
                <w:p w14:paraId="3806AF1D">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车间地面</w:t>
                  </w:r>
                </w:p>
              </w:tc>
            </w:tr>
            <w:tr w14:paraId="2144049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37" w:hRule="atLeast"/>
                <w:jc w:val="center"/>
              </w:trPr>
              <w:tc>
                <w:tcPr>
                  <w:tcW w:w="2156" w:type="dxa"/>
                  <w:tcBorders>
                    <w:tl2br w:val="nil"/>
                    <w:tr2bl w:val="nil"/>
                  </w:tcBorders>
                  <w:noWrap w:val="0"/>
                  <w:vAlign w:val="center"/>
                </w:tcPr>
                <w:p w14:paraId="069A770C">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一般污染防治区</w:t>
                  </w:r>
                </w:p>
              </w:tc>
              <w:tc>
                <w:tcPr>
                  <w:tcW w:w="814" w:type="dxa"/>
                  <w:tcBorders>
                    <w:tl2br w:val="nil"/>
                    <w:tr2bl w:val="nil"/>
                  </w:tcBorders>
                  <w:noWrap w:val="0"/>
                  <w:vAlign w:val="center"/>
                </w:tcPr>
                <w:p w14:paraId="145272CA">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w:t>
                  </w:r>
                </w:p>
              </w:tc>
              <w:tc>
                <w:tcPr>
                  <w:tcW w:w="3457" w:type="dxa"/>
                  <w:tcBorders>
                    <w:tl2br w:val="nil"/>
                    <w:tr2bl w:val="nil"/>
                  </w:tcBorders>
                  <w:noWrap w:val="0"/>
                  <w:vAlign w:val="center"/>
                </w:tcPr>
                <w:p w14:paraId="61691467">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污水处理构筑物</w:t>
                  </w:r>
                </w:p>
              </w:tc>
              <w:tc>
                <w:tcPr>
                  <w:tcW w:w="1350" w:type="dxa"/>
                  <w:tcBorders>
                    <w:tl2br w:val="nil"/>
                    <w:tr2bl w:val="nil"/>
                  </w:tcBorders>
                  <w:noWrap w:val="0"/>
                  <w:vAlign w:val="center"/>
                </w:tcPr>
                <w:p w14:paraId="4F815895">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车间地面</w:t>
                  </w:r>
                </w:p>
              </w:tc>
            </w:tr>
            <w:tr w14:paraId="11C9DB3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37" w:hRule="atLeast"/>
                <w:jc w:val="center"/>
              </w:trPr>
              <w:tc>
                <w:tcPr>
                  <w:tcW w:w="2156" w:type="dxa"/>
                  <w:tcBorders>
                    <w:tl2br w:val="nil"/>
                    <w:tr2bl w:val="nil"/>
                  </w:tcBorders>
                  <w:noWrap w:val="0"/>
                  <w:vAlign w:val="center"/>
                </w:tcPr>
                <w:p w14:paraId="4782315E">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一般污染防治区</w:t>
                  </w:r>
                </w:p>
              </w:tc>
              <w:tc>
                <w:tcPr>
                  <w:tcW w:w="814" w:type="dxa"/>
                  <w:tcBorders>
                    <w:tl2br w:val="nil"/>
                    <w:tr2bl w:val="nil"/>
                  </w:tcBorders>
                  <w:noWrap w:val="0"/>
                  <w:vAlign w:val="center"/>
                </w:tcPr>
                <w:p w14:paraId="4FD82984">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3</w:t>
                  </w:r>
                </w:p>
              </w:tc>
              <w:tc>
                <w:tcPr>
                  <w:tcW w:w="3457" w:type="dxa"/>
                  <w:tcBorders>
                    <w:tl2br w:val="nil"/>
                    <w:tr2bl w:val="nil"/>
                  </w:tcBorders>
                  <w:noWrap w:val="0"/>
                  <w:vAlign w:val="center"/>
                </w:tcPr>
                <w:p w14:paraId="77EF126F">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color w:val="auto"/>
                      <w:lang w:val="en-US" w:eastAsia="zh-CN"/>
                    </w:rPr>
                    <w:t>化学品贮存间</w:t>
                  </w:r>
                </w:p>
              </w:tc>
              <w:tc>
                <w:tcPr>
                  <w:tcW w:w="1350" w:type="dxa"/>
                  <w:tcBorders>
                    <w:tl2br w:val="nil"/>
                    <w:tr2bl w:val="nil"/>
                  </w:tcBorders>
                  <w:noWrap w:val="0"/>
                  <w:vAlign w:val="center"/>
                </w:tcPr>
                <w:p w14:paraId="460208EA">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车间地面</w:t>
                  </w:r>
                </w:p>
              </w:tc>
            </w:tr>
            <w:tr w14:paraId="7955C2E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37" w:hRule="atLeast"/>
                <w:jc w:val="center"/>
              </w:trPr>
              <w:tc>
                <w:tcPr>
                  <w:tcW w:w="2156" w:type="dxa"/>
                  <w:tcBorders>
                    <w:tl2br w:val="nil"/>
                    <w:tr2bl w:val="nil"/>
                  </w:tcBorders>
                  <w:noWrap w:val="0"/>
                  <w:vAlign w:val="center"/>
                </w:tcPr>
                <w:p w14:paraId="723028B7">
                  <w:pPr>
                    <w:widowControl w:val="0"/>
                    <w:bidi w:val="0"/>
                    <w:adjustRightInd w:val="0"/>
                    <w:snapToGrid w:val="0"/>
                    <w:spacing w:before="10" w:beforeLines="10" w:after="10" w:afterLines="10" w:line="240" w:lineRule="auto"/>
                    <w:jc w:val="center"/>
                    <w:rPr>
                      <w:rFonts w:ascii="Times New Roman" w:hAnsi="Times New Roman" w:eastAsia="宋体" w:cs="Times New Roman"/>
                      <w:color w:val="auto"/>
                      <w:kern w:val="0"/>
                      <w:sz w:val="21"/>
                      <w:szCs w:val="20"/>
                      <w:lang w:val="en-US" w:eastAsia="zh-CN" w:bidi="ar-SA"/>
                    </w:rPr>
                  </w:pPr>
                  <w:r>
                    <w:rPr>
                      <w:rFonts w:ascii="Times New Roman" w:hAnsi="Times New Roman" w:eastAsia="宋体" w:cs="Times New Roman"/>
                      <w:color w:val="auto"/>
                      <w:kern w:val="0"/>
                      <w:sz w:val="21"/>
                      <w:szCs w:val="20"/>
                      <w:lang w:val="en-US" w:eastAsia="zh-CN" w:bidi="ar-SA"/>
                    </w:rPr>
                    <w:t>一般污染防治区</w:t>
                  </w:r>
                </w:p>
              </w:tc>
              <w:tc>
                <w:tcPr>
                  <w:tcW w:w="814" w:type="dxa"/>
                  <w:tcBorders>
                    <w:tl2br w:val="nil"/>
                    <w:tr2bl w:val="nil"/>
                  </w:tcBorders>
                  <w:noWrap w:val="0"/>
                  <w:vAlign w:val="center"/>
                </w:tcPr>
                <w:p w14:paraId="0DE5071F">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4</w:t>
                  </w:r>
                </w:p>
              </w:tc>
              <w:tc>
                <w:tcPr>
                  <w:tcW w:w="3457" w:type="dxa"/>
                  <w:tcBorders>
                    <w:tl2br w:val="nil"/>
                    <w:tr2bl w:val="nil"/>
                  </w:tcBorders>
                  <w:noWrap w:val="0"/>
                  <w:vAlign w:val="center"/>
                </w:tcPr>
                <w:p w14:paraId="0C387417">
                  <w:pPr>
                    <w:widowControl w:val="0"/>
                    <w:bidi w:val="0"/>
                    <w:adjustRightInd w:val="0"/>
                    <w:snapToGrid w:val="0"/>
                    <w:spacing w:before="10" w:beforeLines="10" w:after="10" w:afterLines="10" w:line="240" w:lineRule="auto"/>
                    <w:jc w:val="center"/>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项目生产车间</w:t>
                  </w:r>
                </w:p>
              </w:tc>
              <w:tc>
                <w:tcPr>
                  <w:tcW w:w="1350" w:type="dxa"/>
                  <w:tcBorders>
                    <w:tl2br w:val="nil"/>
                    <w:tr2bl w:val="nil"/>
                  </w:tcBorders>
                  <w:noWrap w:val="0"/>
                  <w:vAlign w:val="center"/>
                </w:tcPr>
                <w:p w14:paraId="6302C5FA">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车间</w:t>
                  </w:r>
                  <w:r>
                    <w:rPr>
                      <w:rFonts w:ascii="Times New Roman" w:hAnsi="Times New Roman" w:eastAsia="宋体" w:cs="Times New Roman"/>
                      <w:color w:val="auto"/>
                      <w:kern w:val="0"/>
                      <w:sz w:val="21"/>
                      <w:szCs w:val="20"/>
                      <w:lang w:val="en-US" w:eastAsia="zh-CN" w:bidi="ar-SA"/>
                    </w:rPr>
                    <w:t>地面</w:t>
                  </w:r>
                </w:p>
              </w:tc>
            </w:tr>
          </w:tbl>
          <w:p w14:paraId="6754EF88">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②</w:t>
            </w:r>
            <w:r>
              <w:rPr>
                <w:rFonts w:hint="eastAsia" w:ascii="Times New Roman" w:hAnsi="Times New Roman" w:eastAsia="宋体" w:cs="宋体"/>
                <w:color w:val="auto"/>
                <w:kern w:val="2"/>
                <w:sz w:val="24"/>
                <w:szCs w:val="24"/>
                <w:lang w:val="en-US" w:eastAsia="zh-CN" w:bidi="ar-SA"/>
              </w:rPr>
              <w:t>防渗要求</w:t>
            </w:r>
          </w:p>
          <w:p w14:paraId="55D58EB7">
            <w:pPr>
              <w:widowControl w:val="0"/>
              <w:bidi w:val="0"/>
              <w:spacing w:line="360" w:lineRule="auto"/>
              <w:ind w:firstLine="480" w:firstLineChars="200"/>
              <w:jc w:val="both"/>
              <w:rPr>
                <w:rFonts w:ascii="Times New Roman" w:hAnsi="Times New Roman" w:eastAsia="宋体" w:cs="宋体"/>
                <w:color w:val="auto"/>
                <w:kern w:val="2"/>
                <w:sz w:val="24"/>
                <w:szCs w:val="24"/>
                <w:lang w:val="en-US" w:eastAsia="zh-CN" w:bidi="ar-SA"/>
              </w:rPr>
            </w:pPr>
            <w:r>
              <w:rPr>
                <w:rFonts w:ascii="Times New Roman" w:hAnsi="Times New Roman" w:eastAsia="宋体" w:cs="宋体"/>
                <w:color w:val="auto"/>
                <w:kern w:val="2"/>
                <w:sz w:val="24"/>
                <w:szCs w:val="24"/>
                <w:lang w:val="en-US" w:eastAsia="zh-CN" w:bidi="ar-SA"/>
              </w:rPr>
              <w:t>重点污染区防渗要求：根据《环境影响评价技术导则地下水环境》（HJ610-2016）的要求，重点防治区的防渗性能应等效黏土防渗层≥6.0m，渗透系数≤1.0×10</w:t>
            </w:r>
            <w:r>
              <w:rPr>
                <w:rFonts w:hint="eastAsia" w:cs="宋体"/>
                <w:color w:val="auto"/>
                <w:kern w:val="2"/>
                <w:sz w:val="24"/>
                <w:szCs w:val="24"/>
                <w:lang w:val="en-US" w:eastAsia="zh-CN" w:bidi="ar-SA"/>
              </w:rPr>
              <w:t>—</w:t>
            </w:r>
            <w:r>
              <w:rPr>
                <w:rFonts w:ascii="Times New Roman" w:hAnsi="Times New Roman" w:eastAsia="宋体" w:cs="宋体"/>
                <w:color w:val="auto"/>
                <w:kern w:val="2"/>
                <w:sz w:val="24"/>
                <w:szCs w:val="24"/>
                <w:vertAlign w:val="superscript"/>
                <w:lang w:val="en-US" w:eastAsia="zh-CN" w:bidi="ar-SA"/>
              </w:rPr>
              <w:t>7</w:t>
            </w:r>
            <w:r>
              <w:rPr>
                <w:rFonts w:ascii="Times New Roman" w:hAnsi="Times New Roman" w:eastAsia="宋体" w:cs="宋体"/>
                <w:color w:val="auto"/>
                <w:kern w:val="2"/>
                <w:sz w:val="24"/>
                <w:szCs w:val="24"/>
                <w:lang w:val="en-US" w:eastAsia="zh-CN" w:bidi="ar-SA"/>
              </w:rPr>
              <w:t>cm/s。危险废物暂存场重点防渗区应按照《危险废物污染防治技术政策》</w:t>
            </w:r>
            <w:r>
              <w:rPr>
                <w:rFonts w:hint="eastAsia" w:ascii="Times New Roman" w:hAnsi="Times New Roman" w:eastAsia="宋体" w:cs="宋体"/>
                <w:color w:val="auto"/>
                <w:kern w:val="2"/>
                <w:sz w:val="24"/>
                <w:szCs w:val="24"/>
                <w:lang w:val="en-US" w:eastAsia="zh-CN" w:bidi="ar-SA"/>
              </w:rPr>
              <w:t>及</w:t>
            </w:r>
            <w:r>
              <w:rPr>
                <w:rFonts w:hint="eastAsia" w:cs="宋体"/>
                <w:color w:val="auto"/>
                <w:kern w:val="2"/>
                <w:sz w:val="24"/>
                <w:szCs w:val="24"/>
                <w:lang w:val="en-US" w:eastAsia="zh-CN" w:bidi="ar-SA"/>
              </w:rPr>
              <w:t>《危险废物贮存污染控制标准》（GB18597-2023）</w:t>
            </w:r>
            <w:r>
              <w:rPr>
                <w:rFonts w:ascii="Times New Roman" w:hAnsi="Times New Roman" w:eastAsia="宋体" w:cs="宋体"/>
                <w:color w:val="auto"/>
                <w:kern w:val="2"/>
                <w:sz w:val="24"/>
                <w:szCs w:val="24"/>
                <w:lang w:val="en-US" w:eastAsia="zh-CN" w:bidi="ar-SA"/>
              </w:rPr>
              <w:t>等危险废物处理的相关标准、法律法规的要求。</w:t>
            </w:r>
          </w:p>
          <w:p w14:paraId="78D45B46">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一般污染防治区防渗要求：</w:t>
            </w:r>
            <w:r>
              <w:rPr>
                <w:rFonts w:ascii="Times New Roman" w:hAnsi="Times New Roman" w:eastAsia="宋体" w:cs="宋体"/>
                <w:color w:val="auto"/>
                <w:kern w:val="2"/>
                <w:sz w:val="24"/>
                <w:szCs w:val="24"/>
                <w:lang w:val="en-US" w:eastAsia="zh-CN" w:bidi="ar-SA"/>
              </w:rPr>
              <w:t>根据《环境影响评价技术导则地下水环境》（HJ610-2016）的要求，</w:t>
            </w:r>
            <w:r>
              <w:rPr>
                <w:rFonts w:hint="eastAsia" w:ascii="Times New Roman" w:hAnsi="Times New Roman" w:eastAsia="宋体" w:cs="宋体"/>
                <w:color w:val="auto"/>
                <w:kern w:val="2"/>
                <w:sz w:val="24"/>
                <w:szCs w:val="24"/>
                <w:lang w:val="en-US" w:eastAsia="zh-CN" w:bidi="ar-SA"/>
              </w:rPr>
              <w:t>等效黏土防渗层Mb≥1.5m，K≤1.0×10</w:t>
            </w:r>
            <w:r>
              <w:rPr>
                <w:rFonts w:hint="eastAsia" w:cs="宋体"/>
                <w:color w:val="auto"/>
                <w:kern w:val="2"/>
                <w:sz w:val="24"/>
                <w:szCs w:val="24"/>
                <w:lang w:val="en-US" w:eastAsia="zh-CN" w:bidi="ar-SA"/>
              </w:rPr>
              <w:t>—</w:t>
            </w:r>
            <w:r>
              <w:rPr>
                <w:rFonts w:hint="eastAsia" w:ascii="Times New Roman" w:hAnsi="Times New Roman" w:eastAsia="宋体" w:cs="宋体"/>
                <w:color w:val="auto"/>
                <w:kern w:val="2"/>
                <w:sz w:val="24"/>
                <w:szCs w:val="24"/>
                <w:vertAlign w:val="superscript"/>
                <w:lang w:val="en-US" w:eastAsia="zh-CN" w:bidi="ar-SA"/>
              </w:rPr>
              <w:t>7</w:t>
            </w:r>
            <w:r>
              <w:rPr>
                <w:rFonts w:hint="eastAsia" w:ascii="Times New Roman" w:hAnsi="Times New Roman" w:eastAsia="宋体" w:cs="宋体"/>
                <w:color w:val="auto"/>
                <w:kern w:val="2"/>
                <w:sz w:val="24"/>
                <w:szCs w:val="24"/>
                <w:lang w:val="en-US" w:eastAsia="zh-CN" w:bidi="ar-SA"/>
              </w:rPr>
              <w:t>cm/s；或参照《生活垃圾填埋场污染控制标准》（GB 16889-2008）执行。</w:t>
            </w:r>
          </w:p>
          <w:p w14:paraId="603C1B01">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（2）监控措施</w:t>
            </w:r>
          </w:p>
          <w:p w14:paraId="3B0FEE1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①项目危险废物暂存间等四周建设导流沟装置，防止危险废物等泄漏时四处扩散，并可</w:t>
            </w:r>
            <w:r>
              <w:rPr>
                <w:rFonts w:ascii="Times New Roman" w:hAnsi="Times New Roman" w:eastAsia="宋体" w:cs="宋体"/>
                <w:color w:val="auto"/>
                <w:kern w:val="2"/>
                <w:sz w:val="24"/>
                <w:szCs w:val="24"/>
                <w:lang w:val="en-US" w:eastAsia="zh-CN" w:bidi="ar-SA"/>
              </w:rPr>
              <w:t>及时移除或者清理污染源</w:t>
            </w:r>
            <w:r>
              <w:rPr>
                <w:rFonts w:hint="eastAsia" w:ascii="Times New Roman" w:hAnsi="Times New Roman" w:eastAsia="宋体" w:cs="宋体"/>
                <w:color w:val="auto"/>
                <w:kern w:val="2"/>
                <w:sz w:val="24"/>
                <w:szCs w:val="24"/>
                <w:lang w:val="en-US" w:eastAsia="zh-CN" w:bidi="ar-SA"/>
              </w:rPr>
              <w:t>；</w:t>
            </w:r>
          </w:p>
          <w:p w14:paraId="78FBBB97">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②建立健全环境管理和监测制度，保证各环保设施正常运转，同时强化风险防范意识，如遇环保设施不能正常运转，应立即停产检修；</w:t>
            </w:r>
          </w:p>
          <w:p w14:paraId="54F1289B">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③若发生危险废物泄漏等，必要时委托有资质的单位对厂址周边地下水、土壤等进行跟踪监测，掌握厂址周边污染变化趋势。</w:t>
            </w:r>
          </w:p>
          <w:p w14:paraId="7649BF1E">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④在今后的生产活动中，做好设备的维护、检修，杜绝跑、冒、滴、漏现象。同时，加强污染物产生主要环节的收集治理，加强厂区的安全防护、环境风险防范措施，以便及时发现事故隐患，及时采取有效的应对措施。</w:t>
            </w:r>
          </w:p>
          <w:p w14:paraId="6CB70C87">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⑤项目生产经营用地的用途变更或者在其土地使用权收回、转让前，应当由土地使用权人按照规定进行土壤污染状况调查。</w:t>
            </w:r>
          </w:p>
          <w:p w14:paraId="6D9AD6A3">
            <w:pPr>
              <w:pStyle w:val="4"/>
              <w:bidi w:val="0"/>
              <w:rPr>
                <w:rFonts w:ascii="Times New Roman" w:hAnsi="Times New Roman"/>
                <w:color w:val="auto"/>
                <w:lang w:val="en-US" w:eastAsia="zh-CN"/>
              </w:rPr>
            </w:pPr>
            <w:bookmarkStart w:id="102" w:name="_Toc9995"/>
            <w:r>
              <w:rPr>
                <w:rFonts w:ascii="Times New Roman" w:hAnsi="Times New Roman"/>
                <w:color w:val="auto"/>
                <w:lang w:val="en-US" w:eastAsia="zh-CN"/>
              </w:rPr>
              <w:t>4.</w:t>
            </w:r>
            <w:r>
              <w:rPr>
                <w:rFonts w:hint="eastAsia" w:ascii="Times New Roman" w:hAnsi="Times New Roman"/>
                <w:color w:val="auto"/>
                <w:lang w:val="en-US" w:eastAsia="zh-CN"/>
              </w:rPr>
              <w:t>5</w:t>
            </w:r>
            <w:r>
              <w:rPr>
                <w:rFonts w:ascii="Times New Roman" w:hAnsi="Times New Roman"/>
                <w:color w:val="auto"/>
                <w:lang w:val="en-US" w:eastAsia="zh-CN"/>
              </w:rPr>
              <w:t>.3跟踪监测要求</w:t>
            </w:r>
            <w:bookmarkEnd w:id="102"/>
          </w:p>
          <w:p w14:paraId="7487467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本项目选址于</w:t>
            </w:r>
            <w:r>
              <w:rPr>
                <w:rFonts w:hint="eastAsia" w:cs="宋体"/>
                <w:color w:val="auto"/>
                <w:kern w:val="2"/>
                <w:sz w:val="24"/>
                <w:szCs w:val="24"/>
                <w:lang w:val="en-US" w:eastAsia="zh-CN" w:bidi="ar-SA"/>
              </w:rPr>
              <w:t>福建省福州市闽侯县上街镇马保村后园32号2号楼1层</w:t>
            </w:r>
            <w:r>
              <w:rPr>
                <w:rFonts w:hint="eastAsia" w:ascii="Times New Roman" w:hAnsi="Times New Roman" w:eastAsia="宋体" w:cs="宋体"/>
                <w:color w:val="auto"/>
                <w:kern w:val="2"/>
                <w:sz w:val="24"/>
                <w:szCs w:val="24"/>
                <w:lang w:val="en-US" w:eastAsia="zh-CN" w:bidi="ar-SA"/>
              </w:rPr>
              <w:t>，项目周边地下水、土壤环境相对不敏感，采取有效的防渗措施后，项目对地下水、土壤环境影响很小，本评价不对项目地下水、土壤环境进行跟踪监测。</w:t>
            </w:r>
          </w:p>
          <w:p w14:paraId="77901317">
            <w:pPr>
              <w:keepNext/>
              <w:keepLines/>
              <w:widowControl w:val="0"/>
              <w:bidi w:val="0"/>
              <w:spacing w:beforeLines="0" w:beforeAutospacing="0" w:afterLines="0" w:afterAutospacing="0" w:line="360" w:lineRule="auto"/>
              <w:jc w:val="left"/>
              <w:textAlignment w:val="center"/>
              <w:outlineLvl w:val="1"/>
              <w:rPr>
                <w:rFonts w:hint="default" w:ascii="Times New Roman" w:hAnsi="Times New Roman" w:eastAsia="宋体" w:cs="Times New Roman"/>
                <w:b/>
                <w:color w:val="auto"/>
                <w:kern w:val="2"/>
                <w:sz w:val="28"/>
                <w:szCs w:val="24"/>
                <w:lang w:val="en-US" w:eastAsia="zh-CN" w:bidi="ar-SA"/>
              </w:rPr>
            </w:pPr>
            <w:bookmarkStart w:id="103" w:name="_Toc1289"/>
            <w:bookmarkStart w:id="104" w:name="_Toc2949"/>
            <w:bookmarkStart w:id="105" w:name="_Toc15005"/>
            <w:bookmarkStart w:id="106" w:name="_Toc18681"/>
            <w:r>
              <w:rPr>
                <w:rFonts w:hint="eastAsia" w:ascii="Times New Roman" w:hAnsi="Times New Roman" w:eastAsia="宋体" w:cs="Times New Roman"/>
                <w:b/>
                <w:color w:val="auto"/>
                <w:kern w:val="2"/>
                <w:sz w:val="28"/>
                <w:szCs w:val="24"/>
                <w:lang w:val="en-US" w:eastAsia="zh-CN" w:bidi="ar-SA"/>
              </w:rPr>
              <w:t>4.6运营期环境风险影响和保护措施</w:t>
            </w:r>
            <w:bookmarkEnd w:id="103"/>
            <w:bookmarkEnd w:id="104"/>
            <w:bookmarkEnd w:id="105"/>
            <w:bookmarkEnd w:id="106"/>
          </w:p>
          <w:p w14:paraId="49CDF1A1">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107" w:name="_Toc23362"/>
            <w:bookmarkStart w:id="108" w:name="_Toc32683"/>
            <w:r>
              <w:rPr>
                <w:rFonts w:hint="eastAsia" w:ascii="Times New Roman" w:hAnsi="Times New Roman" w:eastAsia="宋体" w:cs="Times New Roman"/>
                <w:b/>
                <w:color w:val="auto"/>
                <w:kern w:val="2"/>
                <w:sz w:val="24"/>
                <w:szCs w:val="24"/>
                <w:lang w:val="en-US" w:eastAsia="zh-CN" w:bidi="ar-SA"/>
              </w:rPr>
              <w:t>4.6.1风险调查</w:t>
            </w:r>
            <w:bookmarkEnd w:id="107"/>
            <w:bookmarkEnd w:id="108"/>
          </w:p>
          <w:p w14:paraId="35021C7A">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所使用的原辅材料包括乙醚、乙醇、丙酮等，根据《建设项目环境风险评价技术导则》（HJ169-2018）、《企业突发环境事件风险分级方法》（HJ941-2018）和《危险化学品目录》（2015版），原辅材料中乙醚、乙醇、丙酮</w:t>
            </w:r>
            <w:r>
              <w:rPr>
                <w:rFonts w:hint="eastAsia" w:cs="宋体"/>
                <w:color w:val="auto"/>
                <w:kern w:val="2"/>
                <w:sz w:val="24"/>
                <w:szCs w:val="24"/>
                <w:lang w:val="en-US" w:eastAsia="zh-CN" w:bidi="ar-SA"/>
              </w:rPr>
              <w:t>属于</w:t>
            </w:r>
            <w:r>
              <w:rPr>
                <w:rFonts w:hint="eastAsia" w:ascii="Times New Roman" w:hAnsi="Times New Roman" w:eastAsia="宋体" w:cs="宋体"/>
                <w:color w:val="auto"/>
                <w:kern w:val="2"/>
                <w:sz w:val="24"/>
                <w:szCs w:val="24"/>
                <w:lang w:val="en-US" w:eastAsia="zh-CN" w:bidi="ar-SA"/>
              </w:rPr>
              <w:t>风险物质。</w:t>
            </w:r>
          </w:p>
          <w:p w14:paraId="5F8DC53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zh-CN" w:eastAsia="zh-CN" w:bidi="ar-SA"/>
              </w:rPr>
              <w:t>根据</w:t>
            </w:r>
            <w:r>
              <w:rPr>
                <w:rFonts w:hint="default" w:ascii="Times New Roman" w:hAnsi="Times New Roman" w:eastAsia="宋体" w:cs="宋体"/>
                <w:color w:val="auto"/>
                <w:kern w:val="2"/>
                <w:sz w:val="24"/>
                <w:szCs w:val="24"/>
                <w:lang w:val="en-US" w:eastAsia="zh-CN" w:bidi="ar-SA"/>
              </w:rPr>
              <w:t>《建设项目环境风险评价技术导则》（HJ169-2018）附录C，计算所涉及的每种危险物质在厂界内的最大存在总量与其在《建设项目环境风险评价技术导则》（HJ169-2018）附录B中对应临界量的比值Q。在不同厂区的同一种物质，按其在厂界内的最大存在总量计算。当企业只涉及一种风险物质时，该物质的数量与其临界量的比值，即为Q。当企业存在多种化学物质时，则按下式计算物质总量与其临界量比值（Q）：</w:t>
            </w:r>
          </w:p>
          <w:p w14:paraId="76A5FB2C">
            <w:pPr>
              <w:widowControl w:val="0"/>
              <w:bidi w:val="0"/>
              <w:spacing w:line="360" w:lineRule="auto"/>
              <w:jc w:val="center"/>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drawing>
                <wp:inline distT="0" distB="0" distL="114300" distR="114300">
                  <wp:extent cx="1903730" cy="464185"/>
                  <wp:effectExtent l="0" t="0" r="1270" b="12065"/>
                  <wp:docPr id="264" name="图片 17" descr="C:\Users\admin\AppData\Roaming\Tencent\Users\506048567\QQ\WinTemp\RichOle\`_O{@QX45~6E2EU4~BK~(Z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17" descr="C:\Users\admin\AppData\Roaming\Tencent\Users\506048567\QQ\WinTemp\RichOle\`_O{@QX45~6E2EU4~BK~(ZR.png"/>
                          <pic:cNvPicPr>
                            <a:picLocks noChangeAspect="1"/>
                          </pic:cNvPicPr>
                        </pic:nvPicPr>
                        <pic:blipFill>
                          <a:blip r:embed="rId26"/>
                          <a:stretch>
                            <a:fillRect/>
                          </a:stretch>
                        </pic:blipFill>
                        <pic:spPr>
                          <a:xfrm>
                            <a:off x="0" y="0"/>
                            <a:ext cx="1903730" cy="464185"/>
                          </a:xfrm>
                          <a:prstGeom prst="rect">
                            <a:avLst/>
                          </a:prstGeom>
                          <a:noFill/>
                          <a:ln>
                            <a:noFill/>
                          </a:ln>
                        </pic:spPr>
                      </pic:pic>
                    </a:graphicData>
                  </a:graphic>
                </wp:inline>
              </w:drawing>
            </w:r>
          </w:p>
          <w:p w14:paraId="4975EB6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式中：q</w:t>
            </w:r>
            <w:r>
              <w:rPr>
                <w:rFonts w:hint="default" w:ascii="Times New Roman" w:hAnsi="Times New Roman" w:eastAsia="宋体" w:cs="宋体"/>
                <w:color w:val="auto"/>
                <w:kern w:val="2"/>
                <w:sz w:val="24"/>
                <w:szCs w:val="24"/>
                <w:vertAlign w:val="subscript"/>
                <w:lang w:val="en-US" w:eastAsia="zh-CN" w:bidi="ar-SA"/>
              </w:rPr>
              <w:t>1</w:t>
            </w:r>
            <w:r>
              <w:rPr>
                <w:rFonts w:hint="default" w:ascii="Times New Roman" w:hAnsi="Times New Roman" w:eastAsia="宋体" w:cs="宋体"/>
                <w:color w:val="auto"/>
                <w:kern w:val="2"/>
                <w:sz w:val="24"/>
                <w:szCs w:val="24"/>
                <w:lang w:val="en-US" w:eastAsia="zh-CN" w:bidi="ar-SA"/>
              </w:rPr>
              <w:t>，q</w:t>
            </w:r>
            <w:r>
              <w:rPr>
                <w:rFonts w:hint="default" w:ascii="Times New Roman" w:hAnsi="Times New Roman" w:eastAsia="宋体" w:cs="宋体"/>
                <w:color w:val="auto"/>
                <w:kern w:val="2"/>
                <w:sz w:val="24"/>
                <w:szCs w:val="24"/>
                <w:vertAlign w:val="subscript"/>
                <w:lang w:val="en-US" w:eastAsia="zh-CN" w:bidi="ar-SA"/>
              </w:rPr>
              <w:t>2</w:t>
            </w:r>
            <w:r>
              <w:rPr>
                <w:rFonts w:hint="eastAsia" w:cs="宋体"/>
                <w:color w:val="auto"/>
                <w:kern w:val="2"/>
                <w:sz w:val="24"/>
                <w:szCs w:val="24"/>
                <w:vertAlign w:val="subscript"/>
                <w:lang w:val="en-US" w:eastAsia="zh-CN" w:bidi="ar-SA"/>
              </w:rPr>
              <w:t>，</w:t>
            </w:r>
            <w:r>
              <w:rPr>
                <w:rFonts w:hint="default" w:ascii="Times New Roman" w:hAnsi="Times New Roman" w:eastAsia="宋体" w:cs="宋体"/>
                <w:color w:val="auto"/>
                <w:kern w:val="2"/>
                <w:sz w:val="24"/>
                <w:szCs w:val="24"/>
                <w:lang w:val="en-US" w:eastAsia="zh-CN" w:bidi="ar-SA"/>
              </w:rPr>
              <w:t>q</w:t>
            </w:r>
            <w:r>
              <w:rPr>
                <w:rFonts w:hint="default" w:ascii="Times New Roman" w:hAnsi="Times New Roman" w:eastAsia="宋体" w:cs="宋体"/>
                <w:color w:val="auto"/>
                <w:kern w:val="2"/>
                <w:sz w:val="24"/>
                <w:szCs w:val="24"/>
                <w:vertAlign w:val="subscript"/>
                <w:lang w:val="en-US" w:eastAsia="zh-CN" w:bidi="ar-SA"/>
              </w:rPr>
              <w:t>n</w:t>
            </w:r>
            <w:r>
              <w:rPr>
                <w:rFonts w:hint="default" w:ascii="Times New Roman" w:hAnsi="Times New Roman" w:eastAsia="宋体" w:cs="宋体"/>
                <w:color w:val="auto"/>
                <w:kern w:val="2"/>
                <w:sz w:val="24"/>
                <w:szCs w:val="24"/>
                <w:lang w:val="en-US" w:eastAsia="zh-CN" w:bidi="ar-SA"/>
              </w:rPr>
              <w:t>——每种风险物质的存在量，t；</w:t>
            </w:r>
          </w:p>
          <w:p w14:paraId="24F43FE7">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Q</w:t>
            </w:r>
            <w:r>
              <w:rPr>
                <w:rFonts w:hint="default" w:ascii="Times New Roman" w:hAnsi="Times New Roman" w:eastAsia="宋体" w:cs="宋体"/>
                <w:color w:val="auto"/>
                <w:kern w:val="2"/>
                <w:sz w:val="24"/>
                <w:szCs w:val="24"/>
                <w:vertAlign w:val="subscript"/>
                <w:lang w:val="en-US" w:eastAsia="zh-CN" w:bidi="ar-SA"/>
              </w:rPr>
              <w:t>1</w:t>
            </w:r>
            <w:r>
              <w:rPr>
                <w:rFonts w:hint="default" w:ascii="Times New Roman" w:hAnsi="Times New Roman" w:eastAsia="宋体" w:cs="宋体"/>
                <w:color w:val="auto"/>
                <w:kern w:val="2"/>
                <w:sz w:val="24"/>
                <w:szCs w:val="24"/>
                <w:lang w:val="en-US" w:eastAsia="zh-CN" w:bidi="ar-SA"/>
              </w:rPr>
              <w:t>，Q</w:t>
            </w:r>
            <w:r>
              <w:rPr>
                <w:rFonts w:hint="default" w:ascii="Times New Roman" w:hAnsi="Times New Roman" w:eastAsia="宋体" w:cs="宋体"/>
                <w:color w:val="auto"/>
                <w:kern w:val="2"/>
                <w:sz w:val="24"/>
                <w:szCs w:val="24"/>
                <w:vertAlign w:val="subscript"/>
                <w:lang w:val="en-US" w:eastAsia="zh-CN" w:bidi="ar-SA"/>
              </w:rPr>
              <w:t>2</w:t>
            </w:r>
            <w:r>
              <w:rPr>
                <w:rFonts w:hint="eastAsia" w:cs="宋体"/>
                <w:color w:val="auto"/>
                <w:kern w:val="2"/>
                <w:sz w:val="24"/>
                <w:szCs w:val="24"/>
                <w:vertAlign w:val="subscript"/>
                <w:lang w:val="en-US" w:eastAsia="zh-CN" w:bidi="ar-SA"/>
              </w:rPr>
              <w:t>，</w:t>
            </w:r>
            <w:r>
              <w:rPr>
                <w:rFonts w:hint="default" w:ascii="Times New Roman" w:hAnsi="Times New Roman" w:eastAsia="宋体" w:cs="宋体"/>
                <w:color w:val="auto"/>
                <w:kern w:val="2"/>
                <w:sz w:val="24"/>
                <w:szCs w:val="24"/>
                <w:lang w:val="en-US" w:eastAsia="zh-CN" w:bidi="ar-SA"/>
              </w:rPr>
              <w:t>Q</w:t>
            </w:r>
            <w:r>
              <w:rPr>
                <w:rFonts w:hint="default" w:ascii="Times New Roman" w:hAnsi="Times New Roman" w:eastAsia="宋体" w:cs="宋体"/>
                <w:color w:val="auto"/>
                <w:kern w:val="2"/>
                <w:sz w:val="24"/>
                <w:szCs w:val="24"/>
                <w:vertAlign w:val="subscript"/>
                <w:lang w:val="en-US" w:eastAsia="zh-CN" w:bidi="ar-SA"/>
              </w:rPr>
              <w:t>n</w:t>
            </w:r>
            <w:r>
              <w:rPr>
                <w:rFonts w:hint="default" w:ascii="Times New Roman" w:hAnsi="Times New Roman" w:eastAsia="宋体" w:cs="宋体"/>
                <w:color w:val="auto"/>
                <w:kern w:val="2"/>
                <w:sz w:val="24"/>
                <w:szCs w:val="24"/>
                <w:lang w:val="en-US" w:eastAsia="zh-CN" w:bidi="ar-SA"/>
              </w:rPr>
              <w:t>——每种风险物质的临界量，t。</w:t>
            </w:r>
          </w:p>
          <w:p w14:paraId="146A588C">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当Q＜1时，该项目环境风险潜势为</w:t>
            </w:r>
            <w:r>
              <w:rPr>
                <w:rFonts w:hint="default" w:ascii="Times New Roman" w:hAnsi="Times New Roman" w:eastAsia="宋体" w:cs="宋体"/>
                <w:color w:val="auto"/>
                <w:kern w:val="2"/>
                <w:sz w:val="24"/>
                <w:szCs w:val="24"/>
                <w:lang w:val="en-US" w:eastAsia="zh-CN" w:bidi="ar-SA"/>
              </w:rPr>
              <w:fldChar w:fldCharType="begin"/>
            </w:r>
            <w:r>
              <w:rPr>
                <w:rFonts w:hint="default" w:ascii="Times New Roman" w:hAnsi="Times New Roman" w:eastAsia="宋体" w:cs="宋体"/>
                <w:color w:val="auto"/>
                <w:kern w:val="2"/>
                <w:sz w:val="24"/>
                <w:szCs w:val="24"/>
                <w:lang w:val="en-US" w:eastAsia="zh-CN" w:bidi="ar-SA"/>
              </w:rPr>
              <w:instrText xml:space="preserve"> = 1 \* ROMAN </w:instrText>
            </w:r>
            <w:r>
              <w:rPr>
                <w:rFonts w:hint="default" w:ascii="Times New Roman" w:hAnsi="Times New Roman" w:eastAsia="宋体" w:cs="宋体"/>
                <w:color w:val="auto"/>
                <w:kern w:val="2"/>
                <w:sz w:val="24"/>
                <w:szCs w:val="24"/>
                <w:lang w:val="en-US" w:eastAsia="zh-CN" w:bidi="ar-SA"/>
              </w:rPr>
              <w:fldChar w:fldCharType="separate"/>
            </w:r>
            <w:r>
              <w:rPr>
                <w:rFonts w:hint="default" w:ascii="Times New Roman" w:hAnsi="Times New Roman" w:eastAsia="宋体" w:cs="宋体"/>
                <w:color w:val="auto"/>
                <w:kern w:val="2"/>
                <w:sz w:val="24"/>
                <w:szCs w:val="24"/>
                <w:lang w:val="en-US" w:eastAsia="zh-CN" w:bidi="ar-SA"/>
              </w:rPr>
              <w:t>I</w:t>
            </w:r>
            <w:r>
              <w:rPr>
                <w:rFonts w:hint="default" w:ascii="Times New Roman" w:hAnsi="Times New Roman" w:eastAsia="宋体" w:cs="宋体"/>
                <w:color w:val="auto"/>
                <w:kern w:val="2"/>
                <w:sz w:val="24"/>
                <w:szCs w:val="24"/>
                <w:lang w:val="en-US" w:eastAsia="zh-CN" w:bidi="ar-SA"/>
              </w:rPr>
              <w:fldChar w:fldCharType="end"/>
            </w:r>
            <w:r>
              <w:rPr>
                <w:rFonts w:hint="default" w:ascii="Times New Roman" w:hAnsi="Times New Roman" w:eastAsia="宋体" w:cs="宋体"/>
                <w:color w:val="auto"/>
                <w:kern w:val="2"/>
                <w:sz w:val="24"/>
                <w:szCs w:val="24"/>
                <w:lang w:val="en-US" w:eastAsia="zh-CN" w:bidi="ar-SA"/>
              </w:rPr>
              <w:t>。</w:t>
            </w:r>
          </w:p>
          <w:p w14:paraId="32400AB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当Q≥1时，将Q值划分为：（1）1≤Q＜10；（2）10≤Q＜100；（3）Q≥100。</w:t>
            </w:r>
          </w:p>
          <w:p w14:paraId="69FF098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zh-CN" w:eastAsia="zh-CN" w:bidi="ar-SA"/>
              </w:rPr>
              <w:t>本项目涉及的危险物质情况及临界量比值详见表</w:t>
            </w:r>
            <w:r>
              <w:rPr>
                <w:rFonts w:hint="default" w:ascii="Times New Roman" w:hAnsi="Times New Roman" w:eastAsia="宋体" w:cs="宋体"/>
                <w:color w:val="auto"/>
                <w:kern w:val="2"/>
                <w:sz w:val="24"/>
                <w:szCs w:val="24"/>
                <w:lang w:val="en-US" w:eastAsia="zh-CN" w:bidi="ar-SA"/>
              </w:rPr>
              <w:t>4.</w:t>
            </w:r>
            <w:r>
              <w:rPr>
                <w:rFonts w:hint="eastAsia" w:ascii="Times New Roman" w:hAnsi="Times New Roman" w:eastAsia="宋体" w:cs="宋体"/>
                <w:color w:val="auto"/>
                <w:kern w:val="2"/>
                <w:sz w:val="24"/>
                <w:szCs w:val="24"/>
                <w:lang w:val="en-US" w:eastAsia="zh-CN" w:bidi="ar-SA"/>
              </w:rPr>
              <w:t>6</w:t>
            </w:r>
            <w:r>
              <w:rPr>
                <w:rFonts w:hint="default" w:ascii="Times New Roman" w:hAnsi="Times New Roman" w:eastAsia="宋体" w:cs="宋体"/>
                <w:color w:val="auto"/>
                <w:kern w:val="2"/>
                <w:sz w:val="24"/>
                <w:szCs w:val="24"/>
                <w:lang w:val="en-US" w:eastAsia="zh-CN" w:bidi="ar-SA"/>
              </w:rPr>
              <w:t>-</w:t>
            </w:r>
            <w:r>
              <w:rPr>
                <w:rFonts w:hint="eastAsia" w:cs="宋体"/>
                <w:color w:val="auto"/>
                <w:kern w:val="2"/>
                <w:sz w:val="24"/>
                <w:szCs w:val="24"/>
                <w:lang w:val="en-US" w:eastAsia="zh-CN" w:bidi="ar-SA"/>
              </w:rPr>
              <w:t>1</w:t>
            </w:r>
            <w:r>
              <w:rPr>
                <w:rFonts w:hint="default" w:ascii="Times New Roman" w:hAnsi="Times New Roman" w:eastAsia="宋体" w:cs="宋体"/>
                <w:color w:val="auto"/>
                <w:kern w:val="2"/>
                <w:sz w:val="24"/>
                <w:szCs w:val="24"/>
                <w:lang w:val="zh-CN" w:eastAsia="zh-CN" w:bidi="ar-SA"/>
              </w:rPr>
              <w:t>。</w:t>
            </w:r>
          </w:p>
          <w:p w14:paraId="0C1DBFE3">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vertAlign w:val="baseline"/>
                <w:lang w:val="en-US" w:eastAsia="zh-CN" w:bidi="ar-SA"/>
              </w:rPr>
            </w:pPr>
            <w:r>
              <w:rPr>
                <w:rFonts w:hint="eastAsia" w:ascii="Times New Roman" w:hAnsi="Times New Roman" w:eastAsia="宋体" w:cs="Times New Roman"/>
                <w:b/>
                <w:color w:val="auto"/>
                <w:kern w:val="0"/>
                <w:sz w:val="24"/>
                <w:szCs w:val="20"/>
                <w:lang w:val="en-US" w:eastAsia="zh-CN" w:bidi="ar-SA"/>
              </w:rPr>
              <w:t>表4.6-1</w:t>
            </w:r>
            <w:r>
              <w:rPr>
                <w:rFonts w:hint="eastAsia" w:cs="Times New Roman"/>
                <w:b/>
                <w:color w:val="auto"/>
                <w:kern w:val="0"/>
                <w:sz w:val="24"/>
                <w:szCs w:val="20"/>
                <w:lang w:val="en-US" w:eastAsia="zh-CN" w:bidi="ar-SA"/>
              </w:rPr>
              <w:t xml:space="preserve">  项目全厂</w:t>
            </w:r>
            <w:r>
              <w:rPr>
                <w:rFonts w:hint="eastAsia" w:ascii="Times New Roman" w:hAnsi="Times New Roman" w:eastAsia="宋体" w:cs="Times New Roman"/>
                <w:b/>
                <w:color w:val="auto"/>
                <w:kern w:val="0"/>
                <w:sz w:val="24"/>
                <w:szCs w:val="20"/>
                <w:lang w:val="en-US" w:eastAsia="zh-CN" w:bidi="ar-SA"/>
              </w:rPr>
              <w:t>危险物质储存情况及临界量比值</w:t>
            </w:r>
          </w:p>
          <w:tbl>
            <w:tblPr>
              <w:tblStyle w:val="20"/>
              <w:tblW w:w="4996"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564"/>
              <w:gridCol w:w="1143"/>
              <w:gridCol w:w="1143"/>
              <w:gridCol w:w="1143"/>
              <w:gridCol w:w="1156"/>
              <w:gridCol w:w="1144"/>
            </w:tblGrid>
            <w:tr w14:paraId="791103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0904F35B">
                  <w:pPr>
                    <w:pStyle w:val="30"/>
                    <w:bidi w:val="0"/>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序号</w:t>
                  </w:r>
                </w:p>
              </w:tc>
              <w:tc>
                <w:tcPr>
                  <w:tcW w:w="976" w:type="pct"/>
                  <w:tcBorders>
                    <w:tl2br w:val="nil"/>
                    <w:tr2bl w:val="nil"/>
                  </w:tcBorders>
                  <w:noWrap w:val="0"/>
                  <w:vAlign w:val="center"/>
                </w:tcPr>
                <w:p w14:paraId="00C8EEF0">
                  <w:pPr>
                    <w:pStyle w:val="30"/>
                    <w:bidi w:val="0"/>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风险物质</w:t>
                  </w:r>
                </w:p>
              </w:tc>
              <w:tc>
                <w:tcPr>
                  <w:tcW w:w="713" w:type="pct"/>
                  <w:tcBorders>
                    <w:tl2br w:val="nil"/>
                    <w:tr2bl w:val="nil"/>
                  </w:tcBorders>
                  <w:noWrap w:val="0"/>
                  <w:vAlign w:val="center"/>
                </w:tcPr>
                <w:p w14:paraId="5E9CA87E">
                  <w:pPr>
                    <w:pStyle w:val="30"/>
                    <w:bidi w:val="0"/>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CAS号</w:t>
                  </w:r>
                </w:p>
              </w:tc>
              <w:tc>
                <w:tcPr>
                  <w:tcW w:w="713" w:type="pct"/>
                  <w:tcBorders>
                    <w:tl2br w:val="nil"/>
                    <w:tr2bl w:val="nil"/>
                  </w:tcBorders>
                  <w:noWrap w:val="0"/>
                  <w:vAlign w:val="center"/>
                </w:tcPr>
                <w:p w14:paraId="1647D1B7">
                  <w:pPr>
                    <w:pStyle w:val="30"/>
                    <w:bidi w:val="0"/>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最大贮存量/最大在线量（折算浓度）</w:t>
                  </w:r>
                </w:p>
              </w:tc>
              <w:tc>
                <w:tcPr>
                  <w:tcW w:w="713" w:type="pct"/>
                  <w:tcBorders>
                    <w:tl2br w:val="nil"/>
                    <w:tr2bl w:val="nil"/>
                  </w:tcBorders>
                  <w:noWrap w:val="0"/>
                  <w:vAlign w:val="center"/>
                </w:tcPr>
                <w:p w14:paraId="6C23C7AE">
                  <w:pPr>
                    <w:pStyle w:val="30"/>
                    <w:bidi w:val="0"/>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贮存位置</w:t>
                  </w:r>
                </w:p>
              </w:tc>
              <w:tc>
                <w:tcPr>
                  <w:tcW w:w="717" w:type="pct"/>
                  <w:tcBorders>
                    <w:tl2br w:val="nil"/>
                    <w:tr2bl w:val="nil"/>
                  </w:tcBorders>
                  <w:noWrap w:val="0"/>
                  <w:vAlign w:val="center"/>
                </w:tcPr>
                <w:p w14:paraId="54C6B340">
                  <w:pPr>
                    <w:pStyle w:val="30"/>
                    <w:bidi w:val="0"/>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临界量</w:t>
                  </w:r>
                </w:p>
              </w:tc>
              <w:tc>
                <w:tcPr>
                  <w:tcW w:w="714" w:type="pct"/>
                  <w:tcBorders>
                    <w:tl2br w:val="nil"/>
                    <w:tr2bl w:val="nil"/>
                  </w:tcBorders>
                  <w:noWrap w:val="0"/>
                  <w:vAlign w:val="center"/>
                </w:tcPr>
                <w:p w14:paraId="1E99419A">
                  <w:pPr>
                    <w:pStyle w:val="30"/>
                    <w:bidi w:val="0"/>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临界量比值</w:t>
                  </w:r>
                </w:p>
              </w:tc>
            </w:tr>
            <w:tr w14:paraId="1FAC15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45A40489">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p>
              </w:tc>
              <w:tc>
                <w:tcPr>
                  <w:tcW w:w="976" w:type="pct"/>
                  <w:tcBorders>
                    <w:tl2br w:val="nil"/>
                    <w:tr2bl w:val="nil"/>
                  </w:tcBorders>
                  <w:noWrap w:val="0"/>
                  <w:vAlign w:val="center"/>
                </w:tcPr>
                <w:p w14:paraId="08E101E3">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乙醚</w:t>
                  </w:r>
                </w:p>
              </w:tc>
              <w:tc>
                <w:tcPr>
                  <w:tcW w:w="713" w:type="pct"/>
                  <w:tcBorders>
                    <w:tl2br w:val="nil"/>
                    <w:tr2bl w:val="nil"/>
                  </w:tcBorders>
                  <w:noWrap w:val="0"/>
                  <w:vAlign w:val="center"/>
                </w:tcPr>
                <w:p w14:paraId="5EE9C2CB">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60-29-7</w:t>
                  </w:r>
                </w:p>
              </w:tc>
              <w:tc>
                <w:tcPr>
                  <w:tcW w:w="713" w:type="pct"/>
                  <w:tcBorders>
                    <w:tl2br w:val="nil"/>
                    <w:tr2bl w:val="nil"/>
                  </w:tcBorders>
                  <w:noWrap w:val="0"/>
                  <w:vAlign w:val="center"/>
                </w:tcPr>
                <w:p w14:paraId="108BCE76">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r>
                    <w:rPr>
                      <w:rFonts w:hint="eastAsia"/>
                      <w:color w:val="auto"/>
                      <w:sz w:val="21"/>
                      <w:szCs w:val="21"/>
                      <w:lang w:val="en-US" w:eastAsia="zh-CN"/>
                    </w:rPr>
                    <w:t>14</w:t>
                  </w:r>
                  <w:r>
                    <w:rPr>
                      <w:rFonts w:hint="eastAsia" w:ascii="Times New Roman" w:hAnsi="Times New Roman" w:eastAsia="宋体"/>
                      <w:color w:val="auto"/>
                      <w:sz w:val="21"/>
                      <w:szCs w:val="21"/>
                      <w:lang w:val="en-US" w:eastAsia="zh-CN"/>
                    </w:rPr>
                    <w:t>t</w:t>
                  </w:r>
                </w:p>
              </w:tc>
              <w:tc>
                <w:tcPr>
                  <w:tcW w:w="713" w:type="pct"/>
                  <w:tcBorders>
                    <w:tl2br w:val="nil"/>
                    <w:tr2bl w:val="nil"/>
                  </w:tcBorders>
                  <w:noWrap w:val="0"/>
                  <w:vAlign w:val="center"/>
                </w:tcPr>
                <w:p w14:paraId="4EE3599F">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危险化学品仓库</w:t>
                  </w:r>
                </w:p>
              </w:tc>
              <w:tc>
                <w:tcPr>
                  <w:tcW w:w="717" w:type="pct"/>
                  <w:tcBorders>
                    <w:tl2br w:val="nil"/>
                    <w:tr2bl w:val="nil"/>
                  </w:tcBorders>
                  <w:noWrap w:val="0"/>
                  <w:vAlign w:val="center"/>
                </w:tcPr>
                <w:p w14:paraId="029FB998">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10t</w:t>
                  </w:r>
                </w:p>
              </w:tc>
              <w:tc>
                <w:tcPr>
                  <w:tcW w:w="714" w:type="pct"/>
                  <w:tcBorders>
                    <w:tl2br w:val="nil"/>
                    <w:tr2bl w:val="nil"/>
                  </w:tcBorders>
                  <w:noWrap w:val="0"/>
                  <w:vAlign w:val="center"/>
                </w:tcPr>
                <w:p w14:paraId="370DA21D">
                  <w:pPr>
                    <w:pStyle w:val="30"/>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0.014</w:t>
                  </w:r>
                </w:p>
              </w:tc>
            </w:tr>
            <w:tr w14:paraId="2CAB23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711CB88C">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w:t>
                  </w:r>
                </w:p>
              </w:tc>
              <w:tc>
                <w:tcPr>
                  <w:tcW w:w="976" w:type="pct"/>
                  <w:tcBorders>
                    <w:tl2br w:val="nil"/>
                    <w:tr2bl w:val="nil"/>
                  </w:tcBorders>
                  <w:noWrap w:val="0"/>
                  <w:vAlign w:val="center"/>
                </w:tcPr>
                <w:p w14:paraId="749411AD">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无水乙醇</w:t>
                  </w:r>
                </w:p>
              </w:tc>
              <w:tc>
                <w:tcPr>
                  <w:tcW w:w="713" w:type="pct"/>
                  <w:tcBorders>
                    <w:tl2br w:val="nil"/>
                    <w:tr2bl w:val="nil"/>
                  </w:tcBorders>
                  <w:noWrap w:val="0"/>
                  <w:vAlign w:val="center"/>
                </w:tcPr>
                <w:p w14:paraId="1DEBF0A5">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64-17-5</w:t>
                  </w:r>
                </w:p>
              </w:tc>
              <w:tc>
                <w:tcPr>
                  <w:tcW w:w="713" w:type="pct"/>
                  <w:tcBorders>
                    <w:tl2br w:val="nil"/>
                    <w:tr2bl w:val="nil"/>
                  </w:tcBorders>
                  <w:noWrap w:val="0"/>
                  <w:vAlign w:val="center"/>
                </w:tcPr>
                <w:p w14:paraId="1AD68D91">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r>
                    <w:rPr>
                      <w:rFonts w:hint="eastAsia"/>
                      <w:color w:val="auto"/>
                      <w:sz w:val="21"/>
                      <w:szCs w:val="21"/>
                      <w:lang w:val="en-US" w:eastAsia="zh-CN"/>
                    </w:rPr>
                    <w:t>2</w:t>
                  </w:r>
                  <w:r>
                    <w:rPr>
                      <w:rFonts w:hint="eastAsia" w:ascii="Times New Roman" w:hAnsi="Times New Roman" w:eastAsia="宋体"/>
                      <w:color w:val="auto"/>
                      <w:sz w:val="21"/>
                      <w:szCs w:val="21"/>
                      <w:lang w:val="en-US" w:eastAsia="zh-CN"/>
                    </w:rPr>
                    <w:t>t</w:t>
                  </w:r>
                </w:p>
              </w:tc>
              <w:tc>
                <w:tcPr>
                  <w:tcW w:w="713" w:type="pct"/>
                  <w:tcBorders>
                    <w:tl2br w:val="nil"/>
                    <w:tr2bl w:val="nil"/>
                  </w:tcBorders>
                  <w:noWrap w:val="0"/>
                  <w:vAlign w:val="center"/>
                </w:tcPr>
                <w:p w14:paraId="36ED216E">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危险化学品仓库</w:t>
                  </w:r>
                </w:p>
              </w:tc>
              <w:tc>
                <w:tcPr>
                  <w:tcW w:w="717" w:type="pct"/>
                  <w:tcBorders>
                    <w:tl2br w:val="nil"/>
                    <w:tr2bl w:val="nil"/>
                  </w:tcBorders>
                  <w:noWrap w:val="0"/>
                  <w:vAlign w:val="center"/>
                </w:tcPr>
                <w:p w14:paraId="741630BD">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500t</w:t>
                  </w:r>
                </w:p>
              </w:tc>
              <w:tc>
                <w:tcPr>
                  <w:tcW w:w="714" w:type="pct"/>
                  <w:tcBorders>
                    <w:tl2br w:val="nil"/>
                    <w:tr2bl w:val="nil"/>
                  </w:tcBorders>
                  <w:noWrap w:val="0"/>
                  <w:vAlign w:val="center"/>
                </w:tcPr>
                <w:p w14:paraId="07CBC1BE">
                  <w:pPr>
                    <w:pStyle w:val="30"/>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0.0004</w:t>
                  </w:r>
                </w:p>
              </w:tc>
            </w:tr>
            <w:tr w14:paraId="76F0E0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7B184E16">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w:t>
                  </w:r>
                </w:p>
              </w:tc>
              <w:tc>
                <w:tcPr>
                  <w:tcW w:w="976" w:type="pct"/>
                  <w:tcBorders>
                    <w:tl2br w:val="nil"/>
                    <w:tr2bl w:val="nil"/>
                  </w:tcBorders>
                  <w:noWrap w:val="0"/>
                  <w:vAlign w:val="center"/>
                </w:tcPr>
                <w:p w14:paraId="79097619">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丙酮</w:t>
                  </w:r>
                </w:p>
              </w:tc>
              <w:tc>
                <w:tcPr>
                  <w:tcW w:w="713" w:type="pct"/>
                  <w:tcBorders>
                    <w:tl2br w:val="nil"/>
                    <w:tr2bl w:val="nil"/>
                  </w:tcBorders>
                  <w:noWrap w:val="0"/>
                  <w:vAlign w:val="center"/>
                </w:tcPr>
                <w:p w14:paraId="7AE2F6E1">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67-64-1</w:t>
                  </w:r>
                </w:p>
              </w:tc>
              <w:tc>
                <w:tcPr>
                  <w:tcW w:w="713" w:type="pct"/>
                  <w:tcBorders>
                    <w:tl2br w:val="nil"/>
                    <w:tr2bl w:val="nil"/>
                  </w:tcBorders>
                  <w:noWrap w:val="0"/>
                  <w:vAlign w:val="center"/>
                </w:tcPr>
                <w:p w14:paraId="2C7231AA">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r>
                    <w:rPr>
                      <w:rFonts w:hint="eastAsia"/>
                      <w:color w:val="auto"/>
                      <w:sz w:val="21"/>
                      <w:szCs w:val="21"/>
                      <w:lang w:val="en-US" w:eastAsia="zh-CN"/>
                    </w:rPr>
                    <w:t>14</w:t>
                  </w:r>
                  <w:r>
                    <w:rPr>
                      <w:rFonts w:hint="eastAsia" w:ascii="Times New Roman" w:hAnsi="Times New Roman" w:eastAsia="宋体"/>
                      <w:color w:val="auto"/>
                      <w:sz w:val="21"/>
                      <w:szCs w:val="21"/>
                      <w:lang w:val="en-US" w:eastAsia="zh-CN"/>
                    </w:rPr>
                    <w:t>t</w:t>
                  </w:r>
                </w:p>
              </w:tc>
              <w:tc>
                <w:tcPr>
                  <w:tcW w:w="713" w:type="pct"/>
                  <w:tcBorders>
                    <w:tl2br w:val="nil"/>
                    <w:tr2bl w:val="nil"/>
                  </w:tcBorders>
                  <w:noWrap w:val="0"/>
                  <w:vAlign w:val="center"/>
                </w:tcPr>
                <w:p w14:paraId="40A9CA38">
                  <w:pPr>
                    <w:pStyle w:val="30"/>
                    <w:bidi w:val="0"/>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危险化学品仓库</w:t>
                  </w:r>
                </w:p>
              </w:tc>
              <w:tc>
                <w:tcPr>
                  <w:tcW w:w="717" w:type="pct"/>
                  <w:tcBorders>
                    <w:tl2br w:val="nil"/>
                    <w:tr2bl w:val="nil"/>
                  </w:tcBorders>
                  <w:noWrap w:val="0"/>
                  <w:vAlign w:val="center"/>
                </w:tcPr>
                <w:p w14:paraId="04A5710B">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10t</w:t>
                  </w:r>
                </w:p>
              </w:tc>
              <w:tc>
                <w:tcPr>
                  <w:tcW w:w="714" w:type="pct"/>
                  <w:tcBorders>
                    <w:tl2br w:val="nil"/>
                    <w:tr2bl w:val="nil"/>
                  </w:tcBorders>
                  <w:noWrap w:val="0"/>
                  <w:vAlign w:val="center"/>
                </w:tcPr>
                <w:p w14:paraId="42B154F5">
                  <w:pPr>
                    <w:pStyle w:val="30"/>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0.014</w:t>
                  </w:r>
                </w:p>
              </w:tc>
            </w:tr>
            <w:tr w14:paraId="58445A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277E9E58">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w:t>
                  </w:r>
                </w:p>
              </w:tc>
              <w:tc>
                <w:tcPr>
                  <w:tcW w:w="976" w:type="pct"/>
                  <w:tcBorders>
                    <w:tl2br w:val="nil"/>
                    <w:tr2bl w:val="nil"/>
                  </w:tcBorders>
                  <w:noWrap w:val="0"/>
                  <w:vAlign w:val="center"/>
                </w:tcPr>
                <w:p w14:paraId="17C114DB">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切削液</w:t>
                  </w:r>
                </w:p>
              </w:tc>
              <w:tc>
                <w:tcPr>
                  <w:tcW w:w="713" w:type="pct"/>
                  <w:tcBorders>
                    <w:tl2br w:val="nil"/>
                    <w:tr2bl w:val="nil"/>
                  </w:tcBorders>
                  <w:noWrap w:val="0"/>
                  <w:vAlign w:val="center"/>
                </w:tcPr>
                <w:p w14:paraId="4503954E">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w:t>
                  </w:r>
                </w:p>
              </w:tc>
              <w:tc>
                <w:tcPr>
                  <w:tcW w:w="713" w:type="pct"/>
                  <w:tcBorders>
                    <w:tl2br w:val="nil"/>
                    <w:tr2bl w:val="nil"/>
                  </w:tcBorders>
                  <w:noWrap w:val="0"/>
                  <w:vAlign w:val="center"/>
                </w:tcPr>
                <w:p w14:paraId="445AF214">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r>
                    <w:rPr>
                      <w:rFonts w:hint="eastAsia"/>
                      <w:color w:val="auto"/>
                      <w:sz w:val="21"/>
                      <w:szCs w:val="21"/>
                      <w:lang w:val="en-US" w:eastAsia="zh-CN"/>
                    </w:rPr>
                    <w:t>1</w:t>
                  </w:r>
                  <w:r>
                    <w:rPr>
                      <w:rFonts w:hint="eastAsia" w:ascii="Times New Roman" w:hAnsi="Times New Roman" w:eastAsia="宋体"/>
                      <w:color w:val="auto"/>
                      <w:sz w:val="21"/>
                      <w:szCs w:val="21"/>
                      <w:lang w:val="en-US" w:eastAsia="zh-CN"/>
                    </w:rPr>
                    <w:t>t</w:t>
                  </w:r>
                </w:p>
              </w:tc>
              <w:tc>
                <w:tcPr>
                  <w:tcW w:w="713" w:type="pct"/>
                  <w:tcBorders>
                    <w:tl2br w:val="nil"/>
                    <w:tr2bl w:val="nil"/>
                  </w:tcBorders>
                  <w:noWrap w:val="0"/>
                  <w:vAlign w:val="center"/>
                </w:tcPr>
                <w:p w14:paraId="33B2F841">
                  <w:pPr>
                    <w:pStyle w:val="30"/>
                    <w:bidi w:val="0"/>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危险化学品仓库</w:t>
                  </w:r>
                </w:p>
              </w:tc>
              <w:tc>
                <w:tcPr>
                  <w:tcW w:w="717" w:type="pct"/>
                  <w:tcBorders>
                    <w:tl2br w:val="nil"/>
                    <w:tr2bl w:val="nil"/>
                  </w:tcBorders>
                  <w:noWrap w:val="0"/>
                  <w:vAlign w:val="center"/>
                </w:tcPr>
                <w:p w14:paraId="5507EA01">
                  <w:pPr>
                    <w:pStyle w:val="30"/>
                    <w:bidi w:val="0"/>
                    <w:rPr>
                      <w:rFonts w:hint="eastAsia"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2500t</w:t>
                  </w:r>
                </w:p>
              </w:tc>
              <w:tc>
                <w:tcPr>
                  <w:tcW w:w="714" w:type="pct"/>
                  <w:tcBorders>
                    <w:tl2br w:val="nil"/>
                    <w:tr2bl w:val="nil"/>
                  </w:tcBorders>
                  <w:noWrap w:val="0"/>
                  <w:vAlign w:val="center"/>
                </w:tcPr>
                <w:p w14:paraId="691EBCBF">
                  <w:pPr>
                    <w:pStyle w:val="30"/>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0.00004</w:t>
                  </w:r>
                </w:p>
              </w:tc>
            </w:tr>
            <w:tr w14:paraId="1BEA80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9" w:type="pct"/>
                  <w:tcBorders>
                    <w:tl2br w:val="nil"/>
                    <w:tr2bl w:val="nil"/>
                  </w:tcBorders>
                  <w:noWrap w:val="0"/>
                  <w:vAlign w:val="center"/>
                </w:tcPr>
                <w:p w14:paraId="1A587819">
                  <w:pPr>
                    <w:pStyle w:val="30"/>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5</w:t>
                  </w:r>
                </w:p>
              </w:tc>
              <w:tc>
                <w:tcPr>
                  <w:tcW w:w="976" w:type="pct"/>
                  <w:tcBorders>
                    <w:tl2br w:val="nil"/>
                    <w:tr2bl w:val="nil"/>
                  </w:tcBorders>
                  <w:noWrap w:val="0"/>
                  <w:vAlign w:val="center"/>
                </w:tcPr>
                <w:p w14:paraId="25AFAD92">
                  <w:pPr>
                    <w:pStyle w:val="30"/>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危险废物</w:t>
                  </w:r>
                </w:p>
              </w:tc>
              <w:tc>
                <w:tcPr>
                  <w:tcW w:w="713" w:type="pct"/>
                  <w:tcBorders>
                    <w:tl2br w:val="nil"/>
                    <w:tr2bl w:val="nil"/>
                  </w:tcBorders>
                  <w:noWrap w:val="0"/>
                  <w:vAlign w:val="center"/>
                </w:tcPr>
                <w:p w14:paraId="08C0ACAA">
                  <w:pPr>
                    <w:pStyle w:val="30"/>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w:t>
                  </w:r>
                </w:p>
              </w:tc>
              <w:tc>
                <w:tcPr>
                  <w:tcW w:w="713" w:type="pct"/>
                  <w:tcBorders>
                    <w:tl2br w:val="nil"/>
                    <w:tr2bl w:val="nil"/>
                  </w:tcBorders>
                  <w:noWrap w:val="0"/>
                  <w:vAlign w:val="center"/>
                </w:tcPr>
                <w:p w14:paraId="5BA39709">
                  <w:pPr>
                    <w:pStyle w:val="30"/>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2.5478t</w:t>
                  </w:r>
                </w:p>
              </w:tc>
              <w:tc>
                <w:tcPr>
                  <w:tcW w:w="713" w:type="pct"/>
                  <w:tcBorders>
                    <w:tl2br w:val="nil"/>
                    <w:tr2bl w:val="nil"/>
                  </w:tcBorders>
                  <w:noWrap w:val="0"/>
                  <w:vAlign w:val="center"/>
                </w:tcPr>
                <w:p w14:paraId="710B0C8F">
                  <w:pPr>
                    <w:pStyle w:val="30"/>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危废贮存库</w:t>
                  </w:r>
                </w:p>
              </w:tc>
              <w:tc>
                <w:tcPr>
                  <w:tcW w:w="717" w:type="pct"/>
                  <w:tcBorders>
                    <w:tl2br w:val="nil"/>
                    <w:tr2bl w:val="nil"/>
                  </w:tcBorders>
                  <w:noWrap w:val="0"/>
                  <w:vAlign w:val="center"/>
                </w:tcPr>
                <w:p w14:paraId="7D6F4568">
                  <w:pPr>
                    <w:pStyle w:val="30"/>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50t</w:t>
                  </w:r>
                </w:p>
              </w:tc>
              <w:tc>
                <w:tcPr>
                  <w:tcW w:w="714" w:type="pct"/>
                  <w:tcBorders>
                    <w:tl2br w:val="nil"/>
                    <w:tr2bl w:val="nil"/>
                  </w:tcBorders>
                  <w:noWrap w:val="0"/>
                  <w:vAlign w:val="center"/>
                </w:tcPr>
                <w:p w14:paraId="3CC17183">
                  <w:pPr>
                    <w:pStyle w:val="30"/>
                    <w:bidi w:val="0"/>
                    <w:rPr>
                      <w:rFonts w:hint="default"/>
                      <w:color w:val="auto"/>
                      <w:sz w:val="21"/>
                      <w:szCs w:val="21"/>
                      <w:lang w:val="en-US" w:eastAsia="zh-CN"/>
                    </w:rPr>
                  </w:pPr>
                  <w:r>
                    <w:rPr>
                      <w:rFonts w:hint="eastAsia"/>
                      <w:color w:val="auto"/>
                      <w:sz w:val="21"/>
                      <w:szCs w:val="21"/>
                      <w:lang w:val="en-US" w:eastAsia="zh-CN"/>
                    </w:rPr>
                    <w:t>0.0510</w:t>
                  </w:r>
                </w:p>
              </w:tc>
            </w:tr>
            <w:tr w14:paraId="709014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85" w:type="pct"/>
                  <w:gridSpan w:val="6"/>
                  <w:tcBorders>
                    <w:tl2br w:val="nil"/>
                    <w:tr2bl w:val="nil"/>
                  </w:tcBorders>
                  <w:noWrap w:val="0"/>
                  <w:vAlign w:val="center"/>
                </w:tcPr>
                <w:p w14:paraId="2ACF6937">
                  <w:pPr>
                    <w:pStyle w:val="30"/>
                    <w:bidi w:val="0"/>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总计</w:t>
                  </w:r>
                </w:p>
              </w:tc>
              <w:tc>
                <w:tcPr>
                  <w:tcW w:w="714" w:type="pct"/>
                  <w:tcBorders>
                    <w:tl2br w:val="nil"/>
                    <w:tr2bl w:val="nil"/>
                  </w:tcBorders>
                  <w:noWrap w:val="0"/>
                  <w:vAlign w:val="center"/>
                </w:tcPr>
                <w:p w14:paraId="16B1E673">
                  <w:pPr>
                    <w:pStyle w:val="30"/>
                    <w:bidi w:val="0"/>
                    <w:rPr>
                      <w:rFonts w:hint="default" w:ascii="Times New Roman" w:hAnsi="Times New Roman" w:eastAsia="宋体"/>
                      <w:color w:val="auto"/>
                      <w:sz w:val="21"/>
                      <w:szCs w:val="21"/>
                      <w:lang w:val="en-US" w:eastAsia="zh-CN"/>
                    </w:rPr>
                  </w:pPr>
                  <w:r>
                    <w:rPr>
                      <w:rFonts w:hint="eastAsia"/>
                      <w:color w:val="auto"/>
                      <w:sz w:val="21"/>
                      <w:szCs w:val="21"/>
                      <w:lang w:val="en-US" w:eastAsia="zh-CN"/>
                    </w:rPr>
                    <w:t>0.07944</w:t>
                  </w:r>
                </w:p>
              </w:tc>
            </w:tr>
          </w:tbl>
          <w:p w14:paraId="07772119">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由表可知项目危险物质的临界量比值Q=0.</w:t>
            </w:r>
            <w:r>
              <w:rPr>
                <w:rFonts w:hint="eastAsia" w:cs="宋体"/>
                <w:color w:val="auto"/>
                <w:kern w:val="2"/>
                <w:sz w:val="24"/>
                <w:szCs w:val="24"/>
                <w:lang w:val="en-US" w:eastAsia="zh-CN" w:bidi="ar-SA"/>
              </w:rPr>
              <w:t>07944</w:t>
            </w:r>
            <w:r>
              <w:rPr>
                <w:rFonts w:hint="eastAsia" w:ascii="Times New Roman" w:hAnsi="Times New Roman" w:eastAsia="宋体" w:cs="宋体"/>
                <w:color w:val="auto"/>
                <w:kern w:val="2"/>
                <w:sz w:val="24"/>
                <w:szCs w:val="24"/>
                <w:lang w:val="en-US" w:eastAsia="zh-CN" w:bidi="ar-SA"/>
              </w:rPr>
              <w:t>＜1，项目环境风险潜势为</w:t>
            </w:r>
            <w:r>
              <w:rPr>
                <w:rFonts w:hint="default" w:ascii="Times New Roman" w:hAnsi="Times New Roman" w:eastAsia="宋体" w:cs="Times New Roman"/>
                <w:color w:val="auto"/>
                <w:kern w:val="2"/>
                <w:sz w:val="24"/>
                <w:szCs w:val="24"/>
                <w:lang w:val="en-US" w:eastAsia="zh-CN" w:bidi="ar-SA"/>
              </w:rPr>
              <w:t>Ⅰ</w:t>
            </w:r>
            <w:r>
              <w:rPr>
                <w:rFonts w:hint="eastAsia" w:ascii="Times New Roman" w:hAnsi="Times New Roman" w:eastAsia="宋体" w:cs="宋体"/>
                <w:color w:val="auto"/>
                <w:kern w:val="2"/>
                <w:sz w:val="24"/>
                <w:szCs w:val="24"/>
                <w:lang w:val="en-US" w:eastAsia="zh-CN" w:bidi="ar-SA"/>
              </w:rPr>
              <w:t>。</w:t>
            </w:r>
          </w:p>
          <w:p w14:paraId="5963570E">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109" w:name="_Toc19178"/>
            <w:bookmarkStart w:id="110" w:name="_Toc23165"/>
            <w:r>
              <w:rPr>
                <w:rFonts w:hint="eastAsia" w:ascii="Times New Roman" w:hAnsi="Times New Roman" w:eastAsia="宋体" w:cs="Times New Roman"/>
                <w:b/>
                <w:color w:val="auto"/>
                <w:kern w:val="2"/>
                <w:sz w:val="24"/>
                <w:szCs w:val="24"/>
                <w:lang w:val="en-US" w:eastAsia="zh-CN" w:bidi="ar-SA"/>
              </w:rPr>
              <w:t>4.6.2环境风险潜势初判</w:t>
            </w:r>
            <w:bookmarkEnd w:id="109"/>
            <w:bookmarkEnd w:id="110"/>
          </w:p>
          <w:p w14:paraId="54CD43FE">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根据《建设项目环境风险评价技术导则》（HJ 169-2018），环境风险评价工作等级划分详见下表4.6-2。</w:t>
            </w:r>
          </w:p>
          <w:p w14:paraId="6F6F2E95">
            <w:pPr>
              <w:widowControl w:val="0"/>
              <w:bidi w:val="0"/>
              <w:adjustRightInd w:val="0"/>
              <w:snapToGrid w:val="0"/>
              <w:spacing w:before="10" w:beforeLines="10" w:after="10" w:afterLines="10"/>
              <w:jc w:val="center"/>
              <w:rPr>
                <w:rFonts w:hint="eastAsia"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表4.6-2</w:t>
            </w:r>
            <w:r>
              <w:rPr>
                <w:rFonts w:hint="eastAsia" w:cs="Times New Roman"/>
                <w:b/>
                <w:color w:val="auto"/>
                <w:kern w:val="0"/>
                <w:sz w:val="24"/>
                <w:szCs w:val="20"/>
                <w:lang w:val="en-US" w:eastAsia="zh-CN" w:bidi="ar-SA"/>
              </w:rPr>
              <w:t xml:space="preserve">  </w:t>
            </w:r>
            <w:r>
              <w:rPr>
                <w:rFonts w:hint="eastAsia" w:ascii="Times New Roman" w:hAnsi="Times New Roman" w:eastAsia="宋体" w:cs="Times New Roman"/>
                <w:b/>
                <w:color w:val="auto"/>
                <w:kern w:val="0"/>
                <w:sz w:val="24"/>
                <w:szCs w:val="20"/>
                <w:lang w:val="en-US" w:eastAsia="zh-CN" w:bidi="ar-SA"/>
              </w:rPr>
              <w:t>评价工作等级划分</w:t>
            </w:r>
          </w:p>
          <w:tbl>
            <w:tblPr>
              <w:tblStyle w:val="20"/>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01"/>
              <w:gridCol w:w="1602"/>
              <w:gridCol w:w="1604"/>
              <w:gridCol w:w="1604"/>
              <w:gridCol w:w="1604"/>
            </w:tblGrid>
            <w:tr w14:paraId="5E2B2F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9" w:type="pct"/>
                  <w:tcBorders>
                    <w:tl2br w:val="nil"/>
                    <w:tr2bl w:val="nil"/>
                  </w:tcBorders>
                  <w:shd w:val="clear" w:color="auto" w:fill="auto"/>
                  <w:noWrap w:val="0"/>
                  <w:vAlign w:val="center"/>
                </w:tcPr>
                <w:p w14:paraId="1E8E53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环境风险潜势</w:t>
                  </w:r>
                </w:p>
              </w:tc>
              <w:tc>
                <w:tcPr>
                  <w:tcW w:w="999" w:type="pct"/>
                  <w:tcBorders>
                    <w:tl2br w:val="nil"/>
                    <w:tr2bl w:val="nil"/>
                  </w:tcBorders>
                  <w:shd w:val="clear" w:color="auto" w:fill="auto"/>
                  <w:noWrap w:val="0"/>
                  <w:vAlign w:val="center"/>
                </w:tcPr>
                <w:p w14:paraId="6DF1E3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cs="Times New Roman"/>
                      <w:b/>
                      <w:bCs/>
                      <w:color w:val="auto"/>
                      <w:kern w:val="0"/>
                      <w:sz w:val="21"/>
                      <w:szCs w:val="20"/>
                      <w:lang w:val="en-US" w:eastAsia="zh-CN" w:bidi="ar-SA"/>
                    </w:rPr>
                    <w:t>Ⅳ</w:t>
                  </w:r>
                  <w:r>
                    <w:rPr>
                      <w:rFonts w:hint="eastAsia" w:ascii="Times New Roman" w:hAnsi="Times New Roman" w:eastAsia="宋体" w:cs="Times New Roman"/>
                      <w:b/>
                      <w:bCs/>
                      <w:color w:val="auto"/>
                      <w:kern w:val="0"/>
                      <w:sz w:val="21"/>
                      <w:szCs w:val="20"/>
                      <w:lang w:val="en-US" w:eastAsia="zh-CN" w:bidi="ar-SA"/>
                    </w:rPr>
                    <w:t>、IV</w:t>
                  </w:r>
                  <w:r>
                    <w:rPr>
                      <w:rFonts w:hint="eastAsia" w:ascii="Times New Roman" w:hAnsi="Times New Roman" w:eastAsia="宋体" w:cs="Times New Roman"/>
                      <w:b/>
                      <w:bCs/>
                      <w:color w:val="auto"/>
                      <w:kern w:val="0"/>
                      <w:sz w:val="21"/>
                      <w:szCs w:val="20"/>
                      <w:vertAlign w:val="superscript"/>
                      <w:lang w:val="en-US" w:eastAsia="zh-CN" w:bidi="ar-SA"/>
                    </w:rPr>
                    <w:t>+</w:t>
                  </w:r>
                </w:p>
              </w:tc>
              <w:tc>
                <w:tcPr>
                  <w:tcW w:w="1000" w:type="pct"/>
                  <w:tcBorders>
                    <w:tl2br w:val="nil"/>
                    <w:tr2bl w:val="nil"/>
                  </w:tcBorders>
                  <w:shd w:val="clear" w:color="auto" w:fill="auto"/>
                  <w:noWrap w:val="0"/>
                  <w:vAlign w:val="center"/>
                </w:tcPr>
                <w:p w14:paraId="0453AE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cs="Times New Roman"/>
                      <w:b/>
                      <w:bCs/>
                      <w:color w:val="auto"/>
                      <w:kern w:val="0"/>
                      <w:sz w:val="21"/>
                      <w:szCs w:val="20"/>
                      <w:lang w:val="en-US" w:eastAsia="zh-CN" w:bidi="ar-SA"/>
                    </w:rPr>
                    <w:t>Ⅲ</w:t>
                  </w:r>
                </w:p>
              </w:tc>
              <w:tc>
                <w:tcPr>
                  <w:tcW w:w="1000" w:type="pct"/>
                  <w:tcBorders>
                    <w:tl2br w:val="nil"/>
                    <w:tr2bl w:val="nil"/>
                  </w:tcBorders>
                  <w:shd w:val="clear" w:color="auto" w:fill="auto"/>
                  <w:noWrap w:val="0"/>
                  <w:vAlign w:val="center"/>
                </w:tcPr>
                <w:p w14:paraId="0658E7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II</w:t>
                  </w:r>
                </w:p>
              </w:tc>
              <w:tc>
                <w:tcPr>
                  <w:tcW w:w="1000" w:type="pct"/>
                  <w:tcBorders>
                    <w:tl2br w:val="nil"/>
                    <w:tr2bl w:val="nil"/>
                  </w:tcBorders>
                  <w:shd w:val="clear" w:color="auto" w:fill="BEBEBE"/>
                  <w:noWrap w:val="0"/>
                  <w:vAlign w:val="center"/>
                </w:tcPr>
                <w:p w14:paraId="73EE9B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I</w:t>
                  </w:r>
                </w:p>
              </w:tc>
            </w:tr>
            <w:tr w14:paraId="3D8FB5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9" w:type="pct"/>
                  <w:tcBorders>
                    <w:tl2br w:val="nil"/>
                    <w:tr2bl w:val="nil"/>
                  </w:tcBorders>
                  <w:shd w:val="clear" w:color="auto" w:fill="auto"/>
                  <w:noWrap w:val="0"/>
                  <w:vAlign w:val="center"/>
                </w:tcPr>
                <w:p w14:paraId="2A2AF1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评价工作等级</w:t>
                  </w:r>
                </w:p>
              </w:tc>
              <w:tc>
                <w:tcPr>
                  <w:tcW w:w="999" w:type="pct"/>
                  <w:tcBorders>
                    <w:tl2br w:val="nil"/>
                    <w:tr2bl w:val="nil"/>
                  </w:tcBorders>
                  <w:shd w:val="clear" w:color="auto" w:fill="auto"/>
                  <w:noWrap w:val="0"/>
                  <w:vAlign w:val="center"/>
                </w:tcPr>
                <w:p w14:paraId="37562C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w:t>
                  </w:r>
                </w:p>
              </w:tc>
              <w:tc>
                <w:tcPr>
                  <w:tcW w:w="1000" w:type="pct"/>
                  <w:tcBorders>
                    <w:tl2br w:val="nil"/>
                    <w:tr2bl w:val="nil"/>
                  </w:tcBorders>
                  <w:shd w:val="clear" w:color="auto" w:fill="auto"/>
                  <w:noWrap w:val="0"/>
                  <w:vAlign w:val="center"/>
                </w:tcPr>
                <w:p w14:paraId="46D915E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二</w:t>
                  </w:r>
                </w:p>
              </w:tc>
              <w:tc>
                <w:tcPr>
                  <w:tcW w:w="1000" w:type="pct"/>
                  <w:tcBorders>
                    <w:tl2br w:val="nil"/>
                    <w:tr2bl w:val="nil"/>
                  </w:tcBorders>
                  <w:shd w:val="clear" w:color="auto" w:fill="auto"/>
                  <w:noWrap w:val="0"/>
                  <w:vAlign w:val="center"/>
                </w:tcPr>
                <w:p w14:paraId="4DF292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三</w:t>
                  </w:r>
                </w:p>
              </w:tc>
              <w:tc>
                <w:tcPr>
                  <w:tcW w:w="1000" w:type="pct"/>
                  <w:tcBorders>
                    <w:tl2br w:val="nil"/>
                    <w:tr2bl w:val="nil"/>
                  </w:tcBorders>
                  <w:shd w:val="clear" w:color="auto" w:fill="BEBEBE"/>
                  <w:noWrap w:val="0"/>
                  <w:vAlign w:val="center"/>
                </w:tcPr>
                <w:p w14:paraId="080BF4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简单分析</w:t>
                  </w:r>
                </w:p>
              </w:tc>
            </w:tr>
          </w:tbl>
          <w:p w14:paraId="3C8F19CA">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简单分析是相对于详细评价工作内容而言，在描述危险物质、环境影响途径、环境危害后果、风险防范措施等方面给出定性的说明。</w:t>
            </w:r>
          </w:p>
          <w:p w14:paraId="021D4ECD">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111" w:name="_Toc4675"/>
            <w:bookmarkStart w:id="112" w:name="_Toc7207"/>
            <w:r>
              <w:rPr>
                <w:rFonts w:hint="eastAsia" w:ascii="Times New Roman" w:hAnsi="Times New Roman" w:eastAsia="宋体" w:cs="Times New Roman"/>
                <w:b/>
                <w:color w:val="auto"/>
                <w:kern w:val="2"/>
                <w:sz w:val="24"/>
                <w:szCs w:val="24"/>
                <w:lang w:val="en-US" w:eastAsia="zh-CN" w:bidi="ar-SA"/>
              </w:rPr>
              <w:t>4.6.3环境风险识别</w:t>
            </w:r>
            <w:bookmarkEnd w:id="111"/>
            <w:bookmarkEnd w:id="112"/>
          </w:p>
          <w:p w14:paraId="01A0A876">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本项目可能发生的事故主要有：</w:t>
            </w:r>
            <w:r>
              <w:rPr>
                <w:rFonts w:hint="eastAsia" w:ascii="Times New Roman" w:hAnsi="Times New Roman" w:eastAsia="宋体" w:cs="宋体"/>
                <w:color w:val="auto"/>
                <w:kern w:val="2"/>
                <w:sz w:val="24"/>
                <w:szCs w:val="24"/>
                <w:lang w:val="en-US" w:eastAsia="zh-CN" w:bidi="ar-SA"/>
              </w:rPr>
              <w:t>火灾爆炸事故、废水事故性排放等。</w:t>
            </w:r>
            <w:r>
              <w:rPr>
                <w:rFonts w:hint="default" w:ascii="Times New Roman" w:hAnsi="Times New Roman" w:eastAsia="宋体" w:cs="宋体"/>
                <w:color w:val="auto"/>
                <w:kern w:val="2"/>
                <w:sz w:val="24"/>
                <w:szCs w:val="24"/>
                <w:lang w:val="en-US" w:eastAsia="zh-CN" w:bidi="ar-SA"/>
              </w:rPr>
              <w:t>根据风险识别，本项目主要存在的事故类型有：</w:t>
            </w:r>
          </w:p>
          <w:p w14:paraId="5092358F">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w:t>
            </w:r>
            <w:r>
              <w:rPr>
                <w:rFonts w:hint="eastAsia" w:ascii="Times New Roman" w:hAnsi="Times New Roman" w:eastAsia="宋体" w:cs="宋体"/>
                <w:color w:val="auto"/>
                <w:kern w:val="2"/>
                <w:sz w:val="24"/>
                <w:szCs w:val="24"/>
                <w:lang w:val="en-US" w:eastAsia="zh-CN" w:bidi="ar-SA"/>
              </w:rPr>
              <w:t>易燃易爆化学品</w:t>
            </w:r>
            <w:r>
              <w:rPr>
                <w:rFonts w:hint="eastAsia" w:cs="宋体"/>
                <w:color w:val="auto"/>
                <w:kern w:val="2"/>
                <w:sz w:val="24"/>
                <w:szCs w:val="24"/>
                <w:lang w:val="en-US" w:eastAsia="zh-CN" w:bidi="ar-SA"/>
              </w:rPr>
              <w:t>泄漏</w:t>
            </w:r>
            <w:r>
              <w:rPr>
                <w:rFonts w:hint="default" w:ascii="Times New Roman" w:hAnsi="Times New Roman" w:eastAsia="宋体" w:cs="宋体"/>
                <w:color w:val="auto"/>
                <w:kern w:val="2"/>
                <w:sz w:val="24"/>
                <w:szCs w:val="24"/>
                <w:lang w:val="en-US" w:eastAsia="zh-CN" w:bidi="ar-SA"/>
              </w:rPr>
              <w:t>后遇明火发生火灾、爆炸事故</w:t>
            </w:r>
            <w:r>
              <w:rPr>
                <w:rFonts w:hint="eastAsia" w:ascii="Times New Roman" w:hAnsi="Times New Roman" w:eastAsia="宋体" w:cs="宋体"/>
                <w:color w:val="auto"/>
                <w:kern w:val="2"/>
                <w:sz w:val="24"/>
                <w:szCs w:val="24"/>
                <w:lang w:val="en-US" w:eastAsia="zh-CN" w:bidi="ar-SA"/>
              </w:rPr>
              <w:t>。</w:t>
            </w:r>
          </w:p>
          <w:p w14:paraId="70ED9AF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（2）生产废水事故性排放。</w:t>
            </w:r>
          </w:p>
          <w:p w14:paraId="147F36ED">
            <w:pPr>
              <w:keepNext/>
              <w:keepLines/>
              <w:widowControl w:val="0"/>
              <w:bidi w:val="0"/>
              <w:spacing w:beforeLines="0" w:beforeAutospacing="0" w:afterLines="0" w:afterAutospacing="0" w:line="360" w:lineRule="auto"/>
              <w:jc w:val="left"/>
              <w:outlineLvl w:val="2"/>
              <w:rPr>
                <w:rFonts w:hint="eastAsia" w:ascii="Times New Roman" w:hAnsi="Times New Roman" w:eastAsia="宋体" w:cs="Times New Roman"/>
                <w:b/>
                <w:color w:val="auto"/>
                <w:kern w:val="2"/>
                <w:sz w:val="24"/>
                <w:szCs w:val="24"/>
                <w:lang w:val="en-US" w:eastAsia="zh-CN" w:bidi="ar-SA"/>
              </w:rPr>
            </w:pPr>
            <w:bookmarkStart w:id="113" w:name="_Toc8771"/>
            <w:bookmarkStart w:id="114" w:name="_Toc32684"/>
            <w:r>
              <w:rPr>
                <w:rFonts w:hint="eastAsia" w:ascii="Times New Roman" w:hAnsi="Times New Roman" w:eastAsia="宋体" w:cs="Times New Roman"/>
                <w:b/>
                <w:color w:val="auto"/>
                <w:kern w:val="2"/>
                <w:sz w:val="24"/>
                <w:szCs w:val="24"/>
                <w:lang w:val="en-US" w:eastAsia="zh-CN" w:bidi="ar-SA"/>
              </w:rPr>
              <w:t>4.6.4环境风险分析</w:t>
            </w:r>
            <w:bookmarkEnd w:id="113"/>
            <w:bookmarkEnd w:id="114"/>
          </w:p>
          <w:p w14:paraId="7C65487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w:t>
            </w:r>
            <w:r>
              <w:rPr>
                <w:rFonts w:hint="eastAsia" w:ascii="Times New Roman" w:hAnsi="Times New Roman" w:eastAsia="宋体" w:cs="宋体"/>
                <w:color w:val="auto"/>
                <w:kern w:val="2"/>
                <w:sz w:val="24"/>
                <w:szCs w:val="24"/>
                <w:lang w:val="en-US" w:eastAsia="zh-CN" w:bidi="ar-SA"/>
              </w:rPr>
              <w:t>化学品</w:t>
            </w:r>
            <w:r>
              <w:rPr>
                <w:rFonts w:hint="default" w:ascii="Times New Roman" w:hAnsi="Times New Roman" w:eastAsia="宋体" w:cs="宋体"/>
                <w:color w:val="auto"/>
                <w:kern w:val="2"/>
                <w:sz w:val="24"/>
                <w:szCs w:val="24"/>
                <w:lang w:val="en-US" w:eastAsia="zh-CN" w:bidi="ar-SA"/>
              </w:rPr>
              <w:t>泄漏后果分析</w:t>
            </w:r>
          </w:p>
          <w:p w14:paraId="6D6B873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由于</w:t>
            </w:r>
            <w:r>
              <w:rPr>
                <w:rFonts w:hint="eastAsia" w:ascii="Times New Roman" w:hAnsi="Times New Roman" w:eastAsia="宋体" w:cs="宋体"/>
                <w:color w:val="auto"/>
                <w:kern w:val="2"/>
                <w:sz w:val="24"/>
                <w:szCs w:val="24"/>
                <w:lang w:val="en-US" w:eastAsia="zh-CN" w:bidi="ar-SA"/>
              </w:rPr>
              <w:t>设备</w:t>
            </w:r>
            <w:r>
              <w:rPr>
                <w:rFonts w:hint="default" w:ascii="Times New Roman" w:hAnsi="Times New Roman" w:eastAsia="宋体" w:cs="宋体"/>
                <w:color w:val="auto"/>
                <w:kern w:val="2"/>
                <w:sz w:val="24"/>
                <w:szCs w:val="24"/>
                <w:lang w:val="en-US" w:eastAsia="zh-CN" w:bidi="ar-SA"/>
              </w:rPr>
              <w:t>失灵</w:t>
            </w:r>
            <w:r>
              <w:rPr>
                <w:rFonts w:hint="eastAsia" w:ascii="Times New Roman" w:hAnsi="Times New Roman" w:eastAsia="宋体" w:cs="宋体"/>
                <w:color w:val="auto"/>
                <w:kern w:val="2"/>
                <w:sz w:val="24"/>
                <w:szCs w:val="24"/>
                <w:lang w:val="en-US" w:eastAsia="zh-CN" w:bidi="ar-SA"/>
              </w:rPr>
              <w:t>、原辅材料转运</w:t>
            </w:r>
            <w:r>
              <w:rPr>
                <w:rFonts w:hint="default" w:ascii="Times New Roman" w:hAnsi="Times New Roman" w:eastAsia="宋体" w:cs="宋体"/>
                <w:color w:val="auto"/>
                <w:kern w:val="2"/>
                <w:sz w:val="24"/>
                <w:szCs w:val="24"/>
                <w:lang w:val="en-US" w:eastAsia="zh-CN" w:bidi="ar-SA"/>
              </w:rPr>
              <w:t>操作失误等原因都可造成</w:t>
            </w:r>
            <w:r>
              <w:rPr>
                <w:rFonts w:hint="eastAsia" w:ascii="Times New Roman" w:hAnsi="Times New Roman" w:eastAsia="宋体" w:cs="宋体"/>
                <w:color w:val="auto"/>
                <w:kern w:val="2"/>
                <w:sz w:val="24"/>
                <w:szCs w:val="24"/>
                <w:lang w:val="en-US" w:eastAsia="zh-CN" w:bidi="ar-SA"/>
              </w:rPr>
              <w:t>化学品</w:t>
            </w:r>
            <w:r>
              <w:rPr>
                <w:rFonts w:hint="default" w:ascii="Times New Roman" w:hAnsi="Times New Roman" w:eastAsia="宋体" w:cs="宋体"/>
                <w:color w:val="auto"/>
                <w:kern w:val="2"/>
                <w:sz w:val="24"/>
                <w:szCs w:val="24"/>
                <w:lang w:val="en-US" w:eastAsia="zh-CN" w:bidi="ar-SA"/>
              </w:rPr>
              <w:t>泄漏事故，造成项目周围的大气烃类污染。发生</w:t>
            </w:r>
            <w:r>
              <w:rPr>
                <w:rFonts w:hint="eastAsia" w:ascii="Times New Roman" w:hAnsi="Times New Roman" w:eastAsia="宋体" w:cs="宋体"/>
                <w:color w:val="auto"/>
                <w:kern w:val="2"/>
                <w:sz w:val="24"/>
                <w:szCs w:val="24"/>
                <w:lang w:val="en-US" w:eastAsia="zh-CN" w:bidi="ar-SA"/>
              </w:rPr>
              <w:t>化学品</w:t>
            </w:r>
            <w:r>
              <w:rPr>
                <w:rFonts w:hint="default" w:ascii="Times New Roman" w:hAnsi="Times New Roman" w:eastAsia="宋体" w:cs="宋体"/>
                <w:color w:val="auto"/>
                <w:kern w:val="2"/>
                <w:sz w:val="24"/>
                <w:szCs w:val="24"/>
                <w:lang w:val="en-US" w:eastAsia="zh-CN" w:bidi="ar-SA"/>
              </w:rPr>
              <w:t>泄漏时，由于</w:t>
            </w:r>
            <w:r>
              <w:rPr>
                <w:rFonts w:hint="eastAsia" w:ascii="Times New Roman" w:hAnsi="Times New Roman" w:eastAsia="宋体" w:cs="宋体"/>
                <w:color w:val="auto"/>
                <w:kern w:val="2"/>
                <w:sz w:val="24"/>
                <w:szCs w:val="24"/>
                <w:lang w:val="en-US" w:eastAsia="zh-CN" w:bidi="ar-SA"/>
              </w:rPr>
              <w:t>味道</w:t>
            </w:r>
            <w:r>
              <w:rPr>
                <w:rFonts w:hint="default" w:ascii="Times New Roman" w:hAnsi="Times New Roman" w:eastAsia="宋体" w:cs="宋体"/>
                <w:color w:val="auto"/>
                <w:kern w:val="2"/>
                <w:sz w:val="24"/>
                <w:szCs w:val="24"/>
                <w:lang w:val="en-US" w:eastAsia="zh-CN" w:bidi="ar-SA"/>
              </w:rPr>
              <w:t>比较容易发现，若采取必要措施就可将污染控制在</w:t>
            </w:r>
            <w:r>
              <w:rPr>
                <w:rFonts w:hint="eastAsia" w:ascii="Times New Roman" w:hAnsi="Times New Roman" w:eastAsia="宋体" w:cs="宋体"/>
                <w:color w:val="auto"/>
                <w:kern w:val="2"/>
                <w:sz w:val="24"/>
                <w:szCs w:val="24"/>
                <w:lang w:val="en-US" w:eastAsia="zh-CN" w:bidi="ar-SA"/>
              </w:rPr>
              <w:t>泄漏的</w:t>
            </w:r>
            <w:r>
              <w:rPr>
                <w:rFonts w:hint="default" w:ascii="Times New Roman" w:hAnsi="Times New Roman" w:eastAsia="宋体" w:cs="宋体"/>
                <w:color w:val="auto"/>
                <w:kern w:val="2"/>
                <w:sz w:val="24"/>
                <w:szCs w:val="24"/>
                <w:lang w:val="en-US" w:eastAsia="zh-CN" w:bidi="ar-SA"/>
              </w:rPr>
              <w:t>局部区域，不致形成大面积的区域性污染。</w:t>
            </w:r>
          </w:p>
          <w:p w14:paraId="13E6C02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（2）火灾、爆炸后果分析</w:t>
            </w:r>
          </w:p>
          <w:p w14:paraId="5A6D45D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化学品</w:t>
            </w:r>
            <w:r>
              <w:rPr>
                <w:rFonts w:hint="default" w:ascii="Times New Roman" w:hAnsi="Times New Roman" w:eastAsia="宋体" w:cs="宋体"/>
                <w:color w:val="auto"/>
                <w:kern w:val="2"/>
                <w:sz w:val="24"/>
                <w:szCs w:val="24"/>
                <w:lang w:val="en-US" w:eastAsia="zh-CN" w:bidi="ar-SA"/>
              </w:rPr>
              <w:t>泄漏后一旦发生火灾、爆炸事故，对</w:t>
            </w:r>
            <w:r>
              <w:rPr>
                <w:rFonts w:hint="eastAsia" w:ascii="Times New Roman" w:hAnsi="Times New Roman" w:eastAsia="宋体" w:cs="宋体"/>
                <w:color w:val="auto"/>
                <w:kern w:val="2"/>
                <w:sz w:val="24"/>
                <w:szCs w:val="24"/>
                <w:lang w:val="en-US" w:eastAsia="zh-CN" w:bidi="ar-SA"/>
              </w:rPr>
              <w:t>生产</w:t>
            </w:r>
            <w:r>
              <w:rPr>
                <w:rFonts w:hint="default" w:ascii="Times New Roman" w:hAnsi="Times New Roman" w:eastAsia="宋体" w:cs="宋体"/>
                <w:color w:val="auto"/>
                <w:kern w:val="2"/>
                <w:sz w:val="24"/>
                <w:szCs w:val="24"/>
                <w:lang w:val="en-US" w:eastAsia="zh-CN" w:bidi="ar-SA"/>
              </w:rPr>
              <w:t>区域、现场工作人员和过往车辆将产生较为严重的损害。通过类比分析，发生火灾爆炸后，其影响范围相对主要集中在</w:t>
            </w:r>
            <w:r>
              <w:rPr>
                <w:rFonts w:hint="eastAsia" w:ascii="Times New Roman" w:hAnsi="Times New Roman" w:eastAsia="宋体" w:cs="宋体"/>
                <w:color w:val="auto"/>
                <w:kern w:val="2"/>
                <w:sz w:val="24"/>
                <w:szCs w:val="24"/>
                <w:lang w:val="en-US" w:eastAsia="zh-CN" w:bidi="ar-SA"/>
              </w:rPr>
              <w:t>厂</w:t>
            </w:r>
            <w:r>
              <w:rPr>
                <w:rFonts w:hint="default" w:ascii="Times New Roman" w:hAnsi="Times New Roman" w:eastAsia="宋体" w:cs="宋体"/>
                <w:color w:val="auto"/>
                <w:kern w:val="2"/>
                <w:sz w:val="24"/>
                <w:szCs w:val="24"/>
                <w:lang w:val="en-US" w:eastAsia="zh-CN" w:bidi="ar-SA"/>
              </w:rPr>
              <w:t>内，也可能会危害周围的居民，应制定紧急预案，保证危害半径内的居民、重要设施得到迅速救助、撤离或保护。</w:t>
            </w:r>
          </w:p>
          <w:p w14:paraId="5223553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火灾热辐射影响主要在</w:t>
            </w:r>
            <w:r>
              <w:rPr>
                <w:rFonts w:hint="eastAsia" w:ascii="Times New Roman" w:hAnsi="Times New Roman" w:eastAsia="宋体" w:cs="宋体"/>
                <w:color w:val="auto"/>
                <w:kern w:val="2"/>
                <w:sz w:val="24"/>
                <w:szCs w:val="24"/>
                <w:lang w:val="en-US" w:eastAsia="zh-CN" w:bidi="ar-SA"/>
              </w:rPr>
              <w:t>厂</w:t>
            </w:r>
            <w:r>
              <w:rPr>
                <w:rFonts w:hint="default" w:ascii="Times New Roman" w:hAnsi="Times New Roman" w:eastAsia="宋体" w:cs="宋体"/>
                <w:color w:val="auto"/>
                <w:kern w:val="2"/>
                <w:sz w:val="24"/>
                <w:szCs w:val="24"/>
                <w:lang w:val="en-US" w:eastAsia="zh-CN" w:bidi="ar-SA"/>
              </w:rPr>
              <w:t>区范围，而火灾燃烧过程中同时会伴生大量的烟尘、CO、SO</w:t>
            </w:r>
            <w:r>
              <w:rPr>
                <w:rFonts w:hint="default" w:ascii="Times New Roman" w:hAnsi="Times New Roman" w:eastAsia="宋体" w:cs="宋体"/>
                <w:color w:val="auto"/>
                <w:kern w:val="2"/>
                <w:sz w:val="24"/>
                <w:szCs w:val="24"/>
                <w:vertAlign w:val="subscript"/>
                <w:lang w:val="en-US" w:eastAsia="zh-CN" w:bidi="ar-SA"/>
              </w:rPr>
              <w:t>2</w:t>
            </w:r>
            <w:r>
              <w:rPr>
                <w:rFonts w:hint="default" w:ascii="Times New Roman" w:hAnsi="Times New Roman" w:eastAsia="宋体" w:cs="宋体"/>
                <w:color w:val="auto"/>
                <w:kern w:val="2"/>
                <w:sz w:val="24"/>
                <w:szCs w:val="24"/>
                <w:lang w:val="en-US" w:eastAsia="zh-CN" w:bidi="ar-SA"/>
              </w:rPr>
              <w:t>和NO</w:t>
            </w:r>
            <w:r>
              <w:rPr>
                <w:rFonts w:hint="default" w:ascii="Times New Roman" w:hAnsi="Times New Roman" w:eastAsia="宋体" w:cs="宋体"/>
                <w:color w:val="auto"/>
                <w:kern w:val="2"/>
                <w:sz w:val="24"/>
                <w:szCs w:val="24"/>
                <w:vertAlign w:val="subscript"/>
                <w:lang w:val="en-US" w:eastAsia="zh-CN" w:bidi="ar-SA"/>
              </w:rPr>
              <w:t>2</w:t>
            </w:r>
            <w:r>
              <w:rPr>
                <w:rFonts w:hint="default" w:ascii="Times New Roman" w:hAnsi="Times New Roman" w:eastAsia="宋体" w:cs="宋体"/>
                <w:color w:val="auto"/>
                <w:kern w:val="2"/>
                <w:sz w:val="24"/>
                <w:szCs w:val="24"/>
                <w:lang w:val="en-US" w:eastAsia="zh-CN" w:bidi="ar-SA"/>
              </w:rPr>
              <w:t>等污染物，将对周围大气环境产生影响。由于</w:t>
            </w:r>
            <w:r>
              <w:rPr>
                <w:rFonts w:hint="eastAsia" w:ascii="Times New Roman" w:hAnsi="Times New Roman" w:eastAsia="宋体" w:cs="宋体"/>
                <w:color w:val="auto"/>
                <w:kern w:val="2"/>
                <w:sz w:val="24"/>
                <w:szCs w:val="24"/>
                <w:lang w:val="en-US" w:eastAsia="zh-CN" w:bidi="ar-SA"/>
              </w:rPr>
              <w:t>生产设备</w:t>
            </w:r>
            <w:r>
              <w:rPr>
                <w:rFonts w:hint="default" w:ascii="Times New Roman" w:hAnsi="Times New Roman" w:eastAsia="宋体" w:cs="宋体"/>
                <w:color w:val="auto"/>
                <w:kern w:val="2"/>
                <w:sz w:val="24"/>
                <w:szCs w:val="24"/>
                <w:lang w:val="en-US" w:eastAsia="zh-CN" w:bidi="ar-SA"/>
              </w:rPr>
              <w:t>发生火灾和爆炸后，急剧燃烧所需的供氧量不足，属于典型的不完全燃烧，燃烧过程中产生的CO量很大。污染物影响范围较大，一般都到了几百米以外，尤其是有风的条件下，污染范围更广。</w:t>
            </w:r>
          </w:p>
          <w:p w14:paraId="18547C5B">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故在发生着火事故的情况下可能出现大面积的严重污染。本</w:t>
            </w:r>
            <w:r>
              <w:rPr>
                <w:rFonts w:hint="eastAsia" w:ascii="Times New Roman" w:hAnsi="Times New Roman" w:eastAsia="宋体" w:cs="宋体"/>
                <w:color w:val="auto"/>
                <w:kern w:val="2"/>
                <w:sz w:val="24"/>
                <w:szCs w:val="24"/>
                <w:lang w:val="en-US" w:eastAsia="zh-CN" w:bidi="ar-SA"/>
              </w:rPr>
              <w:t>厂区</w:t>
            </w:r>
            <w:r>
              <w:rPr>
                <w:rFonts w:hint="default" w:ascii="Times New Roman" w:hAnsi="Times New Roman" w:eastAsia="宋体" w:cs="宋体"/>
                <w:color w:val="auto"/>
                <w:kern w:val="2"/>
                <w:sz w:val="24"/>
                <w:szCs w:val="24"/>
                <w:lang w:val="en-US" w:eastAsia="zh-CN" w:bidi="ar-SA"/>
              </w:rPr>
              <w:t>的平面设计符合《城镇燃气设计规范》（GB50028-20</w:t>
            </w:r>
            <w:r>
              <w:rPr>
                <w:rFonts w:hint="eastAsia" w:ascii="Times New Roman" w:hAnsi="Times New Roman" w:cs="宋体"/>
                <w:color w:val="auto"/>
                <w:kern w:val="2"/>
                <w:sz w:val="24"/>
                <w:szCs w:val="24"/>
                <w:lang w:val="en-US" w:eastAsia="zh-CN" w:bidi="ar-SA"/>
              </w:rPr>
              <w:t>22</w:t>
            </w:r>
            <w:r>
              <w:rPr>
                <w:rFonts w:hint="default" w:ascii="Times New Roman" w:hAnsi="Times New Roman" w:eastAsia="宋体" w:cs="宋体"/>
                <w:color w:val="auto"/>
                <w:kern w:val="2"/>
                <w:sz w:val="24"/>
                <w:szCs w:val="24"/>
                <w:lang w:val="en-US" w:eastAsia="zh-CN" w:bidi="ar-SA"/>
              </w:rPr>
              <w:t>）等设计规范中的相关规定，建设方还应该采取严密的防范措施，严防事故的发生，同时应该制定详尽的事故应急预案，确保一旦发生事故可以行之有效的办法进行处理。则项目发生火灾、爆炸的危害程度可得到控制。</w:t>
            </w:r>
          </w:p>
          <w:p w14:paraId="1C546ABD">
            <w:pPr>
              <w:keepNext/>
              <w:keepLines/>
              <w:widowControl w:val="0"/>
              <w:bidi w:val="0"/>
              <w:spacing w:beforeLines="0" w:beforeAutospacing="0" w:afterLines="0" w:afterAutospacing="0" w:line="360" w:lineRule="auto"/>
              <w:jc w:val="left"/>
              <w:outlineLvl w:val="2"/>
              <w:rPr>
                <w:rFonts w:hint="default" w:ascii="Times New Roman" w:hAnsi="Times New Roman" w:eastAsia="宋体" w:cs="Times New Roman"/>
                <w:b/>
                <w:color w:val="auto"/>
                <w:kern w:val="2"/>
                <w:sz w:val="24"/>
                <w:szCs w:val="24"/>
                <w:lang w:val="en-US" w:eastAsia="zh-CN" w:bidi="ar-SA"/>
              </w:rPr>
            </w:pPr>
            <w:r>
              <w:rPr>
                <w:rFonts w:hint="default" w:ascii="Times New Roman" w:hAnsi="Times New Roman" w:eastAsia="宋体" w:cs="Times New Roman"/>
                <w:b/>
                <w:color w:val="auto"/>
                <w:kern w:val="2"/>
                <w:sz w:val="24"/>
                <w:szCs w:val="24"/>
                <w:lang w:val="en-US" w:eastAsia="zh-CN" w:bidi="ar-SA"/>
              </w:rPr>
              <w:t xml:space="preserve"> </w:t>
            </w:r>
            <w:bookmarkStart w:id="115" w:name="_Toc28914"/>
            <w:bookmarkStart w:id="116" w:name="_Toc21284"/>
            <w:r>
              <w:rPr>
                <w:rFonts w:hint="default" w:ascii="Times New Roman" w:hAnsi="Times New Roman" w:eastAsia="宋体" w:cs="Times New Roman"/>
                <w:b/>
                <w:color w:val="auto"/>
                <w:kern w:val="2"/>
                <w:sz w:val="24"/>
                <w:szCs w:val="24"/>
                <w:lang w:val="en-US" w:eastAsia="zh-CN" w:bidi="ar-SA"/>
              </w:rPr>
              <w:t>4.6.</w:t>
            </w:r>
            <w:r>
              <w:rPr>
                <w:rFonts w:hint="eastAsia" w:ascii="Times New Roman" w:hAnsi="Times New Roman" w:eastAsia="宋体" w:cs="Times New Roman"/>
                <w:b/>
                <w:color w:val="auto"/>
                <w:kern w:val="2"/>
                <w:sz w:val="24"/>
                <w:szCs w:val="24"/>
                <w:lang w:val="en-US" w:eastAsia="zh-CN" w:bidi="ar-SA"/>
              </w:rPr>
              <w:t>5</w:t>
            </w:r>
            <w:r>
              <w:rPr>
                <w:rFonts w:hint="default" w:ascii="Times New Roman" w:hAnsi="Times New Roman" w:eastAsia="宋体" w:cs="Times New Roman"/>
                <w:b/>
                <w:color w:val="auto"/>
                <w:kern w:val="2"/>
                <w:sz w:val="24"/>
                <w:szCs w:val="24"/>
                <w:lang w:val="en-US" w:eastAsia="zh-CN" w:bidi="ar-SA"/>
              </w:rPr>
              <w:t>环境风险防范措施和事故应急措施</w:t>
            </w:r>
            <w:bookmarkEnd w:id="115"/>
            <w:bookmarkEnd w:id="116"/>
          </w:p>
          <w:p w14:paraId="30094A7A">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（1）火灾、爆炸的防控措施</w:t>
            </w:r>
          </w:p>
          <w:p w14:paraId="184CE0E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①设置应急物资准备条件：如消防沙堆、干粉灭火器、灭火毯等消防器具，事故一旦发生可立即利用上述设备，将事故造成的影响降至最低。要定期对消防设施进行检查和维护保养，确保消防设施完好有效。</w:t>
            </w:r>
          </w:p>
          <w:p w14:paraId="732E5ECF">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②加强安全检查，实行以防火为中心的安全管理。</w:t>
            </w:r>
            <w:r>
              <w:rPr>
                <w:rFonts w:hint="eastAsia" w:ascii="Times New Roman" w:hAnsi="Times New Roman" w:eastAsia="宋体" w:cs="宋体"/>
                <w:color w:val="auto"/>
                <w:kern w:val="2"/>
                <w:sz w:val="24"/>
                <w:szCs w:val="24"/>
                <w:lang w:val="en-US" w:eastAsia="zh-CN" w:bidi="ar-SA"/>
              </w:rPr>
              <w:t>危险化学品仓库、生产设备</w:t>
            </w:r>
            <w:r>
              <w:rPr>
                <w:rFonts w:hint="default" w:ascii="Times New Roman" w:hAnsi="Times New Roman" w:eastAsia="宋体" w:cs="宋体"/>
                <w:color w:val="auto"/>
                <w:kern w:val="2"/>
                <w:sz w:val="24"/>
                <w:szCs w:val="24"/>
                <w:lang w:val="en-US" w:eastAsia="zh-CN" w:bidi="ar-SA"/>
              </w:rPr>
              <w:t>周围要坚决杜绝明火，及时清理厂区内可燃杂物，保持消防通道畅通。特别要注意防止电火花引起火灾及爆炸。同时做好检查记录，发现问题和隐患及时进行整改。</w:t>
            </w:r>
          </w:p>
          <w:p w14:paraId="335DD44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③加强对公司职工的教育培训，实行上岗证制度，增强职工风险意识，提高事故自救能力，制定和强化各种安全管理、安全运营的规程，减少人为风险事故（如误操作）的发生。</w:t>
            </w:r>
          </w:p>
          <w:p w14:paraId="544F5389">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（2）危化品储运安全防范措施</w:t>
            </w:r>
          </w:p>
          <w:p w14:paraId="1745989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本项目的危险化学品根据用途和类型不同，分别贮存。项目应严格按《危险化学品安全管理条例》的要求，加强对危险化学品的管理；制定危险化学品安全操作规程，要求操作人员严格按操作规程作业；对从事危险化</w:t>
            </w:r>
            <w:r>
              <w:rPr>
                <w:rFonts w:hint="eastAsia" w:cs="宋体"/>
                <w:color w:val="auto"/>
                <w:kern w:val="2"/>
                <w:sz w:val="24"/>
                <w:szCs w:val="24"/>
                <w:lang w:val="en-US" w:eastAsia="zh-CN" w:bidi="ar-SA"/>
              </w:rPr>
              <w:t>学品</w:t>
            </w:r>
            <w:r>
              <w:rPr>
                <w:rFonts w:hint="default" w:ascii="Times New Roman" w:hAnsi="Times New Roman" w:eastAsia="宋体" w:cs="宋体"/>
                <w:color w:val="auto"/>
                <w:kern w:val="2"/>
                <w:sz w:val="24"/>
                <w:szCs w:val="24"/>
                <w:lang w:val="en-US" w:eastAsia="zh-CN" w:bidi="ar-SA"/>
              </w:rPr>
              <w:t>作业人员定期进行安全培训教育；经常性对危险化学品作业场所进行安全检查。</w:t>
            </w:r>
          </w:p>
          <w:p w14:paraId="436435E8">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default" w:ascii="Times New Roman" w:hAnsi="Times New Roman" w:eastAsia="宋体" w:cs="宋体"/>
                <w:color w:val="auto"/>
                <w:kern w:val="2"/>
                <w:sz w:val="24"/>
                <w:szCs w:val="24"/>
                <w:lang w:val="en-US" w:eastAsia="zh-CN" w:bidi="ar-SA"/>
              </w:rPr>
              <w:t>项目原料储存需符合储存危险化学品的相关条件（如防晒、防潮、通风、防雷、防静电等），实施危险化学品的储存和使用。建立健全安全规程及值勤制度设置通讯、报警装置，确保其处于完好状态；对储存危险化学品的容器，应经有关检验部门定期检验合格后，才能使用，并设置明显的标识及警示牌；对使用危险化学品的名称、数量进行严格登记：凡储存、使用危险化学品的岗位，都应配置合格的防毒器材、消防器材，并确保其处于完好状态</w:t>
            </w:r>
            <w:r>
              <w:rPr>
                <w:rFonts w:hint="eastAsia" w:ascii="Times New Roman" w:hAnsi="Times New Roman" w:eastAsia="宋体" w:cs="宋体"/>
                <w:color w:val="auto"/>
                <w:kern w:val="2"/>
                <w:sz w:val="24"/>
                <w:szCs w:val="24"/>
                <w:lang w:val="en-US" w:eastAsia="zh-CN" w:bidi="ar-SA"/>
              </w:rPr>
              <w:t>；</w:t>
            </w:r>
            <w:r>
              <w:rPr>
                <w:rFonts w:hint="default" w:ascii="Times New Roman" w:hAnsi="Times New Roman" w:eastAsia="宋体" w:cs="宋体"/>
                <w:color w:val="auto"/>
                <w:kern w:val="2"/>
                <w:sz w:val="24"/>
                <w:szCs w:val="24"/>
                <w:lang w:val="en-US" w:eastAsia="zh-CN" w:bidi="ar-SA"/>
              </w:rPr>
              <w:t>所有进入储存、使用危险化学品的人员，都必须严格遵守《危险化学品管理制度》。采购危险化学品时，应到已获得危险化学品经营许可证的企业进行采购，并要求供应商提供技术说明书及相关技术资料；采购人员必须进行专业培训并取证：危险化学品的包装物、容器必须有专业检测机构检验合格才能使用：从事危险化学品运输、押运人员，应经有关培训并取证后才能从事危险化学品运输、押运工作；运输危险化学品的车、船应悬挂危险化学品标志不得在人口稠密地停留；危险化学品的运输、押运人员，应配置合格的防护器材。建设单位在储运过程中应小心谨慎，熟知每种物料的性质和储运注意事项。</w:t>
            </w:r>
          </w:p>
          <w:p w14:paraId="13A6CFF1">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（3）危险化学品间建设要求</w:t>
            </w:r>
          </w:p>
          <w:p w14:paraId="61DCA8F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本项目危险化学品仓库的建设应参考《危险化学品经营企业安全技术基本</w:t>
            </w:r>
            <w:r>
              <w:rPr>
                <w:rFonts w:hint="eastAsia" w:cs="宋体"/>
                <w:color w:val="auto"/>
                <w:kern w:val="2"/>
                <w:sz w:val="24"/>
                <w:szCs w:val="24"/>
                <w:lang w:val="en-US" w:eastAsia="zh-CN" w:bidi="ar-SA"/>
              </w:rPr>
              <w:t>要求</w:t>
            </w:r>
            <w:r>
              <w:rPr>
                <w:rFonts w:hint="eastAsia" w:ascii="Times New Roman" w:hAnsi="Times New Roman" w:eastAsia="宋体" w:cs="宋体"/>
                <w:color w:val="auto"/>
                <w:kern w:val="2"/>
                <w:sz w:val="24"/>
                <w:szCs w:val="24"/>
                <w:lang w:val="en-US" w:eastAsia="zh-CN" w:bidi="ar-SA"/>
              </w:rPr>
              <w:t>》（GB18265-2019）和《建筑设计防火规范》（GB50016-2022）的建设要求，危险化学品仓库应防潮、平整、坚实、易于清扫，项目采用乙醇等易燃的有机溶剂，采用不发生火花的地面，采用防腐材料，减少火灾隐患。项目采用的胶水，根据建设单位提供的MSDS，具有毒性，因此危险化学品仓库需设置防</w:t>
            </w:r>
            <w:r>
              <w:rPr>
                <w:rFonts w:hint="eastAsia" w:cs="宋体"/>
                <w:color w:val="auto"/>
                <w:kern w:val="2"/>
                <w:sz w:val="24"/>
                <w:szCs w:val="24"/>
                <w:lang w:val="en-US" w:eastAsia="zh-CN" w:bidi="ar-SA"/>
              </w:rPr>
              <w:t>液体</w:t>
            </w:r>
            <w:r>
              <w:rPr>
                <w:rFonts w:hint="eastAsia" w:ascii="Times New Roman" w:hAnsi="Times New Roman" w:eastAsia="宋体" w:cs="宋体"/>
                <w:color w:val="auto"/>
                <w:kern w:val="2"/>
                <w:sz w:val="24"/>
                <w:szCs w:val="24"/>
                <w:lang w:val="en-US" w:eastAsia="zh-CN" w:bidi="ar-SA"/>
              </w:rPr>
              <w:t>流散措施和通风设备。</w:t>
            </w:r>
          </w:p>
          <w:p w14:paraId="7AE13A80">
            <w:pPr>
              <w:keepNext/>
              <w:keepLines/>
              <w:widowControl w:val="0"/>
              <w:bidi w:val="0"/>
              <w:spacing w:beforeLines="0" w:beforeAutospacing="0" w:afterLines="0" w:afterAutospacing="0" w:line="360" w:lineRule="auto"/>
              <w:jc w:val="left"/>
              <w:outlineLvl w:val="1"/>
              <w:rPr>
                <w:rFonts w:hint="default" w:ascii="Times New Roman" w:hAnsi="Times New Roman" w:eastAsia="宋体" w:cs="Times New Roman"/>
                <w:b/>
                <w:color w:val="auto"/>
                <w:kern w:val="2"/>
                <w:sz w:val="28"/>
                <w:szCs w:val="24"/>
                <w:lang w:val="en-US" w:eastAsia="zh-CN" w:bidi="ar-SA"/>
              </w:rPr>
            </w:pPr>
            <w:bookmarkStart w:id="117" w:name="_Toc3479"/>
            <w:bookmarkStart w:id="118" w:name="_Toc9433"/>
            <w:r>
              <w:rPr>
                <w:rFonts w:hint="eastAsia" w:ascii="Times New Roman" w:hAnsi="Times New Roman" w:eastAsia="宋体" w:cs="Times New Roman"/>
                <w:b/>
                <w:color w:val="auto"/>
                <w:kern w:val="2"/>
                <w:sz w:val="28"/>
                <w:szCs w:val="24"/>
                <w:lang w:val="en-US" w:eastAsia="zh-CN" w:bidi="ar-SA"/>
              </w:rPr>
              <w:t>4.</w:t>
            </w:r>
            <w:r>
              <w:rPr>
                <w:rFonts w:hint="eastAsia" w:cs="Times New Roman"/>
                <w:b/>
                <w:color w:val="auto"/>
                <w:kern w:val="2"/>
                <w:sz w:val="28"/>
                <w:szCs w:val="24"/>
                <w:lang w:val="en-US" w:eastAsia="zh-CN" w:bidi="ar-SA"/>
              </w:rPr>
              <w:t>7</w:t>
            </w:r>
            <w:r>
              <w:rPr>
                <w:rFonts w:hint="eastAsia" w:ascii="Times New Roman" w:hAnsi="Times New Roman" w:eastAsia="宋体" w:cs="Times New Roman"/>
                <w:b/>
                <w:color w:val="auto"/>
                <w:kern w:val="2"/>
                <w:sz w:val="28"/>
                <w:szCs w:val="24"/>
                <w:lang w:val="en-US" w:eastAsia="zh-CN" w:bidi="ar-SA"/>
              </w:rPr>
              <w:t>环保投资估算</w:t>
            </w:r>
            <w:bookmarkEnd w:id="117"/>
            <w:bookmarkEnd w:id="118"/>
          </w:p>
          <w:p w14:paraId="47FB866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本项目环保措施包括废水、废气、噪声治理措施、固体废物收集场所等。具体见表4.</w:t>
            </w:r>
            <w:r>
              <w:rPr>
                <w:rFonts w:hint="eastAsia" w:cs="宋体"/>
                <w:color w:val="auto"/>
                <w:kern w:val="2"/>
                <w:sz w:val="24"/>
                <w:szCs w:val="24"/>
                <w:lang w:val="en-US" w:eastAsia="zh-CN" w:bidi="ar-SA"/>
              </w:rPr>
              <w:t>7</w:t>
            </w:r>
            <w:r>
              <w:rPr>
                <w:rFonts w:hint="eastAsia" w:ascii="Times New Roman" w:hAnsi="Times New Roman" w:eastAsia="宋体" w:cs="宋体"/>
                <w:color w:val="auto"/>
                <w:kern w:val="2"/>
                <w:sz w:val="24"/>
                <w:szCs w:val="24"/>
                <w:lang w:val="en-US" w:eastAsia="zh-CN" w:bidi="ar-SA"/>
              </w:rPr>
              <w:t>-1。</w:t>
            </w:r>
          </w:p>
          <w:p w14:paraId="1E90BC3E">
            <w:pPr>
              <w:widowControl w:val="0"/>
              <w:bidi w:val="0"/>
              <w:adjustRightInd w:val="0"/>
              <w:snapToGrid w:val="0"/>
              <w:spacing w:before="10" w:beforeLines="10" w:after="10" w:afterLines="10"/>
              <w:jc w:val="center"/>
              <w:rPr>
                <w:rFonts w:hint="default" w:ascii="Times New Roman" w:hAnsi="Times New Roman" w:eastAsia="宋体" w:cs="Times New Roman"/>
                <w:b/>
                <w:color w:val="auto"/>
                <w:kern w:val="0"/>
                <w:sz w:val="24"/>
                <w:szCs w:val="20"/>
                <w:lang w:val="en-US" w:eastAsia="zh-CN" w:bidi="ar-SA"/>
              </w:rPr>
            </w:pPr>
            <w:r>
              <w:rPr>
                <w:rFonts w:hint="eastAsia" w:ascii="Times New Roman" w:hAnsi="Times New Roman" w:eastAsia="宋体" w:cs="Times New Roman"/>
                <w:b/>
                <w:color w:val="auto"/>
                <w:kern w:val="0"/>
                <w:sz w:val="24"/>
                <w:szCs w:val="20"/>
                <w:lang w:val="en-US" w:eastAsia="zh-CN" w:bidi="ar-SA"/>
              </w:rPr>
              <w:t>表4</w:t>
            </w:r>
            <w:r>
              <w:rPr>
                <w:rFonts w:hint="eastAsia" w:cs="Times New Roman"/>
                <w:b/>
                <w:color w:val="auto"/>
                <w:kern w:val="0"/>
                <w:sz w:val="24"/>
                <w:szCs w:val="20"/>
                <w:lang w:val="en-US" w:eastAsia="zh-CN" w:bidi="ar-SA"/>
              </w:rPr>
              <w:t>.7</w:t>
            </w:r>
            <w:r>
              <w:rPr>
                <w:rFonts w:hint="eastAsia" w:ascii="Times New Roman" w:hAnsi="Times New Roman" w:eastAsia="宋体" w:cs="Times New Roman"/>
                <w:b/>
                <w:color w:val="auto"/>
                <w:kern w:val="0"/>
                <w:sz w:val="24"/>
                <w:szCs w:val="20"/>
                <w:lang w:val="en-US" w:eastAsia="zh-CN" w:bidi="ar-SA"/>
              </w:rPr>
              <w:t>-1  环保投资估算</w:t>
            </w:r>
          </w:p>
          <w:tbl>
            <w:tblPr>
              <w:tblStyle w:val="20"/>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845"/>
              <w:gridCol w:w="5466"/>
              <w:gridCol w:w="1054"/>
            </w:tblGrid>
            <w:tr w14:paraId="636CA5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7" w:type="pct"/>
                  <w:tcBorders>
                    <w:tl2br w:val="nil"/>
                    <w:tr2bl w:val="nil"/>
                  </w:tcBorders>
                  <w:noWrap w:val="0"/>
                  <w:vAlign w:val="center"/>
                </w:tcPr>
                <w:p w14:paraId="2F53E0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序号</w:t>
                  </w:r>
                </w:p>
              </w:tc>
              <w:tc>
                <w:tcPr>
                  <w:tcW w:w="527" w:type="pct"/>
                  <w:tcBorders>
                    <w:tl2br w:val="nil"/>
                    <w:tr2bl w:val="nil"/>
                  </w:tcBorders>
                  <w:noWrap w:val="0"/>
                  <w:vAlign w:val="center"/>
                </w:tcPr>
                <w:p w14:paraId="27B9128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污染源</w:t>
                  </w:r>
                </w:p>
              </w:tc>
              <w:tc>
                <w:tcPr>
                  <w:tcW w:w="3407" w:type="pct"/>
                  <w:tcBorders>
                    <w:tl2br w:val="nil"/>
                    <w:tr2bl w:val="nil"/>
                  </w:tcBorders>
                  <w:noWrap w:val="0"/>
                  <w:vAlign w:val="center"/>
                </w:tcPr>
                <w:p w14:paraId="5E48FF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措施</w:t>
                  </w:r>
                </w:p>
              </w:tc>
              <w:tc>
                <w:tcPr>
                  <w:tcW w:w="657" w:type="pct"/>
                  <w:tcBorders>
                    <w:tl2br w:val="nil"/>
                    <w:tr2bl w:val="nil"/>
                  </w:tcBorders>
                  <w:noWrap w:val="0"/>
                  <w:vAlign w:val="center"/>
                </w:tcPr>
                <w:p w14:paraId="042E9A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0"/>
                      <w:sz w:val="21"/>
                      <w:szCs w:val="20"/>
                      <w:lang w:val="en-US" w:eastAsia="zh-CN" w:bidi="ar-SA"/>
                    </w:rPr>
                  </w:pPr>
                  <w:r>
                    <w:rPr>
                      <w:rFonts w:hint="eastAsia" w:ascii="Times New Roman" w:hAnsi="Times New Roman" w:eastAsia="宋体" w:cs="Times New Roman"/>
                      <w:b/>
                      <w:bCs/>
                      <w:color w:val="auto"/>
                      <w:kern w:val="0"/>
                      <w:sz w:val="21"/>
                      <w:szCs w:val="20"/>
                      <w:lang w:val="en-US" w:eastAsia="zh-CN" w:bidi="ar-SA"/>
                    </w:rPr>
                    <w:t>投资</w:t>
                  </w:r>
                </w:p>
              </w:tc>
            </w:tr>
            <w:tr w14:paraId="5ECCA2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7" w:type="pct"/>
                  <w:tcBorders>
                    <w:tl2br w:val="nil"/>
                    <w:tr2bl w:val="nil"/>
                  </w:tcBorders>
                  <w:noWrap w:val="0"/>
                  <w:vAlign w:val="center"/>
                </w:tcPr>
                <w:p w14:paraId="39959B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1</w:t>
                  </w:r>
                </w:p>
              </w:tc>
              <w:tc>
                <w:tcPr>
                  <w:tcW w:w="527" w:type="pct"/>
                  <w:tcBorders>
                    <w:tl2br w:val="nil"/>
                    <w:tr2bl w:val="nil"/>
                  </w:tcBorders>
                  <w:noWrap w:val="0"/>
                  <w:vAlign w:val="center"/>
                </w:tcPr>
                <w:p w14:paraId="33BCDB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废水</w:t>
                  </w:r>
                </w:p>
              </w:tc>
              <w:tc>
                <w:tcPr>
                  <w:tcW w:w="3407" w:type="pct"/>
                  <w:tcBorders>
                    <w:tl2br w:val="nil"/>
                    <w:tr2bl w:val="nil"/>
                  </w:tcBorders>
                  <w:noWrap w:val="0"/>
                  <w:vAlign w:val="center"/>
                </w:tcPr>
                <w:p w14:paraId="718CBBCC">
                  <w:pPr>
                    <w:pStyle w:val="30"/>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lang w:val="en-US" w:eastAsia="zh-CN"/>
                    </w:rPr>
                  </w:pPr>
                  <w:r>
                    <w:rPr>
                      <w:rFonts w:hint="eastAsia" w:ascii="Times New Roman" w:hAnsi="Times New Roman" w:eastAsia="宋体" w:cs="Times New Roman"/>
                      <w:color w:val="auto"/>
                      <w:sz w:val="24"/>
                      <w:szCs w:val="20"/>
                      <w:highlight w:val="none"/>
                      <w:lang w:val="en-US" w:eastAsia="zh-CN"/>
                    </w:rPr>
                    <w:t>生活污水经化粪池处理达标后排入市政管网，纳入大学城污水处理厂；废除油剂作为危险废物处理；铣磨废水、抛光废水、磨边废水、超洗废水经过三级沉淀池沉淀处理达标后排入市政管网，纳入大学城污水处理厂；纯水槽的纯水与非纯净废水直接排入市政管网，纳入大学城污水处理。</w:t>
                  </w:r>
                </w:p>
              </w:tc>
              <w:tc>
                <w:tcPr>
                  <w:tcW w:w="657" w:type="pct"/>
                  <w:tcBorders>
                    <w:tl2br w:val="nil"/>
                    <w:tr2bl w:val="nil"/>
                  </w:tcBorders>
                  <w:noWrap w:val="0"/>
                  <w:vAlign w:val="center"/>
                </w:tcPr>
                <w:p w14:paraId="76D118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4</w:t>
                  </w:r>
                  <w:r>
                    <w:rPr>
                      <w:rFonts w:hint="eastAsia" w:ascii="Times New Roman" w:hAnsi="Times New Roman" w:eastAsia="宋体" w:cs="Times New Roman"/>
                      <w:color w:val="auto"/>
                      <w:kern w:val="0"/>
                      <w:sz w:val="21"/>
                      <w:szCs w:val="20"/>
                      <w:lang w:val="en-US" w:eastAsia="zh-CN" w:bidi="ar-SA"/>
                    </w:rPr>
                    <w:t>万元</w:t>
                  </w:r>
                </w:p>
              </w:tc>
            </w:tr>
            <w:tr w14:paraId="2E6F84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407" w:type="pct"/>
                  <w:tcBorders>
                    <w:tl2br w:val="nil"/>
                    <w:tr2bl w:val="nil"/>
                  </w:tcBorders>
                  <w:noWrap w:val="0"/>
                  <w:vAlign w:val="center"/>
                </w:tcPr>
                <w:p w14:paraId="42A957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2</w:t>
                  </w:r>
                </w:p>
              </w:tc>
              <w:tc>
                <w:tcPr>
                  <w:tcW w:w="527" w:type="pct"/>
                  <w:tcBorders>
                    <w:tl2br w:val="nil"/>
                    <w:tr2bl w:val="nil"/>
                  </w:tcBorders>
                  <w:noWrap w:val="0"/>
                  <w:vAlign w:val="center"/>
                </w:tcPr>
                <w:p w14:paraId="4AAA80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废气</w:t>
                  </w:r>
                </w:p>
              </w:tc>
              <w:tc>
                <w:tcPr>
                  <w:tcW w:w="3407" w:type="pct"/>
                  <w:tcBorders>
                    <w:tl2br w:val="nil"/>
                    <w:tr2bl w:val="nil"/>
                  </w:tcBorders>
                  <w:noWrap w:val="0"/>
                  <w:vAlign w:val="center"/>
                </w:tcPr>
                <w:p w14:paraId="74E054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olor w:val="auto"/>
                      <w:lang w:val="en-US" w:eastAsia="zh-CN"/>
                    </w:rPr>
                    <w:t>有机废气</w:t>
                  </w:r>
                  <w:r>
                    <w:rPr>
                      <w:rFonts w:hint="eastAsia" w:ascii="Times New Roman" w:hAnsi="Times New Roman" w:eastAsia="宋体"/>
                      <w:color w:val="auto"/>
                      <w:lang w:val="en-US" w:eastAsia="zh-CN"/>
                    </w:rPr>
                    <w:t>车间密闭负压收集废气，通过二级活性炭吸附装置处理达标后由25m高排气筒排放</w:t>
                  </w:r>
                </w:p>
              </w:tc>
              <w:tc>
                <w:tcPr>
                  <w:tcW w:w="657" w:type="pct"/>
                  <w:tcBorders>
                    <w:tl2br w:val="nil"/>
                    <w:tr2bl w:val="nil"/>
                  </w:tcBorders>
                  <w:noWrap w:val="0"/>
                  <w:vAlign w:val="center"/>
                </w:tcPr>
                <w:p w14:paraId="7EA903B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3</w:t>
                  </w:r>
                  <w:r>
                    <w:rPr>
                      <w:rFonts w:hint="eastAsia" w:ascii="Times New Roman" w:hAnsi="Times New Roman" w:eastAsia="宋体" w:cs="Times New Roman"/>
                      <w:color w:val="auto"/>
                      <w:kern w:val="0"/>
                      <w:sz w:val="21"/>
                      <w:szCs w:val="20"/>
                      <w:lang w:val="en-US" w:eastAsia="zh-CN" w:bidi="ar-SA"/>
                    </w:rPr>
                    <w:t>万元</w:t>
                  </w:r>
                </w:p>
              </w:tc>
            </w:tr>
            <w:tr w14:paraId="2CD021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7" w:type="pct"/>
                  <w:tcBorders>
                    <w:tl2br w:val="nil"/>
                    <w:tr2bl w:val="nil"/>
                  </w:tcBorders>
                  <w:noWrap w:val="0"/>
                  <w:vAlign w:val="center"/>
                </w:tcPr>
                <w:p w14:paraId="647D93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3</w:t>
                  </w:r>
                </w:p>
              </w:tc>
              <w:tc>
                <w:tcPr>
                  <w:tcW w:w="527" w:type="pct"/>
                  <w:tcBorders>
                    <w:tl2br w:val="nil"/>
                    <w:tr2bl w:val="nil"/>
                  </w:tcBorders>
                  <w:noWrap w:val="0"/>
                  <w:vAlign w:val="center"/>
                </w:tcPr>
                <w:p w14:paraId="04D283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噪声</w:t>
                  </w:r>
                </w:p>
              </w:tc>
              <w:tc>
                <w:tcPr>
                  <w:tcW w:w="3407" w:type="pct"/>
                  <w:tcBorders>
                    <w:tl2br w:val="nil"/>
                    <w:tr2bl w:val="nil"/>
                  </w:tcBorders>
                  <w:noWrap w:val="0"/>
                  <w:vAlign w:val="center"/>
                </w:tcPr>
                <w:p w14:paraId="7F916A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优先选用先进、低噪声设备；对高噪声设备采取减振基础、安装减振垫圈等</w:t>
                  </w:r>
                  <w:r>
                    <w:rPr>
                      <w:rFonts w:hint="eastAsia" w:cs="Times New Roman"/>
                      <w:color w:val="auto"/>
                      <w:kern w:val="0"/>
                      <w:sz w:val="21"/>
                      <w:szCs w:val="20"/>
                      <w:lang w:val="en-US" w:eastAsia="zh-CN" w:bidi="ar-SA"/>
                    </w:rPr>
                    <w:t>减振</w:t>
                  </w:r>
                  <w:r>
                    <w:rPr>
                      <w:rFonts w:hint="eastAsia" w:ascii="Times New Roman" w:hAnsi="Times New Roman" w:eastAsia="宋体" w:cs="Times New Roman"/>
                      <w:color w:val="auto"/>
                      <w:kern w:val="0"/>
                      <w:sz w:val="21"/>
                      <w:szCs w:val="20"/>
                      <w:lang w:val="en-US" w:eastAsia="zh-CN" w:bidi="ar-SA"/>
                    </w:rPr>
                    <w:t>措施；对各类机械设备定期检修、维护，防止设备异常噪声产生；优化平面布局，合理布置高噪声设备于远离声环境敏感点位置</w:t>
                  </w:r>
                </w:p>
              </w:tc>
              <w:tc>
                <w:tcPr>
                  <w:tcW w:w="657" w:type="pct"/>
                  <w:tcBorders>
                    <w:tl2br w:val="nil"/>
                    <w:tr2bl w:val="nil"/>
                  </w:tcBorders>
                  <w:noWrap w:val="0"/>
                  <w:vAlign w:val="center"/>
                </w:tcPr>
                <w:p w14:paraId="7DE8AD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1</w:t>
                  </w:r>
                  <w:r>
                    <w:rPr>
                      <w:rFonts w:hint="eastAsia" w:ascii="Times New Roman" w:hAnsi="Times New Roman" w:eastAsia="宋体" w:cs="Times New Roman"/>
                      <w:color w:val="auto"/>
                      <w:kern w:val="0"/>
                      <w:sz w:val="21"/>
                      <w:szCs w:val="20"/>
                      <w:lang w:val="en-US" w:eastAsia="zh-CN" w:bidi="ar-SA"/>
                    </w:rPr>
                    <w:t>万元</w:t>
                  </w:r>
                </w:p>
              </w:tc>
            </w:tr>
            <w:tr w14:paraId="39859C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7" w:type="pct"/>
                  <w:tcBorders>
                    <w:tl2br w:val="nil"/>
                    <w:tr2bl w:val="nil"/>
                  </w:tcBorders>
                  <w:noWrap w:val="0"/>
                  <w:vAlign w:val="center"/>
                </w:tcPr>
                <w:p w14:paraId="1B92E1E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4</w:t>
                  </w:r>
                </w:p>
              </w:tc>
              <w:tc>
                <w:tcPr>
                  <w:tcW w:w="527" w:type="pct"/>
                  <w:tcBorders>
                    <w:tl2br w:val="nil"/>
                    <w:tr2bl w:val="nil"/>
                  </w:tcBorders>
                  <w:noWrap w:val="0"/>
                  <w:vAlign w:val="center"/>
                </w:tcPr>
                <w:p w14:paraId="31C89EC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固体废物</w:t>
                  </w:r>
                </w:p>
              </w:tc>
              <w:tc>
                <w:tcPr>
                  <w:tcW w:w="3407" w:type="pct"/>
                  <w:tcBorders>
                    <w:tl2br w:val="nil"/>
                    <w:tr2bl w:val="nil"/>
                  </w:tcBorders>
                  <w:noWrap w:val="0"/>
                  <w:vAlign w:val="center"/>
                </w:tcPr>
                <w:p w14:paraId="23F477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一般工业固体废物定期外售给其他企业综合利用；设置垃圾桶存放生活垃圾，并委托环卫部门定期清运；危险废物存放于危险废物暂存间，定期委托有处置危险废物资质的单位处置</w:t>
                  </w:r>
                </w:p>
              </w:tc>
              <w:tc>
                <w:tcPr>
                  <w:tcW w:w="657" w:type="pct"/>
                  <w:tcBorders>
                    <w:tl2br w:val="nil"/>
                    <w:tr2bl w:val="nil"/>
                  </w:tcBorders>
                  <w:noWrap w:val="0"/>
                  <w:vAlign w:val="center"/>
                </w:tcPr>
                <w:p w14:paraId="3EB5158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2</w:t>
                  </w:r>
                  <w:r>
                    <w:rPr>
                      <w:rFonts w:hint="eastAsia" w:ascii="Times New Roman" w:hAnsi="Times New Roman" w:eastAsia="宋体" w:cs="Times New Roman"/>
                      <w:color w:val="auto"/>
                      <w:kern w:val="0"/>
                      <w:sz w:val="21"/>
                      <w:szCs w:val="20"/>
                      <w:lang w:val="en-US" w:eastAsia="zh-CN" w:bidi="ar-SA"/>
                    </w:rPr>
                    <w:t>万元</w:t>
                  </w:r>
                </w:p>
              </w:tc>
            </w:tr>
            <w:tr w14:paraId="645595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42" w:type="pct"/>
                  <w:gridSpan w:val="3"/>
                  <w:tcBorders>
                    <w:tl2br w:val="nil"/>
                    <w:tr2bl w:val="nil"/>
                  </w:tcBorders>
                  <w:noWrap w:val="0"/>
                  <w:vAlign w:val="center"/>
                </w:tcPr>
                <w:p w14:paraId="054BC23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合计</w:t>
                  </w:r>
                </w:p>
              </w:tc>
              <w:tc>
                <w:tcPr>
                  <w:tcW w:w="657" w:type="pct"/>
                  <w:tcBorders>
                    <w:tl2br w:val="nil"/>
                    <w:tr2bl w:val="nil"/>
                  </w:tcBorders>
                  <w:noWrap w:val="0"/>
                  <w:vAlign w:val="center"/>
                </w:tcPr>
                <w:p w14:paraId="06FF78E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10</w:t>
                  </w:r>
                  <w:r>
                    <w:rPr>
                      <w:rFonts w:hint="eastAsia" w:ascii="Times New Roman" w:hAnsi="Times New Roman" w:eastAsia="宋体" w:cs="Times New Roman"/>
                      <w:color w:val="auto"/>
                      <w:kern w:val="0"/>
                      <w:sz w:val="21"/>
                      <w:szCs w:val="20"/>
                      <w:lang w:val="en-US" w:eastAsia="zh-CN" w:bidi="ar-SA"/>
                    </w:rPr>
                    <w:t>万元</w:t>
                  </w:r>
                </w:p>
              </w:tc>
            </w:tr>
          </w:tbl>
          <w:p w14:paraId="35D59C34">
            <w:pPr>
              <w:widowControl w:val="0"/>
              <w:bidi w:val="0"/>
              <w:spacing w:line="360" w:lineRule="auto"/>
              <w:ind w:firstLine="480" w:firstLineChars="200"/>
              <w:jc w:val="both"/>
              <w:rPr>
                <w:rFonts w:hint="default" w:ascii="Times New Roman" w:hAnsi="Times New Roman" w:eastAsia="宋体" w:cs="宋体"/>
                <w:color w:val="auto"/>
                <w:kern w:val="2"/>
                <w:sz w:val="24"/>
                <w:szCs w:val="24"/>
                <w:lang w:val="en-US" w:eastAsia="zh-CN" w:bidi="ar-SA"/>
              </w:rPr>
            </w:pPr>
          </w:p>
        </w:tc>
      </w:tr>
    </w:tbl>
    <w:p w14:paraId="516AAC53">
      <w:pPr>
        <w:pStyle w:val="6"/>
        <w:bidi w:val="0"/>
        <w:rPr>
          <w:rFonts w:hint="eastAsia" w:ascii="Times New Roman" w:hAnsi="Times New Roman"/>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73B4C42">
      <w:pPr>
        <w:pStyle w:val="6"/>
        <w:bidi w:val="0"/>
        <w:rPr>
          <w:rFonts w:ascii="Times New Roman" w:hAnsi="Times New Roman" w:eastAsia="黑体"/>
          <w:snapToGrid w:val="0"/>
          <w:color w:val="auto"/>
          <w:szCs w:val="30"/>
        </w:rPr>
      </w:pPr>
      <w:r>
        <w:rPr>
          <w:rFonts w:hint="eastAsia" w:ascii="Times New Roman" w:hAnsi="Times New Roman"/>
          <w:color w:val="auto"/>
        </w:rPr>
        <w:t>五、</w:t>
      </w:r>
      <w:bookmarkStart w:id="119" w:name="_Hlk54167917"/>
      <w:r>
        <w:rPr>
          <w:rFonts w:hint="eastAsia" w:ascii="Times New Roman" w:hAnsi="Times New Roman"/>
          <w:color w:val="auto"/>
        </w:rPr>
        <w:t>环境保护措施监督检查清单</w:t>
      </w:r>
      <w:bookmarkEnd w:id="119"/>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55"/>
        <w:gridCol w:w="1755"/>
        <w:gridCol w:w="1755"/>
        <w:gridCol w:w="1757"/>
      </w:tblGrid>
      <w:tr w14:paraId="3F20D2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noWrap w:val="0"/>
            <w:vAlign w:val="top"/>
          </w:tcPr>
          <w:p w14:paraId="21F07A68">
            <w:pPr>
              <w:adjustRightInd w:val="0"/>
              <w:snapToGrid w:val="0"/>
              <w:ind w:firstLine="840"/>
              <w:rPr>
                <w:rFonts w:hint="eastAsia" w:ascii="Times New Roman" w:hAnsi="Times New Roman" w:cs="宋体"/>
                <w:b/>
                <w:bCs/>
                <w:color w:val="auto"/>
                <w:sz w:val="24"/>
                <w:szCs w:val="24"/>
              </w:rPr>
            </w:pPr>
            <w:r>
              <w:rPr>
                <w:rFonts w:hint="eastAsia" w:ascii="Times New Roman" w:hAnsi="Times New Roman" w:cs="宋体"/>
                <w:b/>
                <w:bCs/>
                <w:color w:val="auto"/>
                <w:sz w:val="24"/>
                <w:szCs w:val="24"/>
              </w:rPr>
              <w:t>内容</w:t>
            </w:r>
          </w:p>
          <w:p w14:paraId="1977BE5D">
            <w:pPr>
              <w:adjustRightInd w:val="0"/>
              <w:snapToGrid w:val="0"/>
              <w:rPr>
                <w:rFonts w:hint="eastAsia" w:ascii="Times New Roman" w:hAnsi="Times New Roman" w:cs="宋体"/>
                <w:b/>
                <w:bCs/>
                <w:color w:val="auto"/>
                <w:sz w:val="24"/>
                <w:szCs w:val="24"/>
              </w:rPr>
            </w:pPr>
            <w:r>
              <w:rPr>
                <w:rFonts w:hint="eastAsia" w:ascii="Times New Roman" w:hAnsi="Times New Roman" w:cs="宋体"/>
                <w:b/>
                <w:bCs/>
                <w:color w:val="auto"/>
                <w:sz w:val="24"/>
                <w:szCs w:val="24"/>
              </w:rPr>
              <w:t>要素</w:t>
            </w:r>
          </w:p>
        </w:tc>
        <w:tc>
          <w:tcPr>
            <w:tcW w:w="1755" w:type="dxa"/>
            <w:noWrap w:val="0"/>
            <w:vAlign w:val="center"/>
          </w:tcPr>
          <w:p w14:paraId="3A525012">
            <w:pPr>
              <w:adjustRightInd w:val="0"/>
              <w:snapToGrid w:val="0"/>
              <w:jc w:val="center"/>
              <w:rPr>
                <w:rFonts w:hint="eastAsia" w:ascii="Times New Roman" w:hAnsi="Times New Roman" w:cs="宋体"/>
                <w:b/>
                <w:bCs/>
                <w:color w:val="auto"/>
                <w:sz w:val="24"/>
                <w:szCs w:val="24"/>
              </w:rPr>
            </w:pPr>
            <w:r>
              <w:rPr>
                <w:rFonts w:hint="eastAsia" w:ascii="Times New Roman" w:hAnsi="Times New Roman" w:cs="宋体"/>
                <w:b/>
                <w:bCs/>
                <w:color w:val="auto"/>
                <w:sz w:val="24"/>
                <w:szCs w:val="24"/>
              </w:rPr>
              <w:t>排放口</w:t>
            </w:r>
            <w:r>
              <w:rPr>
                <w:rFonts w:hint="eastAsia" w:cs="宋体"/>
                <w:b/>
                <w:bCs/>
                <w:color w:val="auto"/>
                <w:sz w:val="24"/>
                <w:szCs w:val="24"/>
                <w:lang w:eastAsia="zh-CN"/>
              </w:rPr>
              <w:t>（</w:t>
            </w:r>
            <w:r>
              <w:rPr>
                <w:rFonts w:hint="eastAsia" w:ascii="Times New Roman" w:hAnsi="Times New Roman" w:cs="宋体"/>
                <w:b/>
                <w:bCs/>
                <w:color w:val="auto"/>
                <w:sz w:val="24"/>
                <w:szCs w:val="24"/>
              </w:rPr>
              <w:t>编号、</w:t>
            </w:r>
          </w:p>
          <w:p w14:paraId="62B529BB">
            <w:pPr>
              <w:adjustRightInd w:val="0"/>
              <w:snapToGrid w:val="0"/>
              <w:jc w:val="center"/>
              <w:rPr>
                <w:rFonts w:hint="eastAsia" w:ascii="Times New Roman" w:hAnsi="Times New Roman" w:cs="宋体"/>
                <w:b/>
                <w:bCs/>
                <w:color w:val="auto"/>
                <w:sz w:val="24"/>
                <w:szCs w:val="24"/>
              </w:rPr>
            </w:pPr>
            <w:r>
              <w:rPr>
                <w:rFonts w:hint="eastAsia" w:ascii="Times New Roman" w:hAnsi="Times New Roman" w:cs="宋体"/>
                <w:b/>
                <w:bCs/>
                <w:color w:val="auto"/>
                <w:sz w:val="24"/>
                <w:szCs w:val="24"/>
              </w:rPr>
              <w:t>名称</w:t>
            </w:r>
            <w:r>
              <w:rPr>
                <w:rFonts w:hint="eastAsia" w:cs="宋体"/>
                <w:b/>
                <w:bCs/>
                <w:color w:val="auto"/>
                <w:sz w:val="24"/>
                <w:szCs w:val="24"/>
                <w:lang w:eastAsia="zh-CN"/>
              </w:rPr>
              <w:t>）</w:t>
            </w:r>
            <w:r>
              <w:rPr>
                <w:rFonts w:hint="eastAsia" w:ascii="Times New Roman" w:hAnsi="Times New Roman" w:cs="宋体"/>
                <w:b/>
                <w:bCs/>
                <w:color w:val="auto"/>
                <w:sz w:val="24"/>
                <w:szCs w:val="24"/>
              </w:rPr>
              <w:t>/污染源</w:t>
            </w:r>
          </w:p>
        </w:tc>
        <w:tc>
          <w:tcPr>
            <w:tcW w:w="1755" w:type="dxa"/>
            <w:noWrap w:val="0"/>
            <w:vAlign w:val="center"/>
          </w:tcPr>
          <w:p w14:paraId="01D65D8D">
            <w:pPr>
              <w:adjustRightInd w:val="0"/>
              <w:snapToGrid w:val="0"/>
              <w:jc w:val="center"/>
              <w:rPr>
                <w:rFonts w:hint="eastAsia" w:ascii="Times New Roman" w:hAnsi="Times New Roman" w:cs="宋体"/>
                <w:b/>
                <w:bCs/>
                <w:color w:val="auto"/>
                <w:sz w:val="24"/>
                <w:szCs w:val="24"/>
              </w:rPr>
            </w:pPr>
            <w:r>
              <w:rPr>
                <w:rFonts w:hint="eastAsia" w:ascii="Times New Roman" w:hAnsi="Times New Roman" w:cs="宋体"/>
                <w:b/>
                <w:bCs/>
                <w:color w:val="auto"/>
                <w:sz w:val="24"/>
                <w:szCs w:val="24"/>
              </w:rPr>
              <w:t>污染物项目</w:t>
            </w:r>
          </w:p>
        </w:tc>
        <w:tc>
          <w:tcPr>
            <w:tcW w:w="1755" w:type="dxa"/>
            <w:noWrap w:val="0"/>
            <w:vAlign w:val="center"/>
          </w:tcPr>
          <w:p w14:paraId="6E0F1476">
            <w:pPr>
              <w:adjustRightInd w:val="0"/>
              <w:snapToGrid w:val="0"/>
              <w:jc w:val="center"/>
              <w:rPr>
                <w:rFonts w:hint="eastAsia" w:ascii="Times New Roman" w:hAnsi="Times New Roman" w:cs="宋体"/>
                <w:b/>
                <w:bCs/>
                <w:color w:val="auto"/>
                <w:sz w:val="24"/>
                <w:szCs w:val="24"/>
              </w:rPr>
            </w:pPr>
            <w:r>
              <w:rPr>
                <w:rFonts w:hint="eastAsia" w:ascii="Times New Roman" w:hAnsi="Times New Roman" w:cs="宋体"/>
                <w:b/>
                <w:bCs/>
                <w:color w:val="auto"/>
                <w:sz w:val="24"/>
                <w:szCs w:val="24"/>
              </w:rPr>
              <w:t>环境保护措施</w:t>
            </w:r>
          </w:p>
        </w:tc>
        <w:tc>
          <w:tcPr>
            <w:tcW w:w="1757" w:type="dxa"/>
            <w:noWrap w:val="0"/>
            <w:vAlign w:val="center"/>
          </w:tcPr>
          <w:p w14:paraId="10966B63">
            <w:pPr>
              <w:adjustRightInd w:val="0"/>
              <w:snapToGrid w:val="0"/>
              <w:jc w:val="center"/>
              <w:rPr>
                <w:rFonts w:hint="eastAsia" w:ascii="Times New Roman" w:hAnsi="Times New Roman" w:cs="宋体"/>
                <w:b/>
                <w:bCs/>
                <w:color w:val="auto"/>
                <w:sz w:val="24"/>
                <w:szCs w:val="24"/>
              </w:rPr>
            </w:pPr>
            <w:r>
              <w:rPr>
                <w:rFonts w:hint="eastAsia" w:ascii="Times New Roman" w:hAnsi="Times New Roman" w:cs="宋体"/>
                <w:b/>
                <w:bCs/>
                <w:color w:val="auto"/>
                <w:sz w:val="24"/>
                <w:szCs w:val="24"/>
              </w:rPr>
              <w:t>执行标准</w:t>
            </w:r>
          </w:p>
        </w:tc>
      </w:tr>
      <w:tr w14:paraId="53693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14:paraId="00F01861">
            <w:pPr>
              <w:adjustRightInd w:val="0"/>
              <w:snapToGrid w:val="0"/>
              <w:jc w:val="center"/>
              <w:rPr>
                <w:rFonts w:hint="eastAsia" w:ascii="Times New Roman" w:hAnsi="Times New Roman" w:cs="宋体"/>
                <w:color w:val="auto"/>
                <w:sz w:val="24"/>
                <w:szCs w:val="24"/>
              </w:rPr>
            </w:pPr>
            <w:r>
              <w:rPr>
                <w:rFonts w:hint="eastAsia" w:ascii="Times New Roman" w:hAnsi="Times New Roman" w:cs="宋体"/>
                <w:color w:val="auto"/>
                <w:sz w:val="24"/>
                <w:szCs w:val="24"/>
              </w:rPr>
              <w:t>大气环境</w:t>
            </w:r>
          </w:p>
        </w:tc>
        <w:tc>
          <w:tcPr>
            <w:tcW w:w="1755" w:type="dxa"/>
            <w:noWrap w:val="0"/>
            <w:vAlign w:val="center"/>
          </w:tcPr>
          <w:p w14:paraId="5D1208B7">
            <w:pPr>
              <w:pStyle w:val="30"/>
              <w:bidi w:val="0"/>
              <w:rPr>
                <w:rFonts w:hint="eastAsia" w:ascii="Times New Roman" w:hAnsi="Times New Roman" w:eastAsia="宋体"/>
                <w:color w:val="auto"/>
                <w:kern w:val="0"/>
                <w:sz w:val="24"/>
                <w:szCs w:val="24"/>
                <w:lang w:val="en-US" w:eastAsia="zh-CN" w:bidi="ar-SA"/>
              </w:rPr>
            </w:pPr>
            <w:r>
              <w:rPr>
                <w:rFonts w:hint="eastAsia" w:ascii="Times New Roman" w:hAnsi="Times New Roman"/>
                <w:color w:val="auto"/>
                <w:sz w:val="24"/>
                <w:szCs w:val="24"/>
                <w:lang w:val="en-US" w:eastAsia="zh-CN"/>
              </w:rPr>
              <w:t>有机废气排放口（D</w:t>
            </w:r>
            <w:r>
              <w:rPr>
                <w:rFonts w:hint="eastAsia" w:ascii="Times New Roman" w:hAnsi="Times New Roman" w:eastAsia="宋体" w:cs="Times New Roman"/>
                <w:color w:val="auto"/>
                <w:sz w:val="24"/>
                <w:szCs w:val="24"/>
                <w:lang w:val="en-US" w:eastAsia="zh-CN"/>
              </w:rPr>
              <w:t>A001）/磨边废气、擦拭废气、超洗废气</w:t>
            </w:r>
          </w:p>
        </w:tc>
        <w:tc>
          <w:tcPr>
            <w:tcW w:w="1755" w:type="dxa"/>
            <w:noWrap w:val="0"/>
            <w:vAlign w:val="center"/>
          </w:tcPr>
          <w:p w14:paraId="1F833121">
            <w:pPr>
              <w:pStyle w:val="59"/>
              <w:spacing w:line="242" w:lineRule="auto"/>
              <w:ind w:left="34" w:right="5" w:firstLine="69"/>
              <w:jc w:val="center"/>
              <w:rPr>
                <w:rFonts w:hint="eastAsia" w:ascii="Times New Roman" w:hAnsi="Times New Roman" w:eastAsia="宋体"/>
                <w:color w:val="auto"/>
                <w:kern w:val="0"/>
                <w:sz w:val="24"/>
                <w:szCs w:val="24"/>
                <w:lang w:val="en-US" w:eastAsia="zh-CN" w:bidi="ar-SA"/>
              </w:rPr>
            </w:pPr>
            <w:r>
              <w:rPr>
                <w:rFonts w:hint="eastAsia" w:ascii="Times New Roman" w:hAnsi="Times New Roman" w:cs="Times New Roman"/>
                <w:color w:val="auto"/>
                <w:kern w:val="0"/>
                <w:sz w:val="24"/>
                <w:szCs w:val="24"/>
                <w:highlight w:val="none"/>
                <w:lang w:val="en-US" w:eastAsia="zh-CN" w:bidi="ar-SA"/>
              </w:rPr>
              <w:t>VOCs、乙醇、乙醚、丙酮（以非甲烷总烃计）</w:t>
            </w:r>
          </w:p>
        </w:tc>
        <w:tc>
          <w:tcPr>
            <w:tcW w:w="1755" w:type="dxa"/>
            <w:noWrap w:val="0"/>
            <w:vAlign w:val="center"/>
          </w:tcPr>
          <w:p w14:paraId="3E9459C6">
            <w:pPr>
              <w:pStyle w:val="30"/>
              <w:bidi w:val="0"/>
              <w:rPr>
                <w:rFonts w:hint="eastAsia" w:ascii="Times New Roman" w:hAnsi="Times New Roman" w:eastAsia="宋体"/>
                <w:color w:val="auto"/>
                <w:kern w:val="0"/>
                <w:sz w:val="24"/>
                <w:szCs w:val="24"/>
                <w:lang w:val="en-US" w:eastAsia="zh-CN" w:bidi="ar-SA"/>
              </w:rPr>
            </w:pPr>
            <w:r>
              <w:rPr>
                <w:rFonts w:hint="eastAsia"/>
                <w:color w:val="auto"/>
                <w:sz w:val="24"/>
                <w:szCs w:val="24"/>
                <w:lang w:val="en-US" w:eastAsia="zh-CN"/>
              </w:rPr>
              <w:t>有机废气车间密闭负压收集废气，通过二级活性炭吸附装置处理达标后由25m高排气筒排放</w:t>
            </w:r>
          </w:p>
        </w:tc>
        <w:tc>
          <w:tcPr>
            <w:tcW w:w="1757" w:type="dxa"/>
            <w:noWrap w:val="0"/>
            <w:vAlign w:val="center"/>
          </w:tcPr>
          <w:p w14:paraId="5E0B11BB">
            <w:pPr>
              <w:pStyle w:val="30"/>
              <w:bidi w:val="0"/>
              <w:rPr>
                <w:rFonts w:hint="eastAsia" w:ascii="Times New Roman" w:hAnsi="Times New Roman" w:eastAsia="宋体"/>
                <w:color w:val="auto"/>
                <w:kern w:val="0"/>
                <w:sz w:val="24"/>
                <w:szCs w:val="24"/>
                <w:lang w:val="en-US" w:eastAsia="zh-CN" w:bidi="ar-SA"/>
              </w:rPr>
            </w:pPr>
            <w:r>
              <w:rPr>
                <w:rFonts w:hint="default" w:ascii="Times New Roman" w:hAnsi="Times New Roman" w:cs="Times New Roman"/>
                <w:color w:val="auto"/>
                <w:sz w:val="24"/>
                <w:szCs w:val="24"/>
                <w:highlight w:val="none"/>
                <w:lang w:val="en-US" w:eastAsia="zh-CN"/>
              </w:rPr>
              <w:t>《工业企业挥发性有机物排放标准》（DB35/1782-2018）表1中标准（非甲烷总烃最高允许排放浓度≤100mg/m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，排放速率≤</w:t>
            </w:r>
            <w:r>
              <w:rPr>
                <w:rFonts w:hint="eastAsia" w:ascii="Times New Roman" w:hAnsi="Times New Roman" w:cs="Times New Roman"/>
                <w:color w:val="auto"/>
                <w:sz w:val="24"/>
                <w:szCs w:val="24"/>
                <w:highlight w:val="none"/>
                <w:lang w:val="en-US" w:eastAsia="zh-CN"/>
              </w:rPr>
              <w:t>5.63kg/</w:t>
            </w:r>
            <w:r>
              <w:rPr>
                <w:rFonts w:hint="eastAsia" w:ascii="Times New Roman" w:hAnsi="Times New Roman" w:eastAsia="宋体" w:cs="宋体"/>
                <w:color w:val="auto"/>
                <w:kern w:val="2"/>
                <w:sz w:val="24"/>
                <w:szCs w:val="24"/>
                <w:highlight w:val="none"/>
                <w:lang w:val="en-US" w:eastAsia="zh-CN" w:bidi="ar-SA"/>
              </w:rPr>
              <w:t>h</w:t>
            </w:r>
            <w:r>
              <w:rPr>
                <w:rFonts w:hint="default" w:ascii="Times New Roman" w:hAnsi="Times New Roman" w:cs="Times New Roman"/>
                <w:color w:val="auto"/>
                <w:sz w:val="24"/>
                <w:szCs w:val="24"/>
                <w:highlight w:val="none"/>
                <w:lang w:val="en-US" w:eastAsia="zh-CN"/>
              </w:rPr>
              <w:t>）</w:t>
            </w:r>
          </w:p>
        </w:tc>
      </w:tr>
      <w:tr w14:paraId="417EB5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34C13DD8">
            <w:pPr>
              <w:adjustRightInd w:val="0"/>
              <w:snapToGrid w:val="0"/>
              <w:jc w:val="center"/>
              <w:rPr>
                <w:rFonts w:hint="eastAsia" w:ascii="Times New Roman" w:hAnsi="Times New Roman" w:cs="宋体"/>
                <w:color w:val="auto"/>
                <w:sz w:val="24"/>
                <w:szCs w:val="24"/>
              </w:rPr>
            </w:pPr>
          </w:p>
        </w:tc>
        <w:tc>
          <w:tcPr>
            <w:tcW w:w="1755" w:type="dxa"/>
            <w:vMerge w:val="restart"/>
            <w:noWrap w:val="0"/>
            <w:vAlign w:val="center"/>
          </w:tcPr>
          <w:p w14:paraId="2D858F42">
            <w:pPr>
              <w:pStyle w:val="30"/>
              <w:bidi w:val="0"/>
              <w:rPr>
                <w:rFonts w:hint="eastAsia" w:ascii="Times New Roman" w:hAnsi="Times New Roman" w:eastAsia="宋体"/>
                <w:color w:val="auto"/>
                <w:kern w:val="0"/>
                <w:sz w:val="24"/>
                <w:szCs w:val="24"/>
                <w:lang w:val="en-US" w:eastAsia="zh-CN" w:bidi="ar-SA"/>
              </w:rPr>
            </w:pPr>
            <w:r>
              <w:rPr>
                <w:rFonts w:hint="eastAsia"/>
                <w:color w:val="auto"/>
                <w:sz w:val="24"/>
                <w:szCs w:val="24"/>
                <w:highlight w:val="none"/>
                <w:lang w:val="en-US" w:eastAsia="zh-CN"/>
              </w:rPr>
              <w:t>厂界/</w:t>
            </w:r>
            <w:r>
              <w:rPr>
                <w:rFonts w:hint="eastAsia" w:ascii="Times New Roman" w:hAnsi="Times New Roman"/>
                <w:color w:val="auto"/>
                <w:sz w:val="24"/>
                <w:szCs w:val="24"/>
                <w:lang w:val="en-US" w:eastAsia="zh-CN"/>
              </w:rPr>
              <w:t>生产车间</w:t>
            </w:r>
          </w:p>
        </w:tc>
        <w:tc>
          <w:tcPr>
            <w:tcW w:w="1755" w:type="dxa"/>
            <w:noWrap w:val="0"/>
            <w:vAlign w:val="center"/>
          </w:tcPr>
          <w:p w14:paraId="47ACD170">
            <w:pPr>
              <w:pStyle w:val="30"/>
              <w:bidi w:val="0"/>
              <w:jc w:val="center"/>
              <w:rPr>
                <w:rFonts w:hint="eastAsia" w:ascii="Times New Roman" w:hAnsi="Times New Roman" w:eastAsia="宋体"/>
                <w:color w:val="auto"/>
                <w:kern w:val="0"/>
                <w:sz w:val="24"/>
                <w:szCs w:val="24"/>
                <w:lang w:val="en-US" w:eastAsia="zh-CN" w:bidi="ar-SA"/>
              </w:rPr>
            </w:pPr>
            <w:r>
              <w:rPr>
                <w:rFonts w:hint="eastAsia"/>
                <w:color w:val="auto"/>
                <w:sz w:val="24"/>
                <w:szCs w:val="24"/>
                <w:highlight w:val="none"/>
                <w:lang w:val="en-US" w:eastAsia="zh-CN"/>
              </w:rPr>
              <w:t>VOCs、乙醇、乙醚、丙酮（以非甲烷总烃计）</w:t>
            </w:r>
          </w:p>
        </w:tc>
        <w:tc>
          <w:tcPr>
            <w:tcW w:w="1755" w:type="dxa"/>
            <w:vMerge w:val="restart"/>
            <w:noWrap w:val="0"/>
            <w:vAlign w:val="center"/>
          </w:tcPr>
          <w:p w14:paraId="105E3CD2">
            <w:pPr>
              <w:pStyle w:val="30"/>
              <w:bidi w:val="0"/>
              <w:rPr>
                <w:rFonts w:hint="eastAsia" w:ascii="Times New Roman" w:hAnsi="Times New Roman" w:eastAsia="宋体"/>
                <w:color w:val="auto"/>
                <w:kern w:val="0"/>
                <w:sz w:val="24"/>
                <w:szCs w:val="24"/>
                <w:lang w:val="en-US" w:eastAsia="zh-CN" w:bidi="ar-SA"/>
              </w:rPr>
            </w:pPr>
            <w:r>
              <w:rPr>
                <w:rFonts w:hint="eastAsia" w:ascii="Times New Roman" w:hAnsi="Times New Roman"/>
                <w:color w:val="auto"/>
                <w:sz w:val="24"/>
                <w:szCs w:val="24"/>
                <w:lang w:val="en-US" w:eastAsia="zh-CN"/>
              </w:rPr>
              <w:t>车间密闭，减少对外界大气环境造成影响</w:t>
            </w:r>
          </w:p>
        </w:tc>
        <w:tc>
          <w:tcPr>
            <w:tcW w:w="1757" w:type="dxa"/>
            <w:noWrap w:val="0"/>
            <w:vAlign w:val="center"/>
          </w:tcPr>
          <w:p w14:paraId="630BD496">
            <w:pPr>
              <w:pStyle w:val="30"/>
              <w:bidi w:val="0"/>
              <w:rPr>
                <w:rFonts w:hint="eastAsia" w:ascii="Times New Roman" w:hAnsi="Times New Roman" w:eastAsia="宋体"/>
                <w:color w:val="auto"/>
                <w:kern w:val="0"/>
                <w:sz w:val="24"/>
                <w:szCs w:val="24"/>
                <w:lang w:val="en-US" w:eastAsia="zh-CN" w:bidi="ar-SA"/>
              </w:rPr>
            </w:pPr>
            <w:r>
              <w:rPr>
                <w:rFonts w:hint="eastAsia"/>
                <w:color w:val="auto"/>
                <w:sz w:val="24"/>
                <w:szCs w:val="24"/>
                <w:highlight w:val="none"/>
                <w:lang w:val="en-US" w:eastAsia="zh-CN"/>
              </w:rPr>
              <w:t>《工业企业挥发性有机物排放标准》（DB35/1782-2018）表3标准（非甲烷总烃企业边界监控点浓度限值2.0mg/m</w:t>
            </w:r>
            <w:r>
              <w:rPr>
                <w:rFonts w:hint="eastAsia"/>
                <w:color w:val="auto"/>
                <w:sz w:val="24"/>
                <w:szCs w:val="24"/>
                <w:highlight w:val="none"/>
                <w:vertAlign w:val="superscript"/>
                <w:lang w:val="en-US" w:eastAsia="zh-CN"/>
              </w:rPr>
              <w:t>3</w:t>
            </w:r>
          </w:p>
        </w:tc>
      </w:tr>
      <w:tr w14:paraId="2B775B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12177166">
            <w:pPr>
              <w:adjustRightInd w:val="0"/>
              <w:snapToGrid w:val="0"/>
              <w:jc w:val="center"/>
              <w:rPr>
                <w:rFonts w:hint="eastAsia" w:ascii="Times New Roman" w:hAnsi="Times New Roman" w:cs="宋体"/>
                <w:color w:val="auto"/>
                <w:sz w:val="24"/>
                <w:szCs w:val="24"/>
              </w:rPr>
            </w:pPr>
          </w:p>
        </w:tc>
        <w:tc>
          <w:tcPr>
            <w:tcW w:w="1755" w:type="dxa"/>
            <w:vMerge w:val="continue"/>
            <w:noWrap w:val="0"/>
            <w:vAlign w:val="center"/>
          </w:tcPr>
          <w:p w14:paraId="17DE8A79">
            <w:pPr>
              <w:pStyle w:val="30"/>
              <w:bidi w:val="0"/>
              <w:rPr>
                <w:rFonts w:hint="eastAsia"/>
                <w:color w:val="auto"/>
                <w:sz w:val="24"/>
                <w:szCs w:val="24"/>
                <w:highlight w:val="none"/>
                <w:lang w:val="en-US" w:eastAsia="zh-CN"/>
              </w:rPr>
            </w:pPr>
          </w:p>
        </w:tc>
        <w:tc>
          <w:tcPr>
            <w:tcW w:w="1755" w:type="dxa"/>
            <w:noWrap w:val="0"/>
            <w:vAlign w:val="center"/>
          </w:tcPr>
          <w:p w14:paraId="2416B91F">
            <w:pPr>
              <w:pStyle w:val="30"/>
              <w:bidi w:val="0"/>
              <w:jc w:val="center"/>
              <w:rPr>
                <w:rFonts w:hint="default"/>
                <w:color w:val="auto"/>
                <w:sz w:val="24"/>
                <w:szCs w:val="24"/>
                <w:highlight w:val="none"/>
                <w:lang w:val="en-US" w:eastAsia="zh-CN"/>
              </w:rPr>
            </w:pPr>
            <w:r>
              <w:rPr>
                <w:rFonts w:hint="eastAsia"/>
                <w:color w:val="auto"/>
                <w:sz w:val="24"/>
                <w:szCs w:val="24"/>
                <w:highlight w:val="none"/>
                <w:lang w:val="en-US" w:eastAsia="zh-CN"/>
              </w:rPr>
              <w:t>颗粒物</w:t>
            </w:r>
          </w:p>
        </w:tc>
        <w:tc>
          <w:tcPr>
            <w:tcW w:w="1755" w:type="dxa"/>
            <w:vMerge w:val="continue"/>
            <w:noWrap w:val="0"/>
            <w:vAlign w:val="center"/>
          </w:tcPr>
          <w:p w14:paraId="7ED56ADF">
            <w:pPr>
              <w:pStyle w:val="30"/>
              <w:bidi w:val="0"/>
              <w:rPr>
                <w:rFonts w:hint="eastAsia" w:ascii="Times New Roman" w:hAnsi="Times New Roman"/>
                <w:color w:val="auto"/>
                <w:sz w:val="24"/>
                <w:szCs w:val="24"/>
                <w:lang w:val="en-US" w:eastAsia="zh-CN"/>
              </w:rPr>
            </w:pPr>
          </w:p>
        </w:tc>
        <w:tc>
          <w:tcPr>
            <w:tcW w:w="1757" w:type="dxa"/>
            <w:noWrap w:val="0"/>
            <w:vAlign w:val="center"/>
          </w:tcPr>
          <w:p w14:paraId="1E73B621">
            <w:pPr>
              <w:pStyle w:val="30"/>
              <w:bidi w:val="0"/>
              <w:rPr>
                <w:rFonts w:hint="eastAsia"/>
                <w:color w:val="auto"/>
                <w:sz w:val="24"/>
                <w:szCs w:val="24"/>
                <w:highlight w:val="none"/>
                <w:lang w:val="en-US" w:eastAsia="zh-CN"/>
              </w:rPr>
            </w:pPr>
            <w:r>
              <w:rPr>
                <w:rFonts w:hint="eastAsia"/>
                <w:color w:val="auto"/>
                <w:sz w:val="24"/>
                <w:szCs w:val="24"/>
                <w:highlight w:val="none"/>
                <w:lang w:val="en-US" w:eastAsia="zh-CN"/>
              </w:rPr>
              <w:t>《大气污染物综合排放标准》（GB 16297-1996）表2中无组织排放监控浓度限值1.0mg/m</w:t>
            </w:r>
            <w:r>
              <w:rPr>
                <w:rFonts w:hint="eastAsia"/>
                <w:color w:val="auto"/>
                <w:sz w:val="24"/>
                <w:szCs w:val="24"/>
                <w:highlight w:val="none"/>
                <w:vertAlign w:val="superscript"/>
                <w:lang w:val="en-US" w:eastAsia="zh-CN"/>
              </w:rPr>
              <w:t>3</w:t>
            </w:r>
          </w:p>
        </w:tc>
      </w:tr>
      <w:tr w14:paraId="5320E7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4E21A56D">
            <w:pPr>
              <w:adjustRightInd w:val="0"/>
              <w:snapToGrid w:val="0"/>
              <w:jc w:val="center"/>
              <w:rPr>
                <w:rFonts w:hint="eastAsia" w:ascii="Times New Roman" w:hAnsi="Times New Roman" w:cs="宋体"/>
                <w:color w:val="auto"/>
                <w:sz w:val="24"/>
                <w:szCs w:val="24"/>
              </w:rPr>
            </w:pPr>
          </w:p>
        </w:tc>
        <w:tc>
          <w:tcPr>
            <w:tcW w:w="1755" w:type="dxa"/>
            <w:noWrap w:val="0"/>
            <w:vAlign w:val="center"/>
          </w:tcPr>
          <w:p w14:paraId="5BBF54A2">
            <w:pPr>
              <w:pStyle w:val="30"/>
              <w:bidi w:val="0"/>
              <w:rPr>
                <w:rFonts w:hint="eastAsia"/>
                <w:color w:val="auto"/>
                <w:sz w:val="24"/>
                <w:szCs w:val="24"/>
                <w:highlight w:val="none"/>
                <w:lang w:val="en-US" w:eastAsia="zh-CN"/>
              </w:rPr>
            </w:pPr>
            <w:r>
              <w:rPr>
                <w:rFonts w:hint="eastAsia"/>
                <w:color w:val="auto"/>
                <w:sz w:val="24"/>
                <w:szCs w:val="24"/>
                <w:highlight w:val="none"/>
                <w:lang w:val="en-US" w:eastAsia="zh-CN"/>
              </w:rPr>
              <w:t>厂区内/生产车间</w:t>
            </w:r>
          </w:p>
        </w:tc>
        <w:tc>
          <w:tcPr>
            <w:tcW w:w="1755" w:type="dxa"/>
            <w:noWrap w:val="0"/>
            <w:vAlign w:val="center"/>
          </w:tcPr>
          <w:p w14:paraId="520BC87F">
            <w:pPr>
              <w:pStyle w:val="30"/>
              <w:bidi w:val="0"/>
              <w:rPr>
                <w:rFonts w:hint="eastAsia" w:ascii="Times New Roman" w:hAnsi="Times New Roman"/>
                <w:color w:val="auto"/>
                <w:sz w:val="24"/>
                <w:szCs w:val="24"/>
                <w:lang w:val="en-US" w:eastAsia="zh-CN"/>
              </w:rPr>
            </w:pPr>
            <w:r>
              <w:rPr>
                <w:rFonts w:hint="eastAsia"/>
                <w:color w:val="auto"/>
                <w:sz w:val="24"/>
                <w:szCs w:val="24"/>
                <w:highlight w:val="none"/>
                <w:lang w:val="en-US" w:eastAsia="zh-CN"/>
              </w:rPr>
              <w:t>VOCs、乙醇、乙醚、丙酮（以非甲烷总烃计）</w:t>
            </w:r>
          </w:p>
        </w:tc>
        <w:tc>
          <w:tcPr>
            <w:tcW w:w="1755" w:type="dxa"/>
            <w:noWrap w:val="0"/>
            <w:vAlign w:val="center"/>
          </w:tcPr>
          <w:p w14:paraId="5EE1521A">
            <w:pPr>
              <w:pStyle w:val="30"/>
              <w:bidi w:val="0"/>
              <w:rPr>
                <w:rFonts w:hint="eastAsia" w:ascii="Times New Roman" w:hAnsi="Times New Roman"/>
                <w:color w:val="auto"/>
                <w:sz w:val="24"/>
                <w:szCs w:val="24"/>
                <w:lang w:val="en-US" w:eastAsia="zh-CN"/>
              </w:rPr>
            </w:pPr>
            <w:r>
              <w:rPr>
                <w:rFonts w:hint="eastAsia"/>
                <w:color w:val="auto"/>
                <w:sz w:val="24"/>
                <w:szCs w:val="24"/>
                <w:highlight w:val="none"/>
                <w:lang w:val="en-US" w:eastAsia="zh-CN"/>
              </w:rPr>
              <w:t>车间密闭，减少对外界大气环境造成影响</w:t>
            </w:r>
          </w:p>
        </w:tc>
        <w:tc>
          <w:tcPr>
            <w:tcW w:w="1757" w:type="dxa"/>
            <w:noWrap w:val="0"/>
            <w:vAlign w:val="center"/>
          </w:tcPr>
          <w:p w14:paraId="25B70CEA">
            <w:pPr>
              <w:pStyle w:val="30"/>
              <w:bidi w:val="0"/>
              <w:rPr>
                <w:rFonts w:hint="default"/>
                <w:color w:val="auto"/>
                <w:sz w:val="24"/>
                <w:szCs w:val="24"/>
                <w:highlight w:val="none"/>
                <w:lang w:val="en-US" w:eastAsia="zh-CN"/>
              </w:rPr>
            </w:pPr>
            <w:r>
              <w:rPr>
                <w:rFonts w:hint="eastAsia"/>
                <w:color w:val="auto"/>
                <w:sz w:val="24"/>
                <w:szCs w:val="24"/>
                <w:highlight w:val="none"/>
                <w:lang w:val="en-US" w:eastAsia="zh-CN"/>
              </w:rPr>
              <w:t>项目VOCs、乙醇、乙醚、丙酮（以非甲烷总烃计）厂区内无组织排放执行《挥发性有机物无组织排放控制标准》（GB37822-2019）中附录A表A.1无组织排放限值，监控点处1h平均浓度值≤10mg/m</w:t>
            </w:r>
            <w:r>
              <w:rPr>
                <w:rFonts w:hint="eastAsia"/>
                <w:color w:val="auto"/>
                <w:sz w:val="24"/>
                <w:szCs w:val="24"/>
                <w:highlight w:val="none"/>
                <w:vertAlign w:val="superscript"/>
                <w:lang w:val="en-US" w:eastAsia="zh-CN"/>
              </w:rPr>
              <w:t>3</w:t>
            </w:r>
            <w:r>
              <w:rPr>
                <w:rFonts w:hint="eastAsia"/>
                <w:color w:val="auto"/>
                <w:sz w:val="24"/>
                <w:szCs w:val="24"/>
                <w:highlight w:val="none"/>
                <w:lang w:val="en-US" w:eastAsia="zh-CN"/>
              </w:rPr>
              <w:t>，</w:t>
            </w:r>
          </w:p>
          <w:p w14:paraId="6C9CAB7A">
            <w:pPr>
              <w:pStyle w:val="30"/>
              <w:bidi w:val="0"/>
              <w:rPr>
                <w:rFonts w:hint="eastAsia"/>
                <w:color w:val="auto"/>
                <w:sz w:val="24"/>
                <w:szCs w:val="24"/>
                <w:highlight w:val="none"/>
                <w:lang w:val="en-US" w:eastAsia="zh-CN"/>
              </w:rPr>
            </w:pPr>
            <w:r>
              <w:rPr>
                <w:rFonts w:hint="eastAsia"/>
                <w:color w:val="auto"/>
                <w:sz w:val="24"/>
                <w:szCs w:val="24"/>
                <w:highlight w:val="none"/>
                <w:lang w:val="en-US" w:eastAsia="zh-CN"/>
              </w:rPr>
              <w:t>监控点处任意一次浓度值≤30mg/m</w:t>
            </w:r>
            <w:r>
              <w:rPr>
                <w:rFonts w:hint="eastAsia"/>
                <w:color w:val="auto"/>
                <w:sz w:val="24"/>
                <w:szCs w:val="24"/>
                <w:highlight w:val="none"/>
                <w:vertAlign w:val="superscript"/>
                <w:lang w:val="en-US" w:eastAsia="zh-CN"/>
              </w:rPr>
              <w:t>3</w:t>
            </w:r>
            <w:r>
              <w:rPr>
                <w:rFonts w:hint="eastAsia"/>
                <w:color w:val="auto"/>
                <w:sz w:val="24"/>
                <w:szCs w:val="24"/>
                <w:highlight w:val="none"/>
                <w:vertAlign w:val="baseline"/>
                <w:lang w:val="en-US" w:eastAsia="zh-CN"/>
              </w:rPr>
              <w:t>，《工业企业挥发性有机物排放标准》（DB35/1782-2018）表2中厂区内监控点浓度限值，浓度限值为8.0mg/m</w:t>
            </w:r>
            <w:r>
              <w:rPr>
                <w:rFonts w:hint="eastAsia"/>
                <w:color w:val="auto"/>
                <w:sz w:val="24"/>
                <w:szCs w:val="24"/>
                <w:highlight w:val="none"/>
                <w:vertAlign w:val="superscript"/>
                <w:lang w:val="en-US" w:eastAsia="zh-CN"/>
              </w:rPr>
              <w:t>3</w:t>
            </w:r>
          </w:p>
        </w:tc>
      </w:tr>
      <w:tr w14:paraId="46A9E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14:paraId="08F8C4AD">
            <w:pPr>
              <w:adjustRightInd w:val="0"/>
              <w:snapToGrid w:val="0"/>
              <w:jc w:val="center"/>
              <w:rPr>
                <w:rFonts w:hint="eastAsia" w:ascii="Times New Roman" w:hAnsi="Times New Roman" w:cs="宋体"/>
                <w:color w:val="auto"/>
                <w:sz w:val="24"/>
                <w:szCs w:val="24"/>
              </w:rPr>
            </w:pPr>
            <w:r>
              <w:rPr>
                <w:rFonts w:hint="eastAsia" w:ascii="Times New Roman" w:hAnsi="Times New Roman" w:cs="宋体"/>
                <w:color w:val="auto"/>
                <w:sz w:val="24"/>
                <w:szCs w:val="24"/>
              </w:rPr>
              <w:t>地表水环境</w:t>
            </w:r>
          </w:p>
        </w:tc>
        <w:tc>
          <w:tcPr>
            <w:tcW w:w="1755" w:type="dxa"/>
            <w:noWrap w:val="0"/>
            <w:vAlign w:val="center"/>
          </w:tcPr>
          <w:p w14:paraId="585BC1DA">
            <w:pPr>
              <w:pStyle w:val="30"/>
              <w:bidi w:val="0"/>
              <w:rPr>
                <w:rFonts w:hint="eastAsia" w:ascii="Times New Roman" w:hAnsi="Times New Roman" w:eastAsia="宋体"/>
                <w:color w:val="auto"/>
                <w:kern w:val="0"/>
                <w:sz w:val="24"/>
                <w:szCs w:val="24"/>
                <w:lang w:val="en-US" w:eastAsia="zh-CN" w:bidi="ar-SA"/>
              </w:rPr>
            </w:pPr>
            <w:r>
              <w:rPr>
                <w:rFonts w:hint="eastAsia" w:ascii="Times New Roman" w:hAnsi="Times New Roman"/>
                <w:color w:val="auto"/>
                <w:sz w:val="24"/>
                <w:szCs w:val="24"/>
                <w:lang w:val="en-US" w:eastAsia="zh-CN"/>
              </w:rPr>
              <w:t>生产废水排放口（DW001）/生产废水</w:t>
            </w:r>
          </w:p>
        </w:tc>
        <w:tc>
          <w:tcPr>
            <w:tcW w:w="1755" w:type="dxa"/>
            <w:noWrap w:val="0"/>
            <w:vAlign w:val="center"/>
          </w:tcPr>
          <w:p w14:paraId="198EA703">
            <w:pPr>
              <w:pStyle w:val="30"/>
              <w:bidi w:val="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pH值、COD、SS、BOD</w:t>
            </w:r>
            <w:r>
              <w:rPr>
                <w:rFonts w:hint="eastAsia" w:ascii="Times New Roman" w:hAnsi="Times New Roman" w:eastAsia="宋体" w:cs="Times New Roman"/>
                <w:color w:val="auto"/>
                <w:sz w:val="24"/>
                <w:szCs w:val="24"/>
                <w:vertAlign w:val="subscript"/>
                <w:lang w:val="en-US" w:eastAsia="zh-CN"/>
              </w:rPr>
              <w:t>5</w:t>
            </w:r>
            <w:r>
              <w:rPr>
                <w:rFonts w:hint="eastAsia" w:ascii="Times New Roman" w:hAnsi="Times New Roman" w:eastAsia="宋体" w:cs="Times New Roman"/>
                <w:color w:val="auto"/>
                <w:sz w:val="24"/>
                <w:szCs w:val="24"/>
                <w:lang w:val="en-US" w:eastAsia="zh-CN"/>
              </w:rPr>
              <w:t>、NH</w:t>
            </w:r>
            <w:r>
              <w:rPr>
                <w:rFonts w:hint="eastAsia" w:ascii="Times New Roman" w:hAnsi="Times New Roman" w:eastAsia="宋体" w:cs="Times New Roman"/>
                <w:color w:val="auto"/>
                <w:sz w:val="24"/>
                <w:szCs w:val="24"/>
                <w:vertAlign w:val="subscript"/>
                <w:lang w:val="en-US" w:eastAsia="zh-CN"/>
              </w:rPr>
              <w:t>3</w:t>
            </w:r>
            <w:r>
              <w:rPr>
                <w:rFonts w:hint="eastAsia" w:ascii="Times New Roman" w:hAnsi="Times New Roman" w:eastAsia="宋体" w:cs="Times New Roman"/>
                <w:color w:val="auto"/>
                <w:sz w:val="24"/>
                <w:szCs w:val="24"/>
                <w:lang w:val="en-US" w:eastAsia="zh-CN"/>
              </w:rPr>
              <w:t>-N</w:t>
            </w:r>
            <w:r>
              <w:rPr>
                <w:rFonts w:hint="eastAsia" w:cs="Times New Roman"/>
                <w:color w:val="auto"/>
                <w:sz w:val="24"/>
                <w:szCs w:val="24"/>
                <w:lang w:val="en-US" w:eastAsia="zh-CN"/>
              </w:rPr>
              <w:t>、LAS</w:t>
            </w:r>
          </w:p>
        </w:tc>
        <w:tc>
          <w:tcPr>
            <w:tcW w:w="1755" w:type="dxa"/>
            <w:noWrap w:val="0"/>
            <w:vAlign w:val="center"/>
          </w:tcPr>
          <w:p w14:paraId="2C1AA0BF">
            <w:pPr>
              <w:pStyle w:val="30"/>
              <w:bidi w:val="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铣磨废水、抛光废水、磨边废水、超洗废水经过三级沉淀池沉淀处理达标后排入市政管网，纳入大学城污水处理厂；纯水槽的纯水与非纯净废水直接排入市政管网，纳入大学城污水处理</w:t>
            </w:r>
          </w:p>
        </w:tc>
        <w:tc>
          <w:tcPr>
            <w:tcW w:w="1757" w:type="dxa"/>
            <w:noWrap w:val="0"/>
            <w:vAlign w:val="center"/>
          </w:tcPr>
          <w:p w14:paraId="7E3E6297">
            <w:pPr>
              <w:pStyle w:val="30"/>
              <w:bidi w:val="0"/>
              <w:rPr>
                <w:rFonts w:hint="eastAsia" w:ascii="Times New Roman" w:hAnsi="Times New Roman" w:eastAsia="宋体"/>
                <w:color w:val="auto"/>
                <w:kern w:val="0"/>
                <w:sz w:val="24"/>
                <w:szCs w:val="24"/>
                <w:lang w:val="en-US" w:eastAsia="zh-CN" w:bidi="ar-SA"/>
              </w:rPr>
            </w:pP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污水综合排放标准</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GB8978-1996</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表4三级标准（（pH值在6-9之间，BOD</w:t>
            </w:r>
            <w:r>
              <w:rPr>
                <w:rFonts w:hint="eastAsia" w:ascii="Times New Roman" w:hAnsi="Times New Roman"/>
                <w:color w:val="auto"/>
                <w:sz w:val="24"/>
                <w:szCs w:val="24"/>
                <w:vertAlign w:val="subscript"/>
                <w:lang w:val="en-US" w:eastAsia="zh-CN"/>
              </w:rPr>
              <w:t>5</w:t>
            </w:r>
            <w:r>
              <w:rPr>
                <w:rFonts w:hint="eastAsia" w:ascii="Times New Roman" w:hAnsi="Times New Roman"/>
                <w:color w:val="auto"/>
                <w:sz w:val="24"/>
                <w:szCs w:val="24"/>
                <w:lang w:val="en-US" w:eastAsia="zh-CN"/>
              </w:rPr>
              <w:t>≤300mg/L，COD≤500mg/L、SS≤400mg/L</w:t>
            </w:r>
            <w:r>
              <w:rPr>
                <w:rFonts w:hint="eastAsia"/>
                <w:color w:val="auto"/>
                <w:sz w:val="24"/>
                <w:szCs w:val="24"/>
                <w:lang w:val="en-US" w:eastAsia="zh-CN"/>
              </w:rPr>
              <w:t>、</w:t>
            </w:r>
            <w:r>
              <w:rPr>
                <w:color w:val="auto"/>
                <w:spacing w:val="6"/>
                <w:sz w:val="24"/>
                <w:szCs w:val="24"/>
                <w:lang w:eastAsia="zh-CN"/>
              </w:rPr>
              <w:t>阴离子表面活性剂</w:t>
            </w:r>
            <w:r>
              <w:rPr>
                <w:rFonts w:hint="eastAsia"/>
                <w:color w:val="auto"/>
                <w:sz w:val="24"/>
                <w:szCs w:val="24"/>
              </w:rPr>
              <w:t>≤</w:t>
            </w:r>
            <w:r>
              <w:rPr>
                <w:rFonts w:hint="eastAsia"/>
                <w:color w:val="auto"/>
                <w:sz w:val="24"/>
                <w:szCs w:val="24"/>
                <w:lang w:val="en-US" w:eastAsia="zh-CN"/>
              </w:rPr>
              <w:t>20</w:t>
            </w:r>
            <w:r>
              <w:rPr>
                <w:rFonts w:hint="eastAsia"/>
                <w:color w:val="auto"/>
                <w:sz w:val="24"/>
                <w:szCs w:val="24"/>
              </w:rPr>
              <w:t>mg/L</w:t>
            </w:r>
            <w:r>
              <w:rPr>
                <w:rFonts w:hint="eastAsia" w:ascii="Times New Roman" w:hAnsi="Times New Roman"/>
                <w:color w:val="auto"/>
                <w:sz w:val="24"/>
                <w:szCs w:val="24"/>
                <w:lang w:val="en-US" w:eastAsia="zh-CN"/>
              </w:rPr>
              <w:t>），氨氮执行《污水排入城镇下水道水质标准》（GB/T31962-2015）一级B标准（NH</w:t>
            </w:r>
            <w:r>
              <w:rPr>
                <w:rFonts w:hint="eastAsia" w:ascii="Times New Roman" w:hAnsi="Times New Roman"/>
                <w:color w:val="auto"/>
                <w:sz w:val="24"/>
                <w:szCs w:val="24"/>
                <w:vertAlign w:val="subscript"/>
                <w:lang w:val="en-US" w:eastAsia="zh-CN"/>
              </w:rPr>
              <w:t>3</w:t>
            </w:r>
            <w:r>
              <w:rPr>
                <w:rFonts w:hint="eastAsia" w:ascii="Times New Roman" w:hAnsi="Times New Roman"/>
                <w:color w:val="auto"/>
                <w:sz w:val="24"/>
                <w:szCs w:val="24"/>
                <w:lang w:val="en-US" w:eastAsia="zh-CN"/>
              </w:rPr>
              <w:t>-N≤45mg/L））</w:t>
            </w:r>
          </w:p>
        </w:tc>
      </w:tr>
      <w:tr w14:paraId="116F91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14:paraId="2C19C5AA">
            <w:pPr>
              <w:adjustRightInd w:val="0"/>
              <w:snapToGrid w:val="0"/>
              <w:jc w:val="center"/>
              <w:rPr>
                <w:rFonts w:hint="eastAsia" w:ascii="Times New Roman" w:hAnsi="Times New Roman" w:cs="宋体"/>
                <w:color w:val="auto"/>
                <w:sz w:val="24"/>
                <w:szCs w:val="24"/>
              </w:rPr>
            </w:pPr>
          </w:p>
        </w:tc>
        <w:tc>
          <w:tcPr>
            <w:tcW w:w="1755" w:type="dxa"/>
            <w:noWrap w:val="0"/>
            <w:vAlign w:val="center"/>
          </w:tcPr>
          <w:p w14:paraId="5BDF047A">
            <w:pPr>
              <w:pStyle w:val="30"/>
              <w:bidi w:val="0"/>
              <w:rPr>
                <w:rFonts w:hint="eastAsia" w:ascii="Times New Roman" w:hAnsi="Times New Roman" w:eastAsia="宋体"/>
                <w:color w:val="auto"/>
                <w:kern w:val="0"/>
                <w:sz w:val="24"/>
                <w:szCs w:val="24"/>
                <w:lang w:val="en-US" w:eastAsia="zh-CN" w:bidi="ar-SA"/>
              </w:rPr>
            </w:pPr>
            <w:r>
              <w:rPr>
                <w:rFonts w:hint="eastAsia" w:ascii="Times New Roman" w:hAnsi="Times New Roman"/>
                <w:color w:val="auto"/>
                <w:sz w:val="24"/>
                <w:szCs w:val="24"/>
                <w:lang w:val="en-US" w:eastAsia="zh-CN"/>
              </w:rPr>
              <w:t>生活污水排放口（DW002）/生活污水</w:t>
            </w:r>
          </w:p>
        </w:tc>
        <w:tc>
          <w:tcPr>
            <w:tcW w:w="1755" w:type="dxa"/>
            <w:noWrap w:val="0"/>
            <w:vAlign w:val="center"/>
          </w:tcPr>
          <w:p w14:paraId="4CB54625">
            <w:pPr>
              <w:pStyle w:val="30"/>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val="en-US" w:eastAsia="zh-CN"/>
              </w:rPr>
              <w:t>pH值、COD、SS、BOD</w:t>
            </w:r>
            <w:r>
              <w:rPr>
                <w:rFonts w:hint="eastAsia" w:ascii="Times New Roman" w:hAnsi="Times New Roman" w:eastAsia="宋体"/>
                <w:color w:val="auto"/>
                <w:sz w:val="24"/>
                <w:szCs w:val="24"/>
                <w:vertAlign w:val="subscript"/>
                <w:lang w:val="en-US" w:eastAsia="zh-CN"/>
              </w:rPr>
              <w:t>5</w:t>
            </w:r>
            <w:r>
              <w:rPr>
                <w:rFonts w:hint="eastAsia" w:ascii="Times New Roman" w:hAnsi="Times New Roman" w:eastAsia="宋体"/>
                <w:color w:val="auto"/>
                <w:sz w:val="24"/>
                <w:szCs w:val="24"/>
                <w:lang w:val="en-US" w:eastAsia="zh-CN"/>
              </w:rPr>
              <w:t>、NH</w:t>
            </w:r>
            <w:r>
              <w:rPr>
                <w:rFonts w:hint="eastAsia" w:ascii="Times New Roman" w:hAnsi="Times New Roman" w:eastAsia="宋体"/>
                <w:color w:val="auto"/>
                <w:sz w:val="24"/>
                <w:szCs w:val="24"/>
                <w:vertAlign w:val="subscript"/>
                <w:lang w:val="en-US" w:eastAsia="zh-CN"/>
              </w:rPr>
              <w:t>3</w:t>
            </w:r>
            <w:r>
              <w:rPr>
                <w:rFonts w:hint="eastAsia" w:ascii="Times New Roman" w:hAnsi="Times New Roman" w:eastAsia="宋体"/>
                <w:color w:val="auto"/>
                <w:sz w:val="24"/>
                <w:szCs w:val="24"/>
                <w:lang w:val="en-US" w:eastAsia="zh-CN"/>
              </w:rPr>
              <w:t>-N</w:t>
            </w:r>
          </w:p>
        </w:tc>
        <w:tc>
          <w:tcPr>
            <w:tcW w:w="1755" w:type="dxa"/>
            <w:noWrap w:val="0"/>
            <w:vAlign w:val="center"/>
          </w:tcPr>
          <w:p w14:paraId="3D0ED7CC">
            <w:pPr>
              <w:pStyle w:val="30"/>
              <w:bidi w:val="0"/>
              <w:rPr>
                <w:rFonts w:hint="eastAsia" w:ascii="Times New Roman" w:hAnsi="Times New Roman" w:eastAsia="宋体"/>
                <w:color w:val="auto"/>
                <w:kern w:val="0"/>
                <w:sz w:val="24"/>
                <w:szCs w:val="24"/>
                <w:lang w:val="en-US" w:eastAsia="zh-CN" w:bidi="ar-SA"/>
              </w:rPr>
            </w:pPr>
            <w:r>
              <w:rPr>
                <w:rFonts w:hint="eastAsia" w:ascii="Times New Roman" w:hAnsi="Times New Roman"/>
                <w:color w:val="auto"/>
                <w:sz w:val="24"/>
                <w:szCs w:val="24"/>
                <w:lang w:val="en-US" w:eastAsia="zh-CN"/>
              </w:rPr>
              <w:t>生活污水经化粪池处理达标后，排入市政污水管网，纳入大学城污水处理厂</w:t>
            </w:r>
          </w:p>
        </w:tc>
        <w:tc>
          <w:tcPr>
            <w:tcW w:w="1757" w:type="dxa"/>
            <w:noWrap w:val="0"/>
            <w:vAlign w:val="center"/>
          </w:tcPr>
          <w:p w14:paraId="249CBDB9">
            <w:pPr>
              <w:pStyle w:val="30"/>
              <w:bidi w:val="0"/>
              <w:rPr>
                <w:rFonts w:hint="eastAsia" w:ascii="Times New Roman" w:hAnsi="Times New Roman" w:eastAsia="宋体"/>
                <w:color w:val="auto"/>
                <w:kern w:val="0"/>
                <w:sz w:val="24"/>
                <w:szCs w:val="24"/>
                <w:lang w:val="en-US" w:eastAsia="zh-CN" w:bidi="ar-SA"/>
              </w:rPr>
            </w:pP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污水综合排放标准</w:t>
            </w: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GB8978-1996</w:t>
            </w: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表4三级标准（（pH值在6-9之间，BOD</w:t>
            </w:r>
            <w:r>
              <w:rPr>
                <w:rFonts w:hint="eastAsia" w:ascii="Times New Roman" w:hAnsi="Times New Roman" w:eastAsia="宋体"/>
                <w:color w:val="auto"/>
                <w:sz w:val="24"/>
                <w:szCs w:val="24"/>
                <w:vertAlign w:val="subscript"/>
                <w:lang w:val="en-US" w:eastAsia="zh-CN"/>
              </w:rPr>
              <w:t>5</w:t>
            </w:r>
            <w:r>
              <w:rPr>
                <w:rFonts w:hint="eastAsia" w:ascii="Times New Roman" w:hAnsi="Times New Roman" w:eastAsia="宋体"/>
                <w:color w:val="auto"/>
                <w:sz w:val="24"/>
                <w:szCs w:val="24"/>
                <w:lang w:val="en-US" w:eastAsia="zh-CN"/>
              </w:rPr>
              <w:t>≤300mg/L，COD≤500mg/L、SS≤400mg/L），氨氮执行《污水排入城镇下水道水质标准》（GB/T31962-2015）一级B标准（NH</w:t>
            </w:r>
            <w:r>
              <w:rPr>
                <w:rFonts w:hint="eastAsia" w:ascii="Times New Roman" w:hAnsi="Times New Roman" w:eastAsia="宋体"/>
                <w:color w:val="auto"/>
                <w:sz w:val="24"/>
                <w:szCs w:val="24"/>
                <w:vertAlign w:val="subscript"/>
                <w:lang w:val="en-US" w:eastAsia="zh-CN"/>
              </w:rPr>
              <w:t>3</w:t>
            </w:r>
            <w:r>
              <w:rPr>
                <w:rFonts w:hint="eastAsia" w:ascii="Times New Roman" w:hAnsi="Times New Roman" w:eastAsia="宋体"/>
                <w:color w:val="auto"/>
                <w:sz w:val="24"/>
                <w:szCs w:val="24"/>
                <w:lang w:val="en-US" w:eastAsia="zh-CN"/>
              </w:rPr>
              <w:t>-N≤45mg/L））</w:t>
            </w:r>
          </w:p>
        </w:tc>
      </w:tr>
      <w:tr w14:paraId="0CDDD7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1F98F5A1">
            <w:pPr>
              <w:adjustRightInd w:val="0"/>
              <w:snapToGrid w:val="0"/>
              <w:jc w:val="center"/>
              <w:rPr>
                <w:rFonts w:hint="eastAsia" w:ascii="Times New Roman" w:hAnsi="Times New Roman" w:cs="宋体"/>
                <w:color w:val="auto"/>
                <w:sz w:val="24"/>
                <w:szCs w:val="24"/>
              </w:rPr>
            </w:pPr>
            <w:r>
              <w:rPr>
                <w:rFonts w:hint="eastAsia" w:ascii="Times New Roman" w:hAnsi="Times New Roman" w:cs="宋体"/>
                <w:color w:val="auto"/>
                <w:sz w:val="24"/>
                <w:szCs w:val="24"/>
              </w:rPr>
              <w:t>声环境</w:t>
            </w:r>
          </w:p>
        </w:tc>
        <w:tc>
          <w:tcPr>
            <w:tcW w:w="1755" w:type="dxa"/>
            <w:noWrap w:val="0"/>
            <w:vAlign w:val="center"/>
          </w:tcPr>
          <w:p w14:paraId="3BF4585A">
            <w:pPr>
              <w:pStyle w:val="30"/>
              <w:bidi w:val="0"/>
              <w:jc w:val="center"/>
              <w:rPr>
                <w:rFonts w:hint="eastAsia" w:ascii="Times New Roman" w:hAnsi="Times New Roman" w:eastAsia="宋体"/>
                <w:color w:val="auto"/>
                <w:kern w:val="0"/>
                <w:sz w:val="24"/>
                <w:szCs w:val="24"/>
                <w:lang w:val="en-US" w:eastAsia="zh-CN" w:bidi="ar-SA"/>
              </w:rPr>
            </w:pPr>
            <w:r>
              <w:rPr>
                <w:rFonts w:hint="eastAsia" w:ascii="Times New Roman" w:hAnsi="Times New Roman"/>
                <w:color w:val="auto"/>
                <w:sz w:val="24"/>
                <w:szCs w:val="24"/>
              </w:rPr>
              <w:t>厂界噪声/生产设备</w:t>
            </w:r>
          </w:p>
        </w:tc>
        <w:tc>
          <w:tcPr>
            <w:tcW w:w="1755" w:type="dxa"/>
            <w:noWrap w:val="0"/>
            <w:vAlign w:val="center"/>
          </w:tcPr>
          <w:p w14:paraId="28F54DEA">
            <w:pPr>
              <w:pStyle w:val="30"/>
              <w:bidi w:val="0"/>
              <w:jc w:val="center"/>
              <w:rPr>
                <w:rFonts w:hint="eastAsia" w:ascii="Times New Roman" w:hAnsi="Times New Roman" w:eastAsia="宋体"/>
                <w:color w:val="auto"/>
                <w:kern w:val="0"/>
                <w:sz w:val="24"/>
                <w:szCs w:val="24"/>
                <w:lang w:val="en-US" w:eastAsia="zh-CN" w:bidi="ar-SA"/>
              </w:rPr>
            </w:pPr>
            <w:r>
              <w:rPr>
                <w:rFonts w:hint="eastAsia" w:ascii="Times New Roman" w:hAnsi="Times New Roman"/>
                <w:color w:val="auto"/>
                <w:sz w:val="24"/>
                <w:szCs w:val="24"/>
                <w:lang w:val="en-US" w:eastAsia="zh-CN"/>
              </w:rPr>
              <w:t>连续</w:t>
            </w:r>
            <w:r>
              <w:rPr>
                <w:rFonts w:hint="eastAsia" w:ascii="Times New Roman" w:hAnsi="Times New Roman"/>
                <w:color w:val="auto"/>
                <w:sz w:val="24"/>
                <w:szCs w:val="24"/>
              </w:rPr>
              <w:t>等效A声级Leq</w:t>
            </w:r>
          </w:p>
        </w:tc>
        <w:tc>
          <w:tcPr>
            <w:tcW w:w="1755" w:type="dxa"/>
            <w:noWrap w:val="0"/>
            <w:vAlign w:val="center"/>
          </w:tcPr>
          <w:p w14:paraId="7BF70FF1">
            <w:pPr>
              <w:pStyle w:val="30"/>
              <w:bidi w:val="0"/>
              <w:jc w:val="center"/>
              <w:rPr>
                <w:rFonts w:hint="eastAsia" w:ascii="Times New Roman" w:hAnsi="Times New Roman" w:eastAsia="宋体"/>
                <w:color w:val="auto"/>
                <w:kern w:val="0"/>
                <w:sz w:val="24"/>
                <w:szCs w:val="24"/>
                <w:lang w:val="en-US" w:eastAsia="zh-CN" w:bidi="ar-SA"/>
              </w:rPr>
            </w:pPr>
            <w:r>
              <w:rPr>
                <w:rFonts w:hint="eastAsia" w:ascii="Times New Roman" w:hAnsi="Times New Roman"/>
                <w:color w:val="auto"/>
                <w:sz w:val="24"/>
                <w:szCs w:val="24"/>
              </w:rPr>
              <w:t>优先选用先进、低噪声设备；对高噪声设备采取减振基础、安装减振垫圈等减震措施；对各类机械设备定期检修、维护，防止设备异常噪声产生；优化平面布局，合理布置高噪声设备于远离声环境敏感点位置</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夜间不生产</w:t>
            </w:r>
          </w:p>
        </w:tc>
        <w:tc>
          <w:tcPr>
            <w:tcW w:w="1757" w:type="dxa"/>
            <w:noWrap w:val="0"/>
            <w:vAlign w:val="center"/>
          </w:tcPr>
          <w:p w14:paraId="1B01D7FB">
            <w:pPr>
              <w:pStyle w:val="30"/>
              <w:bidi w:val="0"/>
              <w:jc w:val="center"/>
              <w:rPr>
                <w:rFonts w:hint="default" w:ascii="Times New Roman" w:hAnsi="Times New Roman" w:eastAsia="宋体"/>
                <w:color w:val="auto"/>
                <w:kern w:val="0"/>
                <w:sz w:val="24"/>
                <w:szCs w:val="24"/>
                <w:lang w:val="en-US" w:eastAsia="zh-CN" w:bidi="ar-SA"/>
              </w:rPr>
            </w:pPr>
            <w:r>
              <w:rPr>
                <w:rFonts w:hint="eastAsia" w:ascii="Times New Roman" w:hAnsi="Times New Roman"/>
                <w:color w:val="auto"/>
                <w:sz w:val="24"/>
                <w:szCs w:val="24"/>
              </w:rPr>
              <w:t>厂界</w:t>
            </w:r>
            <w:r>
              <w:rPr>
                <w:rFonts w:hint="eastAsia" w:ascii="Times New Roman" w:hAnsi="Times New Roman"/>
                <w:color w:val="auto"/>
                <w:sz w:val="24"/>
                <w:szCs w:val="24"/>
                <w:lang w:val="en-US" w:eastAsia="zh-CN"/>
              </w:rPr>
              <w:t>四周</w:t>
            </w:r>
            <w:r>
              <w:rPr>
                <w:rFonts w:hint="eastAsia" w:ascii="Times New Roman" w:hAnsi="Times New Roman"/>
                <w:color w:val="auto"/>
                <w:sz w:val="24"/>
                <w:szCs w:val="24"/>
              </w:rPr>
              <w:t>噪声执行《工业企业厂界环境噪声排放标准》（GB12348-2008）中</w:t>
            </w:r>
            <w:r>
              <w:rPr>
                <w:rFonts w:hint="eastAsia" w:ascii="Times New Roman" w:hAnsi="Times New Roman"/>
                <w:color w:val="auto"/>
                <w:sz w:val="24"/>
                <w:szCs w:val="24"/>
                <w:lang w:val="en-US" w:eastAsia="zh-CN"/>
              </w:rPr>
              <w:t>3</w:t>
            </w:r>
            <w:r>
              <w:rPr>
                <w:rFonts w:hint="eastAsia" w:ascii="Times New Roman" w:hAnsi="Times New Roman"/>
                <w:color w:val="auto"/>
                <w:sz w:val="24"/>
                <w:szCs w:val="24"/>
              </w:rPr>
              <w:t>类标准</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昼间噪声Leq≤65dB</w:t>
            </w:r>
            <w:r>
              <w:rPr>
                <w:rFonts w:hint="eastAsia" w:ascii="Times New Roman" w:hAnsi="Times New Roman"/>
                <w:color w:val="auto"/>
                <w:sz w:val="24"/>
                <w:szCs w:val="24"/>
                <w:lang w:eastAsia="zh-CN"/>
              </w:rPr>
              <w:t>）</w:t>
            </w:r>
            <w:r>
              <w:rPr>
                <w:rFonts w:hint="eastAsia"/>
                <w:color w:val="auto"/>
                <w:sz w:val="24"/>
                <w:szCs w:val="24"/>
                <w:lang w:eastAsia="zh-CN"/>
              </w:rPr>
              <w:t>）</w:t>
            </w:r>
          </w:p>
        </w:tc>
      </w:tr>
      <w:tr w14:paraId="746E3F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14:paraId="0F7DA9C5">
            <w:pPr>
              <w:adjustRightInd w:val="0"/>
              <w:snapToGrid w:val="0"/>
              <w:jc w:val="center"/>
              <w:rPr>
                <w:rFonts w:hint="eastAsia" w:ascii="Times New Roman" w:hAnsi="Times New Roman" w:cs="宋体"/>
                <w:color w:val="auto"/>
                <w:sz w:val="24"/>
                <w:szCs w:val="24"/>
              </w:rPr>
            </w:pPr>
            <w:r>
              <w:rPr>
                <w:rFonts w:hint="eastAsia" w:ascii="Times New Roman" w:hAnsi="Times New Roman" w:cs="宋体"/>
                <w:color w:val="auto"/>
                <w:sz w:val="24"/>
                <w:szCs w:val="24"/>
              </w:rPr>
              <w:t>电磁辐射</w:t>
            </w:r>
          </w:p>
        </w:tc>
        <w:tc>
          <w:tcPr>
            <w:tcW w:w="1755" w:type="dxa"/>
            <w:noWrap w:val="0"/>
            <w:vAlign w:val="center"/>
          </w:tcPr>
          <w:p w14:paraId="57F94791">
            <w:pPr>
              <w:adjustRightInd w:val="0"/>
              <w:snapToGrid w:val="0"/>
              <w:jc w:val="center"/>
              <w:rPr>
                <w:rFonts w:hint="eastAsia" w:ascii="Times New Roman" w:hAnsi="Times New Roman" w:eastAsia="宋体" w:cs="宋体"/>
                <w:color w:val="auto"/>
                <w:sz w:val="24"/>
                <w:szCs w:val="24"/>
                <w:lang w:val="en-US" w:eastAsia="zh-CN"/>
              </w:rPr>
            </w:pPr>
            <w:r>
              <w:rPr>
                <w:rFonts w:hint="eastAsia" w:ascii="Times New Roman" w:hAnsi="Times New Roman" w:cs="宋体"/>
                <w:color w:val="auto"/>
                <w:sz w:val="24"/>
                <w:szCs w:val="24"/>
                <w:lang w:val="en-US" w:eastAsia="zh-CN"/>
              </w:rPr>
              <w:t>/</w:t>
            </w:r>
          </w:p>
        </w:tc>
        <w:tc>
          <w:tcPr>
            <w:tcW w:w="1755" w:type="dxa"/>
            <w:noWrap w:val="0"/>
            <w:vAlign w:val="center"/>
          </w:tcPr>
          <w:p w14:paraId="427AAFBE">
            <w:pPr>
              <w:adjustRightInd w:val="0"/>
              <w:snapToGrid w:val="0"/>
              <w:jc w:val="center"/>
              <w:rPr>
                <w:rFonts w:hint="eastAsia" w:ascii="Times New Roman" w:hAnsi="Times New Roman" w:eastAsia="宋体" w:cs="宋体"/>
                <w:color w:val="auto"/>
                <w:sz w:val="24"/>
                <w:szCs w:val="24"/>
                <w:lang w:val="en-US" w:eastAsia="zh-CN"/>
              </w:rPr>
            </w:pPr>
            <w:r>
              <w:rPr>
                <w:rFonts w:hint="eastAsia" w:ascii="Times New Roman" w:hAnsi="Times New Roman" w:cs="宋体"/>
                <w:color w:val="auto"/>
                <w:sz w:val="24"/>
                <w:szCs w:val="24"/>
                <w:lang w:val="en-US" w:eastAsia="zh-CN"/>
              </w:rPr>
              <w:t>/</w:t>
            </w:r>
          </w:p>
        </w:tc>
        <w:tc>
          <w:tcPr>
            <w:tcW w:w="1755" w:type="dxa"/>
            <w:noWrap w:val="0"/>
            <w:vAlign w:val="center"/>
          </w:tcPr>
          <w:p w14:paraId="0D89C5F0">
            <w:pPr>
              <w:adjustRightInd w:val="0"/>
              <w:snapToGrid w:val="0"/>
              <w:jc w:val="center"/>
              <w:rPr>
                <w:rFonts w:hint="eastAsia" w:ascii="Times New Roman" w:hAnsi="Times New Roman" w:eastAsia="宋体" w:cs="宋体"/>
                <w:color w:val="auto"/>
                <w:sz w:val="24"/>
                <w:szCs w:val="24"/>
                <w:lang w:val="en-US" w:eastAsia="zh-CN"/>
              </w:rPr>
            </w:pPr>
            <w:r>
              <w:rPr>
                <w:rFonts w:hint="eastAsia" w:ascii="Times New Roman" w:hAnsi="Times New Roman" w:cs="宋体"/>
                <w:color w:val="auto"/>
                <w:sz w:val="24"/>
                <w:szCs w:val="24"/>
                <w:lang w:val="en-US" w:eastAsia="zh-CN"/>
              </w:rPr>
              <w:t>/</w:t>
            </w:r>
          </w:p>
        </w:tc>
        <w:tc>
          <w:tcPr>
            <w:tcW w:w="1757" w:type="dxa"/>
            <w:noWrap w:val="0"/>
            <w:vAlign w:val="center"/>
          </w:tcPr>
          <w:p w14:paraId="20316BC6">
            <w:pPr>
              <w:adjustRightInd w:val="0"/>
              <w:snapToGrid w:val="0"/>
              <w:jc w:val="center"/>
              <w:rPr>
                <w:rFonts w:hint="eastAsia" w:ascii="Times New Roman" w:hAnsi="Times New Roman" w:eastAsia="宋体" w:cs="宋体"/>
                <w:color w:val="auto"/>
                <w:sz w:val="24"/>
                <w:szCs w:val="24"/>
                <w:lang w:val="en-US" w:eastAsia="zh-CN"/>
              </w:rPr>
            </w:pPr>
            <w:r>
              <w:rPr>
                <w:rFonts w:hint="eastAsia" w:ascii="Times New Roman" w:hAnsi="Times New Roman" w:cs="宋体"/>
                <w:color w:val="auto"/>
                <w:sz w:val="24"/>
                <w:szCs w:val="24"/>
                <w:lang w:val="en-US" w:eastAsia="zh-CN"/>
              </w:rPr>
              <w:t>/</w:t>
            </w:r>
          </w:p>
        </w:tc>
      </w:tr>
      <w:tr w14:paraId="2C8AE0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289609CE">
            <w:pPr>
              <w:adjustRightInd w:val="0"/>
              <w:snapToGrid w:val="0"/>
              <w:jc w:val="center"/>
              <w:rPr>
                <w:rFonts w:hint="eastAsia" w:ascii="Times New Roman" w:hAnsi="Times New Roman" w:cs="宋体"/>
                <w:color w:val="auto"/>
                <w:sz w:val="24"/>
                <w:szCs w:val="24"/>
              </w:rPr>
            </w:pPr>
            <w:r>
              <w:rPr>
                <w:rFonts w:hint="eastAsia" w:ascii="Times New Roman" w:hAnsi="Times New Roman" w:cs="宋体"/>
                <w:color w:val="auto"/>
                <w:sz w:val="24"/>
                <w:szCs w:val="24"/>
              </w:rPr>
              <w:t>固体废物</w:t>
            </w:r>
          </w:p>
        </w:tc>
        <w:tc>
          <w:tcPr>
            <w:tcW w:w="7022" w:type="dxa"/>
            <w:gridSpan w:val="4"/>
            <w:noWrap w:val="0"/>
            <w:vAlign w:val="center"/>
          </w:tcPr>
          <w:p w14:paraId="33CB6487">
            <w:pPr>
              <w:pStyle w:val="30"/>
              <w:bidi w:val="0"/>
              <w:rPr>
                <w:rFonts w:hint="default" w:ascii="Times New Roman" w:hAnsi="Times New Roman"/>
                <w:color w:val="auto"/>
                <w:sz w:val="24"/>
                <w:szCs w:val="24"/>
                <w:lang w:val="en-US"/>
              </w:rPr>
            </w:pPr>
            <w:r>
              <w:rPr>
                <w:rFonts w:hint="eastAsia" w:ascii="Times New Roman" w:hAnsi="Times New Roman"/>
                <w:color w:val="auto"/>
                <w:sz w:val="24"/>
                <w:szCs w:val="24"/>
                <w:lang w:val="en-US" w:eastAsia="zh-CN"/>
              </w:rPr>
              <w:t>一般工业固体废物</w:t>
            </w:r>
            <w:r>
              <w:rPr>
                <w:rFonts w:hint="eastAsia"/>
                <w:color w:val="auto"/>
                <w:sz w:val="24"/>
                <w:szCs w:val="24"/>
                <w:lang w:val="en-US" w:eastAsia="zh-CN"/>
              </w:rPr>
              <w:t>：</w:t>
            </w:r>
            <w:r>
              <w:rPr>
                <w:rFonts w:hint="default" w:ascii="Times New Roman" w:hAnsi="Times New Roman" w:cs="Times New Roman"/>
                <w:color w:val="auto"/>
                <w:sz w:val="24"/>
                <w:szCs w:val="24"/>
                <w:lang w:val="en-US" w:eastAsia="zh-CN"/>
              </w:rPr>
              <w:t>抛光后产生的残渣、抛光污泥、</w:t>
            </w:r>
            <w:r>
              <w:rPr>
                <w:rFonts w:hint="eastAsia" w:ascii="Times New Roman" w:hAnsi="Times New Roman" w:cs="Times New Roman"/>
                <w:color w:val="auto"/>
                <w:sz w:val="24"/>
                <w:szCs w:val="24"/>
                <w:lang w:val="en-US" w:eastAsia="zh-CN"/>
              </w:rPr>
              <w:t>擦拭检测产生的</w:t>
            </w:r>
            <w:r>
              <w:rPr>
                <w:rFonts w:hint="default" w:ascii="Times New Roman" w:hAnsi="Times New Roman" w:cs="Times New Roman"/>
                <w:color w:val="auto"/>
                <w:sz w:val="24"/>
                <w:szCs w:val="24"/>
                <w:lang w:val="en-US" w:eastAsia="zh-CN"/>
              </w:rPr>
              <w:t>废边角料、不合格产品</w:t>
            </w:r>
            <w:r>
              <w:rPr>
                <w:rFonts w:hint="eastAsia" w:ascii="Times New Roman" w:hAnsi="Times New Roman" w:cs="Times New Roman"/>
                <w:color w:val="auto"/>
                <w:sz w:val="24"/>
                <w:szCs w:val="24"/>
                <w:lang w:val="en-US" w:eastAsia="zh-CN"/>
              </w:rPr>
              <w:t>、废水处理产生的沉淀</w:t>
            </w:r>
            <w:r>
              <w:rPr>
                <w:rFonts w:hint="default" w:ascii="Times New Roman" w:hAnsi="Times New Roman" w:cs="Times New Roman"/>
                <w:color w:val="auto"/>
                <w:sz w:val="24"/>
                <w:szCs w:val="24"/>
                <w:lang w:val="en-US" w:eastAsia="zh-CN"/>
              </w:rPr>
              <w:t>污泥</w:t>
            </w:r>
            <w:r>
              <w:rPr>
                <w:rFonts w:hint="eastAsia" w:ascii="Times New Roman" w:hAnsi="Times New Roman" w:cs="Times New Roman"/>
                <w:color w:val="auto"/>
                <w:sz w:val="24"/>
                <w:szCs w:val="24"/>
                <w:lang w:val="en-US" w:eastAsia="zh-CN"/>
              </w:rPr>
              <w:t>妥</w:t>
            </w:r>
            <w:r>
              <w:rPr>
                <w:rFonts w:hint="eastAsia" w:ascii="Times New Roman" w:hAnsi="Times New Roman"/>
                <w:color w:val="auto"/>
                <w:sz w:val="24"/>
                <w:szCs w:val="24"/>
                <w:lang w:val="en-US" w:eastAsia="zh-CN"/>
              </w:rPr>
              <w:t>善收集后外售给其他企业综合利用，一般固废贮存执行《一般工业固体废物贮存和填埋场污染控制标准》（GB18599-2020）相关要求；危险废物暂存于危险废物暂存间，定期委托有资质的单位进行处置，危险废物执行</w:t>
            </w:r>
            <w:r>
              <w:rPr>
                <w:rFonts w:hint="eastAsia"/>
                <w:color w:val="auto"/>
                <w:sz w:val="24"/>
                <w:szCs w:val="24"/>
                <w:lang w:val="en-US" w:eastAsia="zh-CN"/>
              </w:rPr>
              <w:t>《危险废物贮存污染控制标准》（GB18597-2023）</w:t>
            </w:r>
            <w:r>
              <w:rPr>
                <w:rFonts w:hint="eastAsia" w:ascii="Times New Roman" w:hAnsi="Times New Roman"/>
                <w:color w:val="auto"/>
                <w:sz w:val="24"/>
                <w:szCs w:val="24"/>
                <w:lang w:val="en-US" w:eastAsia="zh-CN"/>
              </w:rPr>
              <w:t>、《危险废物收集贮存运输技术规范》（HJ2025-2012）；生活垃圾委托当地环卫部门统一清运，生活垃圾处置执行《中华人民共和国固体废物污染环境防治法》（2020年4月29日修订版）的相关规定</w:t>
            </w:r>
          </w:p>
        </w:tc>
      </w:tr>
      <w:tr w14:paraId="3FBC05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1BF5C1A2">
            <w:pPr>
              <w:adjustRightInd w:val="0"/>
              <w:snapToGrid w:val="0"/>
              <w:jc w:val="center"/>
              <w:rPr>
                <w:rFonts w:hint="eastAsia" w:ascii="Times New Roman" w:hAnsi="Times New Roman" w:cs="宋体"/>
                <w:color w:val="auto"/>
                <w:sz w:val="24"/>
                <w:szCs w:val="24"/>
              </w:rPr>
            </w:pPr>
            <w:r>
              <w:rPr>
                <w:rFonts w:hint="eastAsia" w:ascii="Times New Roman" w:hAnsi="Times New Roman" w:cs="宋体"/>
                <w:color w:val="auto"/>
                <w:sz w:val="24"/>
                <w:szCs w:val="24"/>
              </w:rPr>
              <w:t>土壤及地下水</w:t>
            </w:r>
          </w:p>
          <w:p w14:paraId="02864BDF">
            <w:pPr>
              <w:adjustRightInd w:val="0"/>
              <w:snapToGrid w:val="0"/>
              <w:jc w:val="center"/>
              <w:rPr>
                <w:rFonts w:hint="eastAsia" w:ascii="Times New Roman" w:hAnsi="Times New Roman" w:cs="宋体"/>
                <w:color w:val="auto"/>
                <w:sz w:val="24"/>
                <w:szCs w:val="24"/>
              </w:rPr>
            </w:pPr>
            <w:r>
              <w:rPr>
                <w:rFonts w:hint="eastAsia" w:ascii="Times New Roman" w:hAnsi="Times New Roman" w:cs="宋体"/>
                <w:color w:val="auto"/>
                <w:sz w:val="24"/>
                <w:szCs w:val="24"/>
              </w:rPr>
              <w:t>污染防治措施</w:t>
            </w:r>
          </w:p>
        </w:tc>
        <w:tc>
          <w:tcPr>
            <w:tcW w:w="7022" w:type="dxa"/>
            <w:gridSpan w:val="4"/>
            <w:noWrap w:val="0"/>
            <w:vAlign w:val="center"/>
          </w:tcPr>
          <w:p w14:paraId="13948826">
            <w:pPr>
              <w:pStyle w:val="30"/>
              <w:bidi w:val="0"/>
              <w:rPr>
                <w:rFonts w:hint="eastAsia" w:ascii="Times New Roman" w:hAnsi="Times New Roman"/>
                <w:color w:val="auto"/>
                <w:sz w:val="24"/>
                <w:szCs w:val="24"/>
              </w:rPr>
            </w:pPr>
            <w:r>
              <w:rPr>
                <w:rFonts w:hint="eastAsia" w:ascii="Times New Roman" w:hAnsi="Times New Roman"/>
                <w:color w:val="auto"/>
                <w:sz w:val="24"/>
                <w:szCs w:val="24"/>
              </w:rPr>
              <w:t>合理进行防渗区域划分，危险暂存间四周设置导流沟，地面采取防渗，按重点污染区防渗要求进行建设；一般工业固废间、项目生产车间等按一般污染区防渗要求进行建设，且具有防雨、防渗、防风、防日晒等功能</w:t>
            </w:r>
          </w:p>
        </w:tc>
      </w:tr>
      <w:tr w14:paraId="61126B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7F86E79F">
            <w:pPr>
              <w:adjustRightInd w:val="0"/>
              <w:snapToGrid w:val="0"/>
              <w:jc w:val="center"/>
              <w:rPr>
                <w:rFonts w:hint="eastAsia" w:ascii="Times New Roman" w:hAnsi="Times New Roman" w:cs="宋体"/>
                <w:color w:val="auto"/>
                <w:sz w:val="24"/>
                <w:szCs w:val="24"/>
              </w:rPr>
            </w:pPr>
            <w:r>
              <w:rPr>
                <w:rFonts w:hint="eastAsia" w:ascii="Times New Roman" w:hAnsi="Times New Roman" w:cs="宋体"/>
                <w:color w:val="auto"/>
                <w:sz w:val="24"/>
                <w:szCs w:val="24"/>
              </w:rPr>
              <w:t>生态保护措施</w:t>
            </w:r>
          </w:p>
        </w:tc>
        <w:tc>
          <w:tcPr>
            <w:tcW w:w="7022" w:type="dxa"/>
            <w:gridSpan w:val="4"/>
            <w:noWrap w:val="0"/>
            <w:vAlign w:val="center"/>
          </w:tcPr>
          <w:p w14:paraId="553671DB">
            <w:pPr>
              <w:pStyle w:val="30"/>
              <w:bidi w:val="0"/>
              <w:rPr>
                <w:rFonts w:hint="default" w:ascii="Times New Roman" w:hAnsi="Times New Roman"/>
                <w:color w:val="auto"/>
                <w:sz w:val="24"/>
                <w:szCs w:val="24"/>
                <w:lang w:val="en-US" w:eastAsia="zh-CN"/>
              </w:rPr>
            </w:pPr>
            <w:r>
              <w:rPr>
                <w:rFonts w:hint="eastAsia" w:ascii="Times New Roman" w:hAnsi="Times New Roman"/>
                <w:color w:val="auto"/>
                <w:sz w:val="24"/>
                <w:szCs w:val="24"/>
                <w:lang w:val="en-US" w:eastAsia="zh-CN"/>
              </w:rPr>
              <w:t>本项目不涉及</w:t>
            </w:r>
          </w:p>
        </w:tc>
      </w:tr>
      <w:tr w14:paraId="1B3F7D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2983D6C6">
            <w:pPr>
              <w:adjustRightInd w:val="0"/>
              <w:snapToGrid w:val="0"/>
              <w:jc w:val="center"/>
              <w:rPr>
                <w:rFonts w:ascii="Times New Roman" w:hAnsi="Times New Roman" w:cs="宋体"/>
                <w:color w:val="auto"/>
                <w:spacing w:val="-8"/>
                <w:sz w:val="24"/>
                <w:szCs w:val="24"/>
              </w:rPr>
            </w:pPr>
            <w:r>
              <w:rPr>
                <w:rFonts w:hint="eastAsia" w:ascii="Times New Roman" w:hAnsi="Times New Roman" w:cs="宋体"/>
                <w:color w:val="auto"/>
                <w:spacing w:val="-8"/>
                <w:sz w:val="24"/>
                <w:szCs w:val="24"/>
              </w:rPr>
              <w:t>环境风险</w:t>
            </w:r>
          </w:p>
          <w:p w14:paraId="6273DFF9">
            <w:pPr>
              <w:adjustRightInd w:val="0"/>
              <w:snapToGrid w:val="0"/>
              <w:jc w:val="center"/>
              <w:rPr>
                <w:rFonts w:hint="eastAsia" w:ascii="Times New Roman" w:hAnsi="Times New Roman" w:cs="宋体"/>
                <w:color w:val="auto"/>
                <w:spacing w:val="-8"/>
                <w:sz w:val="24"/>
                <w:szCs w:val="24"/>
              </w:rPr>
            </w:pPr>
            <w:r>
              <w:rPr>
                <w:rFonts w:hint="eastAsia" w:ascii="Times New Roman" w:hAnsi="Times New Roman" w:cs="宋体"/>
                <w:color w:val="auto"/>
                <w:spacing w:val="-8"/>
                <w:sz w:val="24"/>
                <w:szCs w:val="24"/>
              </w:rPr>
              <w:t>防范措施</w:t>
            </w:r>
          </w:p>
        </w:tc>
        <w:tc>
          <w:tcPr>
            <w:tcW w:w="7022" w:type="dxa"/>
            <w:gridSpan w:val="4"/>
            <w:noWrap w:val="0"/>
            <w:vAlign w:val="center"/>
          </w:tcPr>
          <w:p w14:paraId="1EC20F57">
            <w:pPr>
              <w:pStyle w:val="30"/>
              <w:bidi w:val="0"/>
              <w:rPr>
                <w:rFonts w:hint="eastAsia" w:ascii="Times New Roman" w:hAnsi="Times New Roman"/>
                <w:color w:val="auto"/>
                <w:sz w:val="24"/>
                <w:szCs w:val="24"/>
              </w:rPr>
            </w:pPr>
            <w:r>
              <w:rPr>
                <w:rFonts w:hint="eastAsia" w:ascii="Times New Roman" w:hAnsi="Times New Roman"/>
                <w:color w:val="auto"/>
                <w:sz w:val="24"/>
                <w:szCs w:val="24"/>
              </w:rPr>
              <w:t>危险暂存间四周设置导流沟，地面采取防渗、设置围堰等风险防范措施；厂区内严禁烟火，严格动火审批制度；配备相应的堵漏材料</w:t>
            </w:r>
            <w:r>
              <w:rPr>
                <w:rFonts w:hint="eastAsia"/>
                <w:color w:val="auto"/>
                <w:sz w:val="24"/>
                <w:szCs w:val="24"/>
                <w:lang w:eastAsia="zh-CN"/>
              </w:rPr>
              <w:t>（沙袋</w:t>
            </w:r>
            <w:r>
              <w:rPr>
                <w:rFonts w:hint="eastAsia" w:ascii="Times New Roman" w:hAnsi="Times New Roman" w:eastAsia="宋体" w:cs="宋体"/>
                <w:color w:val="auto"/>
                <w:sz w:val="24"/>
                <w:szCs w:val="24"/>
              </w:rPr>
              <w:t>、吸油毡等</w:t>
            </w:r>
            <w:r>
              <w:rPr>
                <w:rFonts w:hint="eastAsia" w:cs="宋体"/>
                <w:color w:val="auto"/>
                <w:sz w:val="24"/>
                <w:szCs w:val="24"/>
                <w:lang w:eastAsia="zh-CN"/>
              </w:rPr>
              <w:t>）</w:t>
            </w:r>
          </w:p>
        </w:tc>
      </w:tr>
      <w:tr w14:paraId="33AA7E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14:paraId="082D1D9C">
            <w:pPr>
              <w:adjustRightInd w:val="0"/>
              <w:snapToGrid w:val="0"/>
              <w:jc w:val="center"/>
              <w:rPr>
                <w:rFonts w:ascii="Times New Roman" w:hAnsi="Times New Roman" w:cs="宋体"/>
                <w:color w:val="auto"/>
                <w:spacing w:val="-8"/>
                <w:sz w:val="24"/>
                <w:szCs w:val="24"/>
              </w:rPr>
            </w:pPr>
            <w:r>
              <w:rPr>
                <w:rFonts w:hint="eastAsia" w:ascii="Times New Roman" w:hAnsi="Times New Roman" w:cs="宋体"/>
                <w:color w:val="auto"/>
                <w:spacing w:val="-8"/>
                <w:sz w:val="24"/>
                <w:szCs w:val="24"/>
              </w:rPr>
              <w:t>其他环境</w:t>
            </w:r>
          </w:p>
          <w:p w14:paraId="5FF70414">
            <w:pPr>
              <w:adjustRightInd w:val="0"/>
              <w:snapToGrid w:val="0"/>
              <w:jc w:val="center"/>
              <w:rPr>
                <w:rFonts w:hint="eastAsia" w:ascii="Times New Roman" w:hAnsi="Times New Roman" w:cs="宋体"/>
                <w:color w:val="auto"/>
                <w:spacing w:val="-8"/>
                <w:sz w:val="24"/>
                <w:szCs w:val="24"/>
              </w:rPr>
            </w:pPr>
            <w:r>
              <w:rPr>
                <w:rFonts w:hint="eastAsia" w:ascii="Times New Roman" w:hAnsi="Times New Roman" w:cs="宋体"/>
                <w:color w:val="auto"/>
                <w:spacing w:val="-8"/>
                <w:sz w:val="24"/>
                <w:szCs w:val="24"/>
              </w:rPr>
              <w:t>管理要求</w:t>
            </w:r>
          </w:p>
        </w:tc>
        <w:tc>
          <w:tcPr>
            <w:tcW w:w="7022" w:type="dxa"/>
            <w:gridSpan w:val="4"/>
            <w:noWrap w:val="0"/>
            <w:vAlign w:val="center"/>
          </w:tcPr>
          <w:p w14:paraId="0AB66765">
            <w:pPr>
              <w:pStyle w:val="3"/>
              <w:keepNext/>
              <w:keepLines/>
              <w:pageBreakBefore w:val="0"/>
              <w:widowControl w:val="0"/>
              <w:kinsoku/>
              <w:wordWrap/>
              <w:overflowPunct w:val="0"/>
              <w:topLinePunct w:val="0"/>
              <w:autoSpaceDE/>
              <w:autoSpaceDN/>
              <w:bidi w:val="0"/>
              <w:adjustRightInd/>
              <w:snapToGrid w:val="0"/>
              <w:spacing w:before="0" w:after="0"/>
              <w:ind w:left="431" w:hanging="431"/>
              <w:textAlignment w:val="auto"/>
              <w:rPr>
                <w:rFonts w:hint="eastAsia" w:ascii="Times New Roman" w:hAnsi="Times New Roman" w:eastAsia="宋体" w:cs="Times New Roman"/>
                <w:b/>
                <w:color w:val="auto"/>
                <w:kern w:val="2"/>
                <w:sz w:val="24"/>
                <w:szCs w:val="24"/>
                <w:lang w:val="en-US" w:eastAsia="zh-CN" w:bidi="ar-SA"/>
              </w:rPr>
            </w:pPr>
            <w:bookmarkStart w:id="120" w:name="_Toc14561"/>
            <w:bookmarkStart w:id="121" w:name="_Toc22751"/>
            <w:r>
              <w:rPr>
                <w:rFonts w:hint="eastAsia" w:ascii="Times New Roman" w:hAnsi="Times New Roman" w:eastAsia="宋体" w:cs="Times New Roman"/>
                <w:b/>
                <w:color w:val="auto"/>
                <w:kern w:val="2"/>
                <w:sz w:val="24"/>
                <w:szCs w:val="24"/>
                <w:lang w:val="en-US" w:eastAsia="zh-CN" w:bidi="ar-SA"/>
              </w:rPr>
              <w:t>5.1环境管理</w:t>
            </w:r>
            <w:bookmarkEnd w:id="120"/>
            <w:bookmarkEnd w:id="121"/>
          </w:p>
          <w:p w14:paraId="10323122">
            <w:pPr>
              <w:pStyle w:val="5"/>
              <w:bidi w:val="0"/>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sz w:val="24"/>
                <w:szCs w:val="24"/>
                <w:lang w:val="en-US" w:eastAsia="zh-CN"/>
              </w:rPr>
              <w:t>根据《建设项目环境保护设计规定》的要求，拟建项目应在“三同时”的原则下配套建设相应的污染治理设施，一方面为有效保护区域环境提供良好的技术基础，另一方面科学地管理、监督这些环保设施的运行又是保证治理效果的必要手段。因此项目实施后，设置专职环保人员负责环境管理、环境监测和事故应急处理。</w:t>
            </w:r>
            <w:r>
              <w:rPr>
                <w:rFonts w:hint="eastAsia" w:ascii="Times New Roman" w:hAnsi="Times New Roman" w:eastAsia="宋体" w:cs="宋体"/>
                <w:color w:val="auto"/>
                <w:kern w:val="2"/>
                <w:sz w:val="24"/>
                <w:szCs w:val="24"/>
                <w:lang w:val="en-US" w:eastAsia="zh-CN" w:bidi="ar-SA"/>
              </w:rPr>
              <w:t xml:space="preserve"> </w:t>
            </w:r>
          </w:p>
          <w:p w14:paraId="7C0A8C92">
            <w:pPr>
              <w:pStyle w:val="4"/>
              <w:bidi w:val="0"/>
              <w:rPr>
                <w:rFonts w:hint="eastAsia" w:ascii="Times New Roman" w:hAnsi="Times New Roman"/>
                <w:color w:val="auto"/>
                <w:sz w:val="24"/>
                <w:szCs w:val="24"/>
                <w:lang w:val="en-US" w:eastAsia="zh-CN"/>
              </w:rPr>
            </w:pPr>
            <w:bookmarkStart w:id="122" w:name="_Toc32448"/>
            <w:r>
              <w:rPr>
                <w:rFonts w:hint="eastAsia" w:ascii="Times New Roman" w:hAnsi="Times New Roman"/>
                <w:color w:val="auto"/>
                <w:sz w:val="24"/>
                <w:szCs w:val="24"/>
                <w:lang w:val="en-US" w:eastAsia="zh-CN"/>
              </w:rPr>
              <w:t>5.1.1环境管理制度</w:t>
            </w:r>
            <w:bookmarkEnd w:id="122"/>
            <w:r>
              <w:rPr>
                <w:rFonts w:hint="eastAsia" w:ascii="Times New Roman" w:hAnsi="Times New Roman"/>
                <w:color w:val="auto"/>
                <w:sz w:val="24"/>
                <w:szCs w:val="24"/>
                <w:lang w:val="en-US" w:eastAsia="zh-CN"/>
              </w:rPr>
              <w:t xml:space="preserve"> </w:t>
            </w:r>
          </w:p>
          <w:p w14:paraId="172FC646">
            <w:pPr>
              <w:pStyle w:val="5"/>
              <w:bidi w:val="0"/>
              <w:rPr>
                <w:rFonts w:hint="eastAsia" w:ascii="Times New Roman" w:hAnsi="Times New Roman"/>
                <w:color w:val="auto"/>
                <w:sz w:val="24"/>
                <w:szCs w:val="24"/>
                <w:lang w:val="en-US" w:eastAsia="zh-CN"/>
              </w:rPr>
            </w:pPr>
            <w:r>
              <w:rPr>
                <w:rFonts w:hint="eastAsia" w:ascii="Times New Roman" w:hAnsi="Times New Roman" w:eastAsia="宋体" w:cs="宋体"/>
                <w:color w:val="auto"/>
                <w:kern w:val="2"/>
                <w:sz w:val="24"/>
                <w:szCs w:val="24"/>
                <w:lang w:val="en-US" w:eastAsia="zh-CN" w:bidi="ar-SA"/>
              </w:rPr>
              <w:t>（1</w:t>
            </w:r>
            <w:r>
              <w:rPr>
                <w:rFonts w:hint="eastAsia" w:ascii="Times New Roman" w:hAnsi="Times New Roman"/>
                <w:color w:val="auto"/>
                <w:sz w:val="24"/>
                <w:szCs w:val="24"/>
                <w:lang w:val="en-US" w:eastAsia="zh-CN"/>
              </w:rPr>
              <w:t>）严格执行“三同时”制度，在项目筹备、实施、建设阶段，应严格执行“三同时”，确保</w:t>
            </w:r>
            <w:r>
              <w:rPr>
                <w:rFonts w:hint="eastAsia"/>
                <w:color w:val="auto"/>
                <w:sz w:val="24"/>
                <w:szCs w:val="24"/>
                <w:lang w:val="en-US" w:eastAsia="zh-CN"/>
              </w:rPr>
              <w:t>污水处理</w:t>
            </w:r>
            <w:r>
              <w:rPr>
                <w:rFonts w:hint="eastAsia" w:ascii="Times New Roman" w:hAnsi="Times New Roman"/>
                <w:color w:val="auto"/>
                <w:sz w:val="24"/>
                <w:szCs w:val="24"/>
                <w:lang w:val="en-US" w:eastAsia="zh-CN"/>
              </w:rPr>
              <w:t xml:space="preserve">设施和生产工艺“同时设计、同时施工、同时投产使用”。 </w:t>
            </w:r>
          </w:p>
          <w:p w14:paraId="769E0B47">
            <w:pPr>
              <w:pStyle w:val="5"/>
              <w:bidi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 xml:space="preserve">（2）建立排污定期报告制度 </w:t>
            </w:r>
          </w:p>
          <w:p w14:paraId="3859FD82">
            <w:pPr>
              <w:pStyle w:val="5"/>
              <w:bidi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按有关文件严格执行排污报告制度。每年向当地环保部门报告污染治理设施运行情况、污染物排放情况以及污染事故、污染纠纷等情况。监测数据经统计和汇总后每年上报当地环保主管部门存档。事故报告要及时上报备案。在企业产品结构和排污量发生重大变化、污染治理设施发生改变时，必须向当地环保主管部门申报。根据《固定污染源排污许可分类管理名录（2019年版）》（生态环境部第11号）可知，本项目属于光学仪器制造业，对应《固定污染源排污许可分类管理名录（2019年版）》中三十五、仪器仪表制造业40光学仪器制造404，不涉及通用工序简化管理的。本项目应当进行排污登记管理。</w:t>
            </w:r>
          </w:p>
          <w:p w14:paraId="2C234F95">
            <w:pPr>
              <w:pStyle w:val="5"/>
              <w:bidi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（3）健全</w:t>
            </w:r>
            <w:r>
              <w:rPr>
                <w:rFonts w:hint="eastAsia"/>
                <w:color w:val="auto"/>
                <w:sz w:val="24"/>
                <w:szCs w:val="24"/>
                <w:lang w:val="en-US" w:eastAsia="zh-CN"/>
              </w:rPr>
              <w:t>污水处理</w:t>
            </w:r>
            <w:r>
              <w:rPr>
                <w:rFonts w:hint="eastAsia" w:ascii="Times New Roman" w:hAnsi="Times New Roman"/>
                <w:color w:val="auto"/>
                <w:sz w:val="24"/>
                <w:szCs w:val="24"/>
                <w:lang w:val="en-US" w:eastAsia="zh-CN"/>
              </w:rPr>
              <w:t xml:space="preserve">设施管理制度 </w:t>
            </w:r>
          </w:p>
          <w:p w14:paraId="6D669890">
            <w:pPr>
              <w:pStyle w:val="5"/>
              <w:bidi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将</w:t>
            </w:r>
            <w:r>
              <w:rPr>
                <w:rFonts w:hint="eastAsia"/>
                <w:color w:val="auto"/>
                <w:sz w:val="24"/>
                <w:szCs w:val="24"/>
                <w:lang w:val="en-US" w:eastAsia="zh-CN"/>
              </w:rPr>
              <w:t>污水处理</w:t>
            </w:r>
            <w:r>
              <w:rPr>
                <w:rFonts w:hint="eastAsia" w:ascii="Times New Roman" w:hAnsi="Times New Roman"/>
                <w:color w:val="auto"/>
                <w:sz w:val="24"/>
                <w:szCs w:val="24"/>
                <w:lang w:val="en-US" w:eastAsia="zh-CN"/>
              </w:rPr>
              <w:t xml:space="preserve">设施的管理和生产经营活动一起纳入企业单位日常管理工作的范畴，落实责任人，同时制定各级岗位责任制，编制操作规程，建立管理台账，不得擅自拆除或闲置已有的污染处理设施，严禁故意不正常使用污染处理设施。 </w:t>
            </w:r>
          </w:p>
          <w:p w14:paraId="5661FDBB">
            <w:pPr>
              <w:pStyle w:val="5"/>
              <w:bidi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 xml:space="preserve">（4）环境目标管理责任制和环保奖惩条例 </w:t>
            </w:r>
          </w:p>
          <w:p w14:paraId="12B5A704">
            <w:pPr>
              <w:pStyle w:val="5"/>
              <w:bidi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 xml:space="preserve">建立并实施从总经理到班组各层次的环境目标管理责任制，把完成环境目标责任与奖惩制度结合起来。设置环境保护奖惩条例，对爱护环保设施、节能降耗、减少污染物排放、改善环境者实施奖励；对环保观念淡薄，不按环保要求管理，造成环保设施非正常损坏、发生污染事故以及浪费资源者一律予以重罚。 </w:t>
            </w:r>
          </w:p>
          <w:p w14:paraId="77AF4308">
            <w:pPr>
              <w:pStyle w:val="5"/>
              <w:bidi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 xml:space="preserve">（5）职工环保教育、培训制度 </w:t>
            </w:r>
          </w:p>
          <w:p w14:paraId="604745E7">
            <w:pPr>
              <w:pStyle w:val="5"/>
              <w:bidi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加强职工的环境保护知识教育，</w:t>
            </w:r>
            <w:r>
              <w:rPr>
                <w:rFonts w:hint="eastAsia"/>
                <w:color w:val="auto"/>
                <w:sz w:val="24"/>
                <w:szCs w:val="24"/>
                <w:lang w:val="en-US" w:eastAsia="zh-CN"/>
              </w:rPr>
              <w:t>增强</w:t>
            </w:r>
            <w:r>
              <w:rPr>
                <w:rFonts w:hint="eastAsia" w:ascii="Times New Roman" w:hAnsi="Times New Roman"/>
                <w:color w:val="auto"/>
                <w:sz w:val="24"/>
                <w:szCs w:val="24"/>
                <w:lang w:val="en-US" w:eastAsia="zh-CN"/>
              </w:rPr>
              <w:t>职工环保意识，增加对生产污染危害的认识，明白自身在劳动过程中的位置和责任。加强员工的上岗培训工作，严格执行培训考核制度，不合格人员</w:t>
            </w:r>
            <w:r>
              <w:rPr>
                <w:rFonts w:hint="eastAsia"/>
                <w:color w:val="auto"/>
                <w:sz w:val="24"/>
                <w:szCs w:val="24"/>
                <w:lang w:val="en-US" w:eastAsia="zh-CN"/>
              </w:rPr>
              <w:t>绝不允许</w:t>
            </w:r>
            <w:r>
              <w:rPr>
                <w:rFonts w:hint="eastAsia" w:ascii="Times New Roman" w:hAnsi="Times New Roman"/>
                <w:color w:val="auto"/>
                <w:sz w:val="24"/>
                <w:szCs w:val="24"/>
                <w:lang w:val="en-US" w:eastAsia="zh-CN"/>
              </w:rPr>
              <w:t>上岗操作。</w:t>
            </w:r>
          </w:p>
          <w:p w14:paraId="6F432558">
            <w:pPr>
              <w:pStyle w:val="4"/>
              <w:bidi w:val="0"/>
              <w:rPr>
                <w:rFonts w:hint="eastAsia" w:ascii="Times New Roman" w:hAnsi="Times New Roman"/>
                <w:color w:val="auto"/>
                <w:sz w:val="24"/>
                <w:szCs w:val="24"/>
                <w:lang w:val="en-US" w:eastAsia="zh-CN"/>
              </w:rPr>
            </w:pPr>
            <w:bookmarkStart w:id="123" w:name="_Toc3825"/>
            <w:r>
              <w:rPr>
                <w:rFonts w:hint="eastAsia" w:ascii="Times New Roman" w:hAnsi="Times New Roman"/>
                <w:color w:val="auto"/>
                <w:sz w:val="24"/>
                <w:szCs w:val="24"/>
                <w:lang w:val="en-US" w:eastAsia="zh-CN"/>
              </w:rPr>
              <w:t>5.1.2排污口规范化管理</w:t>
            </w:r>
            <w:bookmarkEnd w:id="123"/>
          </w:p>
          <w:p w14:paraId="2B3506A0">
            <w:pPr>
              <w:pStyle w:val="5"/>
              <w:bidi w:val="0"/>
              <w:rPr>
                <w:rFonts w:hint="eastAsia" w:ascii="Times New Roman" w:hAnsi="Times New Roman"/>
                <w:color w:val="auto"/>
                <w:sz w:val="24"/>
                <w:szCs w:val="24"/>
                <w:lang w:val="en-US" w:eastAsia="zh-CN"/>
              </w:rPr>
            </w:pPr>
            <w:r>
              <w:rPr>
                <w:rFonts w:hint="default" w:ascii="Times New Roman" w:hAnsi="Times New Roman"/>
                <w:color w:val="auto"/>
                <w:sz w:val="24"/>
                <w:szCs w:val="24"/>
                <w:lang w:val="en-US" w:eastAsia="zh-CN"/>
              </w:rPr>
              <w:t>各污染源排放口应设置专项图标，执行《环境保护图形标志—排放口（源）》（GB15562.1-1995），要求各排放口（源）提示标志形状采用正方形边框，背景颜色采用绿色，图形颜色采用白色。标志牌应设在与之功能相应的醒目处，并保持清晰、完整，具体详见表</w:t>
            </w:r>
            <w:r>
              <w:rPr>
                <w:rFonts w:hint="eastAsia" w:ascii="Times New Roman" w:hAnsi="Times New Roman"/>
                <w:color w:val="auto"/>
                <w:sz w:val="24"/>
                <w:szCs w:val="24"/>
                <w:lang w:val="en-US" w:eastAsia="zh-CN"/>
              </w:rPr>
              <w:t>5.1-1。</w:t>
            </w:r>
          </w:p>
          <w:p w14:paraId="4662D8F3">
            <w:pPr>
              <w:pStyle w:val="27"/>
              <w:bidi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表5.1-1</w:t>
            </w:r>
            <w:r>
              <w:rPr>
                <w:rFonts w:hint="eastAsia"/>
                <w:color w:val="auto"/>
                <w:sz w:val="24"/>
                <w:szCs w:val="24"/>
                <w:lang w:val="en-US" w:eastAsia="zh-CN"/>
              </w:rPr>
              <w:t xml:space="preserve">  </w:t>
            </w:r>
            <w:r>
              <w:rPr>
                <w:rFonts w:hint="eastAsia" w:ascii="Times New Roman" w:hAnsi="Times New Roman"/>
                <w:color w:val="auto"/>
                <w:sz w:val="24"/>
                <w:szCs w:val="24"/>
                <w:lang w:val="en-US" w:eastAsia="zh-CN"/>
              </w:rPr>
              <w:t>排污口规范化图标</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1696"/>
              <w:gridCol w:w="1698"/>
              <w:gridCol w:w="1702"/>
            </w:tblGrid>
            <w:tr w14:paraId="268AA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248" w:type="pct"/>
                  <w:tcBorders>
                    <w:tl2br w:val="nil"/>
                    <w:tr2bl w:val="nil"/>
                  </w:tcBorders>
                  <w:noWrap w:val="0"/>
                  <w:tcMar>
                    <w:left w:w="28" w:type="dxa"/>
                    <w:right w:w="28" w:type="dxa"/>
                  </w:tcMar>
                  <w:vAlign w:val="center"/>
                </w:tcPr>
                <w:p w14:paraId="21E1218E">
                  <w:pPr>
                    <w:pStyle w:val="30"/>
                    <w:bidi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废水排放口</w:t>
                  </w:r>
                </w:p>
              </w:tc>
              <w:tc>
                <w:tcPr>
                  <w:tcW w:w="1248" w:type="pct"/>
                  <w:tcBorders>
                    <w:tl2br w:val="nil"/>
                    <w:tr2bl w:val="nil"/>
                  </w:tcBorders>
                  <w:noWrap w:val="0"/>
                  <w:tcMar>
                    <w:left w:w="28" w:type="dxa"/>
                    <w:right w:w="28" w:type="dxa"/>
                  </w:tcMar>
                  <w:vAlign w:val="center"/>
                </w:tcPr>
                <w:p w14:paraId="76E3C4F8">
                  <w:pPr>
                    <w:pStyle w:val="30"/>
                    <w:bidi w:val="0"/>
                    <w:rPr>
                      <w:rFonts w:hint="eastAsia" w:ascii="Times New Roman" w:hAnsi="Times New Roman"/>
                      <w:color w:val="auto"/>
                      <w:sz w:val="24"/>
                      <w:szCs w:val="24"/>
                    </w:rPr>
                  </w:pPr>
                  <w:r>
                    <w:rPr>
                      <w:rFonts w:hint="eastAsia" w:ascii="Times New Roman" w:hAnsi="Times New Roman"/>
                      <w:color w:val="auto"/>
                      <w:sz w:val="24"/>
                      <w:szCs w:val="24"/>
                    </w:rPr>
                    <w:t>废气排放口</w:t>
                  </w:r>
                </w:p>
              </w:tc>
              <w:tc>
                <w:tcPr>
                  <w:tcW w:w="1249" w:type="pct"/>
                  <w:tcBorders>
                    <w:tl2br w:val="nil"/>
                    <w:tr2bl w:val="nil"/>
                  </w:tcBorders>
                  <w:noWrap w:val="0"/>
                  <w:tcMar>
                    <w:left w:w="28" w:type="dxa"/>
                    <w:right w:w="28" w:type="dxa"/>
                  </w:tcMar>
                  <w:vAlign w:val="center"/>
                </w:tcPr>
                <w:p w14:paraId="293507DE">
                  <w:pPr>
                    <w:pStyle w:val="30"/>
                    <w:bidi w:val="0"/>
                    <w:rPr>
                      <w:rFonts w:hint="eastAsia" w:ascii="Times New Roman" w:hAnsi="Times New Roman"/>
                      <w:color w:val="auto"/>
                      <w:sz w:val="24"/>
                      <w:szCs w:val="24"/>
                    </w:rPr>
                  </w:pPr>
                  <w:r>
                    <w:rPr>
                      <w:rFonts w:hint="eastAsia" w:ascii="Times New Roman" w:hAnsi="Times New Roman"/>
                      <w:color w:val="auto"/>
                      <w:sz w:val="24"/>
                      <w:szCs w:val="24"/>
                    </w:rPr>
                    <w:t>噪声源</w:t>
                  </w:r>
                </w:p>
              </w:tc>
              <w:tc>
                <w:tcPr>
                  <w:tcW w:w="1253" w:type="pct"/>
                  <w:tcBorders>
                    <w:tl2br w:val="nil"/>
                    <w:tr2bl w:val="nil"/>
                  </w:tcBorders>
                  <w:noWrap w:val="0"/>
                  <w:tcMar>
                    <w:left w:w="28" w:type="dxa"/>
                    <w:right w:w="28" w:type="dxa"/>
                  </w:tcMar>
                  <w:vAlign w:val="center"/>
                </w:tcPr>
                <w:p w14:paraId="6C428621">
                  <w:pPr>
                    <w:pStyle w:val="30"/>
                    <w:bidi w:val="0"/>
                    <w:rPr>
                      <w:rFonts w:hint="default" w:ascii="Times New Roman" w:hAnsi="Times New Roman"/>
                      <w:color w:val="auto"/>
                      <w:sz w:val="24"/>
                      <w:szCs w:val="24"/>
                      <w:lang w:val="en-US" w:eastAsia="zh-CN"/>
                    </w:rPr>
                  </w:pPr>
                  <w:r>
                    <w:rPr>
                      <w:rFonts w:hint="eastAsia" w:ascii="Times New Roman" w:hAnsi="Times New Roman"/>
                      <w:color w:val="auto"/>
                      <w:sz w:val="24"/>
                      <w:szCs w:val="24"/>
                      <w:lang w:val="en-US" w:eastAsia="zh-CN"/>
                    </w:rPr>
                    <w:t>危险废物暂存间</w:t>
                  </w:r>
                </w:p>
              </w:tc>
            </w:tr>
            <w:tr w14:paraId="6FED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248" w:type="pct"/>
                  <w:tcBorders>
                    <w:tl2br w:val="nil"/>
                    <w:tr2bl w:val="nil"/>
                  </w:tcBorders>
                  <w:noWrap w:val="0"/>
                  <w:tcMar>
                    <w:left w:w="28" w:type="dxa"/>
                    <w:right w:w="28" w:type="dxa"/>
                  </w:tcMar>
                  <w:vAlign w:val="center"/>
                </w:tcPr>
                <w:p w14:paraId="19994818">
                  <w:pPr>
                    <w:pStyle w:val="30"/>
                    <w:bidi w:val="0"/>
                    <w:rPr>
                      <w:rFonts w:hint="eastAsia" w:ascii="Times New Roman" w:hAnsi="Times New Roman"/>
                      <w:color w:val="auto"/>
                      <w:sz w:val="24"/>
                      <w:szCs w:val="24"/>
                      <w:lang w:eastAsia="zh-CN"/>
                    </w:rPr>
                  </w:pPr>
                  <w:r>
                    <w:rPr>
                      <w:rFonts w:hint="eastAsia" w:ascii="Times New Roman" w:hAnsi="Times New Roman"/>
                      <w:color w:val="auto"/>
                      <w:sz w:val="24"/>
                      <w:szCs w:val="24"/>
                      <w:lang w:eastAsia="zh-CN"/>
                    </w:rPr>
                    <w:drawing>
                      <wp:inline distT="0" distB="0" distL="114300" distR="114300">
                        <wp:extent cx="762000" cy="733425"/>
                        <wp:effectExtent l="0" t="0" r="0" b="9525"/>
                        <wp:docPr id="29" name="图片 1" descr="194de620cd008fdffb49a09cbfefe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 descr="194de620cd008fdffb49a09cbfefefc"/>
                                <pic:cNvPicPr>
                                  <a:picLocks noChangeAspect="1"/>
                                </pic:cNvPicPr>
                              </pic:nvPicPr>
                              <pic:blipFill>
                                <a:blip r:embed="rId27"/>
                                <a:stretch>
                                  <a:fillRect/>
                                </a:stretch>
                              </pic:blipFill>
                              <pic:spPr>
                                <a:xfrm>
                                  <a:off x="0" y="0"/>
                                  <a:ext cx="762000" cy="733425"/>
                                </a:xfrm>
                                <a:prstGeom prst="rect">
                                  <a:avLst/>
                                </a:prstGeom>
                                <a:noFill/>
                                <a:ln>
                                  <a:noFill/>
                                </a:ln>
                              </pic:spPr>
                            </pic:pic>
                          </a:graphicData>
                        </a:graphic>
                      </wp:inline>
                    </w:drawing>
                  </w:r>
                </w:p>
              </w:tc>
              <w:tc>
                <w:tcPr>
                  <w:tcW w:w="1248" w:type="pct"/>
                  <w:tcBorders>
                    <w:tl2br w:val="nil"/>
                    <w:tr2bl w:val="nil"/>
                  </w:tcBorders>
                  <w:noWrap w:val="0"/>
                  <w:tcMar>
                    <w:left w:w="28" w:type="dxa"/>
                    <w:right w:w="28" w:type="dxa"/>
                  </w:tcMar>
                  <w:vAlign w:val="center"/>
                </w:tcPr>
                <w:p w14:paraId="7DD25007">
                  <w:pPr>
                    <w:pStyle w:val="30"/>
                    <w:bidi w:val="0"/>
                    <w:rPr>
                      <w:rFonts w:hint="eastAsia" w:ascii="Times New Roman" w:hAnsi="Times New Roman"/>
                      <w:color w:val="auto"/>
                      <w:sz w:val="24"/>
                      <w:szCs w:val="24"/>
                    </w:rPr>
                  </w:pPr>
                  <w:r>
                    <w:rPr>
                      <w:rFonts w:hint="eastAsia" w:ascii="Times New Roman" w:hAnsi="Times New Roman"/>
                      <w:color w:val="auto"/>
                      <w:sz w:val="24"/>
                      <w:szCs w:val="24"/>
                    </w:rPr>
                    <w:drawing>
                      <wp:inline distT="0" distB="0" distL="114300" distR="114300">
                        <wp:extent cx="720090" cy="720090"/>
                        <wp:effectExtent l="0" t="0" r="3810" b="3810"/>
                        <wp:docPr id="30" name="图片 2"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descr="点击看大图及详细资料"/>
                                <pic:cNvPicPr>
                                  <a:picLocks noChangeAspect="1"/>
                                </pic:cNvPicPr>
                              </pic:nvPicPr>
                              <pic:blipFill>
                                <a:blip r:embed="rId28"/>
                                <a:stretch>
                                  <a:fillRect/>
                                </a:stretch>
                              </pic:blipFill>
                              <pic:spPr>
                                <a:xfrm>
                                  <a:off x="0" y="0"/>
                                  <a:ext cx="720090" cy="720090"/>
                                </a:xfrm>
                                <a:prstGeom prst="rect">
                                  <a:avLst/>
                                </a:prstGeom>
                                <a:noFill/>
                                <a:ln>
                                  <a:noFill/>
                                </a:ln>
                              </pic:spPr>
                            </pic:pic>
                          </a:graphicData>
                        </a:graphic>
                      </wp:inline>
                    </w:drawing>
                  </w:r>
                </w:p>
              </w:tc>
              <w:tc>
                <w:tcPr>
                  <w:tcW w:w="1249" w:type="pct"/>
                  <w:tcBorders>
                    <w:tl2br w:val="nil"/>
                    <w:tr2bl w:val="nil"/>
                  </w:tcBorders>
                  <w:noWrap w:val="0"/>
                  <w:tcMar>
                    <w:left w:w="28" w:type="dxa"/>
                    <w:right w:w="28" w:type="dxa"/>
                  </w:tcMar>
                  <w:vAlign w:val="center"/>
                </w:tcPr>
                <w:p w14:paraId="2901D901">
                  <w:pPr>
                    <w:pStyle w:val="30"/>
                    <w:bidi w:val="0"/>
                    <w:rPr>
                      <w:rFonts w:hint="eastAsia" w:ascii="Times New Roman" w:hAnsi="Times New Roman"/>
                      <w:color w:val="auto"/>
                      <w:sz w:val="24"/>
                      <w:szCs w:val="24"/>
                    </w:rPr>
                  </w:pPr>
                  <w:r>
                    <w:rPr>
                      <w:rFonts w:hint="eastAsia" w:ascii="Times New Roman" w:hAnsi="Times New Roman"/>
                      <w:color w:val="auto"/>
                      <w:sz w:val="24"/>
                      <w:szCs w:val="24"/>
                    </w:rPr>
                    <w:drawing>
                      <wp:inline distT="0" distB="0" distL="114300" distR="114300">
                        <wp:extent cx="720090" cy="720090"/>
                        <wp:effectExtent l="0" t="0" r="3810" b="3810"/>
                        <wp:docPr id="31" name="图片 3" descr="点击看大图及详细资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点击看大图及详细资料"/>
                                <pic:cNvPicPr>
                                  <a:picLocks noChangeAspect="1"/>
                                </pic:cNvPicPr>
                              </pic:nvPicPr>
                              <pic:blipFill>
                                <a:blip r:embed="rId29"/>
                                <a:stretch>
                                  <a:fillRect/>
                                </a:stretch>
                              </pic:blipFill>
                              <pic:spPr>
                                <a:xfrm>
                                  <a:off x="0" y="0"/>
                                  <a:ext cx="720090" cy="720090"/>
                                </a:xfrm>
                                <a:prstGeom prst="rect">
                                  <a:avLst/>
                                </a:prstGeom>
                                <a:noFill/>
                                <a:ln>
                                  <a:noFill/>
                                </a:ln>
                              </pic:spPr>
                            </pic:pic>
                          </a:graphicData>
                        </a:graphic>
                      </wp:inline>
                    </w:drawing>
                  </w:r>
                </w:p>
              </w:tc>
              <w:tc>
                <w:tcPr>
                  <w:tcW w:w="1253" w:type="pct"/>
                  <w:tcBorders>
                    <w:tl2br w:val="nil"/>
                    <w:tr2bl w:val="nil"/>
                  </w:tcBorders>
                  <w:noWrap w:val="0"/>
                  <w:tcMar>
                    <w:left w:w="28" w:type="dxa"/>
                    <w:right w:w="28" w:type="dxa"/>
                  </w:tcMar>
                  <w:vAlign w:val="center"/>
                </w:tcPr>
                <w:p w14:paraId="69D83DE9">
                  <w:pPr>
                    <w:pStyle w:val="30"/>
                    <w:bidi w:val="0"/>
                    <w:rPr>
                      <w:rFonts w:hint="eastAsia" w:ascii="Times New Roman" w:hAnsi="Times New Roman"/>
                      <w:color w:val="auto"/>
                      <w:sz w:val="24"/>
                      <w:szCs w:val="24"/>
                    </w:rPr>
                  </w:pPr>
                  <w:r>
                    <w:rPr>
                      <w:rFonts w:ascii="Times New Roman" w:hAnsi="Times New Roman"/>
                      <w:color w:val="auto"/>
                      <w:sz w:val="24"/>
                      <w:szCs w:val="24"/>
                    </w:rPr>
                    <w:drawing>
                      <wp:inline distT="0" distB="0" distL="114300" distR="114300">
                        <wp:extent cx="1041400" cy="659130"/>
                        <wp:effectExtent l="0" t="0" r="6350" b="7620"/>
                        <wp:docPr id="3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4"/>
                                <pic:cNvPicPr>
                                  <a:picLocks noChangeAspect="1"/>
                                </pic:cNvPicPr>
                              </pic:nvPicPr>
                              <pic:blipFill>
                                <a:blip r:embed="rId30"/>
                                <a:stretch>
                                  <a:fillRect/>
                                </a:stretch>
                              </pic:blipFill>
                              <pic:spPr>
                                <a:xfrm>
                                  <a:off x="0" y="0"/>
                                  <a:ext cx="1041400" cy="659130"/>
                                </a:xfrm>
                                <a:prstGeom prst="rect">
                                  <a:avLst/>
                                </a:prstGeom>
                                <a:noFill/>
                                <a:ln>
                                  <a:noFill/>
                                </a:ln>
                              </pic:spPr>
                            </pic:pic>
                          </a:graphicData>
                        </a:graphic>
                      </wp:inline>
                    </w:drawing>
                  </w:r>
                </w:p>
              </w:tc>
            </w:tr>
            <w:tr w14:paraId="08B34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746" w:type="pct"/>
                  <w:gridSpan w:val="3"/>
                  <w:tcBorders>
                    <w:tl2br w:val="nil"/>
                    <w:tr2bl w:val="nil"/>
                  </w:tcBorders>
                  <w:noWrap w:val="0"/>
                  <w:vAlign w:val="center"/>
                </w:tcPr>
                <w:p w14:paraId="6AED3B31">
                  <w:pPr>
                    <w:pStyle w:val="30"/>
                    <w:bidi w:val="0"/>
                    <w:rPr>
                      <w:rFonts w:hint="default" w:ascii="Times New Roman" w:hAnsi="Times New Roman"/>
                      <w:color w:val="auto"/>
                      <w:sz w:val="24"/>
                      <w:szCs w:val="24"/>
                      <w:lang w:val="en-US" w:eastAsia="zh-CN"/>
                    </w:rPr>
                  </w:pPr>
                  <w:r>
                    <w:rPr>
                      <w:rFonts w:hint="eastAsia" w:ascii="Times New Roman" w:hAnsi="Times New Roman"/>
                      <w:color w:val="auto"/>
                      <w:sz w:val="24"/>
                      <w:szCs w:val="24"/>
                    </w:rPr>
                    <w:t>背景颜色：绿色</w:t>
                  </w:r>
                  <w:r>
                    <w:rPr>
                      <w:rFonts w:hint="eastAsia" w:ascii="Times New Roman" w:hAnsi="Times New Roman"/>
                      <w:color w:val="auto"/>
                      <w:sz w:val="24"/>
                      <w:szCs w:val="24"/>
                      <w:lang w:eastAsia="zh-CN"/>
                    </w:rPr>
                    <w:t>，</w:t>
                  </w:r>
                  <w:r>
                    <w:rPr>
                      <w:rFonts w:hint="eastAsia" w:ascii="Times New Roman" w:hAnsi="Times New Roman"/>
                      <w:color w:val="auto"/>
                      <w:sz w:val="24"/>
                      <w:szCs w:val="24"/>
                    </w:rPr>
                    <w:t>图形颜色：白色</w:t>
                  </w:r>
                </w:p>
              </w:tc>
              <w:tc>
                <w:tcPr>
                  <w:tcW w:w="1253" w:type="pct"/>
                  <w:tcBorders>
                    <w:tl2br w:val="nil"/>
                    <w:tr2bl w:val="nil"/>
                  </w:tcBorders>
                  <w:noWrap w:val="0"/>
                  <w:vAlign w:val="center"/>
                </w:tcPr>
                <w:p w14:paraId="13F684BC">
                  <w:pPr>
                    <w:pStyle w:val="30"/>
                    <w:bidi w:val="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背景颜色：黄色，图形颜色：黑色</w:t>
                  </w:r>
                </w:p>
              </w:tc>
            </w:tr>
          </w:tbl>
          <w:p w14:paraId="60AAE45B">
            <w:pPr>
              <w:pStyle w:val="27"/>
              <w:bidi w:val="0"/>
              <w:rPr>
                <w:rFonts w:hint="eastAsia" w:ascii="Times New Roman" w:hAnsi="Times New Roman"/>
                <w:color w:val="auto"/>
                <w:sz w:val="24"/>
                <w:szCs w:val="24"/>
              </w:rPr>
            </w:pPr>
          </w:p>
        </w:tc>
      </w:tr>
    </w:tbl>
    <w:p w14:paraId="18AD6D34">
      <w:pPr>
        <w:jc w:val="center"/>
        <w:outlineLvl w:val="3"/>
        <w:rPr>
          <w:rStyle w:val="26"/>
          <w:rFonts w:hint="eastAsia" w:ascii="Times New Roman" w:hAnsi="Times New Roman"/>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5192E2A">
      <w:pPr>
        <w:jc w:val="center"/>
        <w:outlineLvl w:val="3"/>
        <w:rPr>
          <w:rFonts w:ascii="Times New Roman" w:hAnsi="Times New Roman" w:eastAsia="黑体"/>
          <w:snapToGrid w:val="0"/>
          <w:color w:val="auto"/>
          <w:sz w:val="30"/>
          <w:szCs w:val="30"/>
        </w:rPr>
      </w:pPr>
      <w:r>
        <w:rPr>
          <w:rStyle w:val="26"/>
          <w:rFonts w:hint="eastAsia" w:ascii="Times New Roman" w:hAnsi="Times New Roman"/>
          <w:color w:val="auto"/>
        </w:rPr>
        <w:drawing>
          <wp:anchor distT="0" distB="0" distL="114300" distR="114300" simplePos="0" relativeHeight="251664384" behindDoc="0" locked="0" layoutInCell="1" allowOverlap="1">
            <wp:simplePos x="0" y="0"/>
            <wp:positionH relativeFrom="column">
              <wp:posOffset>7620</wp:posOffset>
            </wp:positionH>
            <wp:positionV relativeFrom="paragraph">
              <wp:posOffset>0</wp:posOffset>
            </wp:positionV>
            <wp:extent cx="5733415" cy="8108950"/>
            <wp:effectExtent l="0" t="0" r="635" b="6350"/>
            <wp:wrapNone/>
            <wp:docPr id="127" name="图片 127" descr="doc0082432026052714005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doc00824320260527140051_02"/>
                    <pic:cNvPicPr>
                      <a:picLocks noChangeAspect="1"/>
                    </pic:cNvPicPr>
                  </pic:nvPicPr>
                  <pic:blipFill>
                    <a:blip r:embed="rId31"/>
                    <a:stretch>
                      <a:fillRect/>
                    </a:stretch>
                  </pic:blipFill>
                  <pic:spPr>
                    <a:xfrm>
                      <a:off x="0" y="0"/>
                      <a:ext cx="5733415" cy="8108950"/>
                    </a:xfrm>
                    <a:prstGeom prst="rect">
                      <a:avLst/>
                    </a:prstGeom>
                  </pic:spPr>
                </pic:pic>
              </a:graphicData>
            </a:graphic>
          </wp:anchor>
        </w:drawing>
      </w:r>
      <w:r>
        <w:rPr>
          <w:rStyle w:val="26"/>
          <w:rFonts w:hint="eastAsia" w:ascii="Times New Roman" w:hAnsi="Times New Roman"/>
          <w:color w:val="auto"/>
        </w:rPr>
        <w:t>六、结论</w:t>
      </w:r>
    </w:p>
    <w:tbl>
      <w:tblPr>
        <w:tblStyle w:val="19"/>
        <w:tblW w:w="0" w:type="auto"/>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8865"/>
      </w:tblGrid>
      <w:tr w14:paraId="122F284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1991" w:hRule="atLeast"/>
          <w:jc w:val="center"/>
        </w:trPr>
        <w:tc>
          <w:tcPr>
            <w:tcW w:w="8865" w:type="dxa"/>
            <w:noWrap w:val="0"/>
            <w:vAlign w:val="center"/>
          </w:tcPr>
          <w:p w14:paraId="177AAA8A">
            <w:pPr>
              <w:keepNext/>
              <w:keepLines/>
              <w:widowControl w:val="0"/>
              <w:bidi w:val="0"/>
              <w:spacing w:beforeLines="0" w:beforeAutospacing="0" w:afterLines="0" w:afterAutospacing="0" w:line="360" w:lineRule="auto"/>
              <w:jc w:val="left"/>
              <w:textAlignment w:val="center"/>
              <w:outlineLvl w:val="1"/>
              <w:rPr>
                <w:rFonts w:hint="eastAsia" w:ascii="Times New Roman" w:hAnsi="Times New Roman" w:eastAsia="宋体" w:cs="Times New Roman"/>
                <w:b/>
                <w:color w:val="auto"/>
                <w:kern w:val="2"/>
                <w:sz w:val="28"/>
                <w:szCs w:val="24"/>
                <w:lang w:val="en-US" w:eastAsia="zh-CN" w:bidi="ar-SA"/>
              </w:rPr>
            </w:pPr>
            <w:r>
              <w:rPr>
                <w:rFonts w:hint="eastAsia" w:ascii="Times New Roman" w:hAnsi="Times New Roman" w:eastAsia="宋体" w:cs="Times New Roman"/>
                <w:b/>
                <w:color w:val="auto"/>
                <w:kern w:val="2"/>
                <w:sz w:val="28"/>
                <w:szCs w:val="24"/>
                <w:lang w:val="en-US" w:eastAsia="zh-CN" w:bidi="ar-SA"/>
              </w:rPr>
              <w:t>6.1总结论</w:t>
            </w:r>
          </w:p>
          <w:p w14:paraId="1214597A">
            <w:pPr>
              <w:pStyle w:val="5"/>
              <w:bidi w:val="0"/>
              <w:rPr>
                <w:rFonts w:hint="eastAsia" w:ascii="Times New Roman" w:hAnsi="Times New Roman"/>
                <w:color w:val="auto"/>
                <w:lang w:val="en-US" w:eastAsia="zh-CN"/>
              </w:rPr>
            </w:pPr>
            <w:r>
              <w:rPr>
                <w:rFonts w:hint="eastAsia" w:ascii="Times New Roman" w:hAnsi="Times New Roman"/>
                <w:color w:val="auto"/>
                <w:lang w:val="en-US" w:eastAsia="zh-CN"/>
              </w:rPr>
              <w:t>本项目符合国家产业政策，符合</w:t>
            </w:r>
            <w:r>
              <w:rPr>
                <w:rFonts w:hint="eastAsia"/>
                <w:color w:val="auto"/>
                <w:lang w:val="en-US" w:eastAsia="zh-CN"/>
              </w:rPr>
              <w:t>相关</w:t>
            </w:r>
            <w:r>
              <w:rPr>
                <w:rFonts w:hint="eastAsia" w:ascii="Times New Roman" w:hAnsi="Times New Roman"/>
                <w:color w:val="auto"/>
                <w:lang w:val="en-US" w:eastAsia="zh-CN"/>
              </w:rPr>
              <w:t>用地规划，符合生态环境分区管控要求。在认真执行建设项目环保“三同时”制度，切实落实各项</w:t>
            </w:r>
            <w:r>
              <w:rPr>
                <w:rFonts w:hint="eastAsia"/>
                <w:color w:val="auto"/>
                <w:lang w:val="en-US" w:eastAsia="zh-CN"/>
              </w:rPr>
              <w:t>污染防治措施和风险防范措施</w:t>
            </w:r>
            <w:r>
              <w:rPr>
                <w:rFonts w:hint="eastAsia" w:ascii="Times New Roman" w:hAnsi="Times New Roman"/>
                <w:color w:val="auto"/>
                <w:lang w:val="en-US" w:eastAsia="zh-CN"/>
              </w:rPr>
              <w:t>要求，确保各污染物达标排放</w:t>
            </w:r>
            <w:r>
              <w:rPr>
                <w:rFonts w:hint="eastAsia"/>
                <w:color w:val="auto"/>
                <w:lang w:val="en-US" w:eastAsia="zh-CN"/>
              </w:rPr>
              <w:t>后</w:t>
            </w:r>
            <w:r>
              <w:rPr>
                <w:rFonts w:hint="eastAsia" w:ascii="Times New Roman" w:hAnsi="Times New Roman"/>
                <w:color w:val="auto"/>
                <w:lang w:val="en-US" w:eastAsia="zh-CN"/>
              </w:rPr>
              <w:t>，</w:t>
            </w:r>
            <w:r>
              <w:rPr>
                <w:rFonts w:hint="eastAsia"/>
                <w:color w:val="auto"/>
                <w:lang w:val="en-US" w:eastAsia="zh-CN"/>
              </w:rPr>
              <w:t>本项目</w:t>
            </w:r>
            <w:r>
              <w:rPr>
                <w:rFonts w:hint="eastAsia" w:ascii="Times New Roman" w:hAnsi="Times New Roman"/>
                <w:color w:val="auto"/>
                <w:lang w:val="en-US" w:eastAsia="zh-CN"/>
              </w:rPr>
              <w:t>对周围环境影响较小。</w:t>
            </w:r>
            <w:r>
              <w:rPr>
                <w:rFonts w:hint="eastAsia"/>
                <w:color w:val="auto"/>
                <w:lang w:val="en-US" w:eastAsia="zh-CN"/>
              </w:rPr>
              <w:t>综上所述，</w:t>
            </w:r>
            <w:r>
              <w:rPr>
                <w:rFonts w:hint="eastAsia" w:ascii="Times New Roman" w:hAnsi="Times New Roman"/>
                <w:color w:val="auto"/>
                <w:lang w:val="en-US" w:eastAsia="zh-CN"/>
              </w:rPr>
              <w:t>从环境保护角度分析，该项目的建设是可行的。</w:t>
            </w:r>
          </w:p>
          <w:p w14:paraId="010091A5">
            <w:pPr>
              <w:pStyle w:val="5"/>
              <w:bidi w:val="0"/>
              <w:ind w:firstLine="0" w:firstLineChars="0"/>
              <w:rPr>
                <w:rFonts w:hint="eastAsia" w:ascii="Times New Roman" w:hAnsi="Times New Roman" w:eastAsia="宋体" w:cs="Times New Roman"/>
                <w:b/>
                <w:color w:val="auto"/>
                <w:kern w:val="2"/>
                <w:sz w:val="28"/>
                <w:szCs w:val="24"/>
                <w:lang w:val="en-US" w:eastAsia="zh-CN" w:bidi="ar-SA"/>
              </w:rPr>
            </w:pPr>
            <w:r>
              <w:rPr>
                <w:rFonts w:hint="eastAsia" w:ascii="Times New Roman" w:hAnsi="Times New Roman" w:eastAsia="宋体" w:cs="Times New Roman"/>
                <w:b/>
                <w:color w:val="auto"/>
                <w:kern w:val="2"/>
                <w:sz w:val="28"/>
                <w:szCs w:val="24"/>
                <w:lang w:val="en-US" w:eastAsia="zh-CN" w:bidi="ar-SA"/>
              </w:rPr>
              <w:t>6.2建议</w:t>
            </w:r>
          </w:p>
          <w:p w14:paraId="05867FDD">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（1）加强管理，保证生产设备正常运行，防止设备带故障使用，防止异常噪声的产生。</w:t>
            </w:r>
          </w:p>
          <w:p w14:paraId="3ED8A7FE">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（2）由厂内技术管理人员兼职环保工作负责环保设施的运行、检查、维护等工作。</w:t>
            </w:r>
          </w:p>
          <w:p w14:paraId="0B6EA0C4">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（3）加强职工的环保、安全教育，</w:t>
            </w:r>
            <w:r>
              <w:rPr>
                <w:rFonts w:hint="eastAsia" w:cs="宋体"/>
                <w:color w:val="auto"/>
                <w:kern w:val="2"/>
                <w:sz w:val="24"/>
                <w:szCs w:val="24"/>
                <w:lang w:val="en-US" w:eastAsia="zh-CN" w:bidi="ar-SA"/>
              </w:rPr>
              <w:t>增强</w:t>
            </w:r>
            <w:r>
              <w:rPr>
                <w:rFonts w:hint="eastAsia" w:ascii="Times New Roman" w:hAnsi="Times New Roman" w:eastAsia="宋体" w:cs="宋体"/>
                <w:color w:val="auto"/>
                <w:kern w:val="2"/>
                <w:sz w:val="24"/>
                <w:szCs w:val="24"/>
                <w:lang w:val="en-US" w:eastAsia="zh-CN" w:bidi="ar-SA"/>
              </w:rPr>
              <w:t>环保意识和安全生产意识。</w:t>
            </w:r>
          </w:p>
          <w:p w14:paraId="624C865A">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（4）项目建成投用后，不得新设对环境有污染的项目，项目若有变动，应办理审批手续。</w:t>
            </w:r>
          </w:p>
          <w:p w14:paraId="59C5720C">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（5）遵守国家关于环保治理措施管理的规定，定期提交设施运行及监测报告，接受环保管理部门的监督。</w:t>
            </w:r>
          </w:p>
          <w:p w14:paraId="5D2BCC85">
            <w:pPr>
              <w:widowControl w:val="0"/>
              <w:bidi w:val="0"/>
              <w:spacing w:line="360" w:lineRule="auto"/>
              <w:ind w:firstLine="480" w:firstLineChars="200"/>
              <w:jc w:val="both"/>
              <w:rPr>
                <w:rFonts w:hint="eastAsia"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（6）加强环保工作的管理，要认真落实环保“三同时”制度。</w:t>
            </w:r>
          </w:p>
          <w:p w14:paraId="0FD61906">
            <w:pPr>
              <w:widowControl w:val="0"/>
              <w:bidi w:val="0"/>
              <w:spacing w:line="360" w:lineRule="auto"/>
              <w:jc w:val="both"/>
              <w:rPr>
                <w:rFonts w:hint="eastAsia" w:ascii="Times New Roman" w:hAnsi="Times New Roman" w:eastAsia="宋体" w:cs="宋体"/>
                <w:color w:val="auto"/>
                <w:kern w:val="2"/>
                <w:sz w:val="24"/>
                <w:szCs w:val="24"/>
                <w:lang w:val="en-US" w:eastAsia="zh-CN" w:bidi="ar-SA"/>
              </w:rPr>
            </w:pPr>
          </w:p>
          <w:p w14:paraId="68979596">
            <w:pPr>
              <w:widowControl w:val="0"/>
              <w:bidi w:val="0"/>
              <w:spacing w:line="360" w:lineRule="auto"/>
              <w:jc w:val="both"/>
              <w:rPr>
                <w:rFonts w:hint="eastAsia" w:ascii="Times New Roman" w:hAnsi="Times New Roman" w:eastAsia="宋体" w:cs="宋体"/>
                <w:color w:val="auto"/>
                <w:kern w:val="2"/>
                <w:sz w:val="24"/>
                <w:szCs w:val="24"/>
                <w:lang w:val="en-US" w:eastAsia="zh-CN" w:bidi="ar-SA"/>
              </w:rPr>
            </w:pPr>
          </w:p>
          <w:p w14:paraId="19CB112D">
            <w:pPr>
              <w:widowControl w:val="0"/>
              <w:bidi w:val="0"/>
              <w:spacing w:line="360" w:lineRule="auto"/>
              <w:jc w:val="both"/>
              <w:rPr>
                <w:rFonts w:hint="eastAsia" w:ascii="Times New Roman" w:hAnsi="Times New Roman" w:eastAsia="宋体" w:cs="宋体"/>
                <w:color w:val="auto"/>
                <w:kern w:val="2"/>
                <w:sz w:val="24"/>
                <w:szCs w:val="24"/>
                <w:lang w:val="en-US" w:eastAsia="zh-CN" w:bidi="ar-SA"/>
              </w:rPr>
            </w:pPr>
          </w:p>
          <w:p w14:paraId="2B249670">
            <w:pPr>
              <w:widowControl w:val="0"/>
              <w:bidi w:val="0"/>
              <w:spacing w:line="360" w:lineRule="auto"/>
              <w:jc w:val="both"/>
              <w:rPr>
                <w:rFonts w:hint="eastAsia" w:ascii="Times New Roman" w:hAnsi="Times New Roman" w:eastAsia="宋体" w:cs="宋体"/>
                <w:color w:val="auto"/>
                <w:kern w:val="2"/>
                <w:sz w:val="24"/>
                <w:szCs w:val="24"/>
                <w:lang w:val="en-US" w:eastAsia="zh-CN" w:bidi="ar-SA"/>
              </w:rPr>
            </w:pPr>
          </w:p>
          <w:p w14:paraId="1A214464">
            <w:pPr>
              <w:widowControl w:val="0"/>
              <w:bidi w:val="0"/>
              <w:spacing w:line="360" w:lineRule="auto"/>
              <w:jc w:val="both"/>
              <w:rPr>
                <w:rFonts w:hint="eastAsia" w:ascii="Times New Roman" w:hAnsi="Times New Roman" w:eastAsia="宋体" w:cs="宋体"/>
                <w:color w:val="auto"/>
                <w:kern w:val="2"/>
                <w:sz w:val="24"/>
                <w:szCs w:val="24"/>
                <w:lang w:val="en-US" w:eastAsia="zh-CN" w:bidi="ar-SA"/>
              </w:rPr>
            </w:pPr>
          </w:p>
          <w:p w14:paraId="1F3AD26C">
            <w:pPr>
              <w:widowControl w:val="0"/>
              <w:bidi w:val="0"/>
              <w:spacing w:line="360" w:lineRule="auto"/>
              <w:jc w:val="both"/>
              <w:rPr>
                <w:rFonts w:hint="eastAsia" w:ascii="Times New Roman" w:hAnsi="Times New Roman" w:eastAsia="宋体" w:cs="宋体"/>
                <w:color w:val="auto"/>
                <w:kern w:val="2"/>
                <w:sz w:val="24"/>
                <w:szCs w:val="24"/>
                <w:lang w:val="en-US" w:eastAsia="zh-CN" w:bidi="ar-SA"/>
              </w:rPr>
            </w:pPr>
          </w:p>
          <w:p w14:paraId="0F72DEC2">
            <w:pPr>
              <w:widowControl w:val="0"/>
              <w:bidi w:val="0"/>
              <w:spacing w:line="360" w:lineRule="auto"/>
              <w:jc w:val="both"/>
              <w:rPr>
                <w:rFonts w:hint="eastAsia" w:ascii="Times New Roman" w:hAnsi="Times New Roman" w:eastAsia="宋体" w:cs="宋体"/>
                <w:color w:val="auto"/>
                <w:kern w:val="2"/>
                <w:sz w:val="24"/>
                <w:szCs w:val="24"/>
                <w:lang w:val="en-US" w:eastAsia="zh-CN" w:bidi="ar-SA"/>
              </w:rPr>
            </w:pPr>
          </w:p>
          <w:p w14:paraId="2E4B5504">
            <w:pPr>
              <w:widowControl w:val="0"/>
              <w:bidi w:val="0"/>
              <w:spacing w:line="360" w:lineRule="auto"/>
              <w:jc w:val="both"/>
              <w:rPr>
                <w:rFonts w:hint="eastAsia" w:ascii="Times New Roman" w:hAnsi="Times New Roman" w:eastAsia="宋体" w:cs="宋体"/>
                <w:color w:val="auto"/>
                <w:kern w:val="2"/>
                <w:sz w:val="24"/>
                <w:szCs w:val="24"/>
                <w:lang w:val="en-US" w:eastAsia="zh-CN" w:bidi="ar-SA"/>
              </w:rPr>
            </w:pPr>
          </w:p>
          <w:p w14:paraId="745BA0DB">
            <w:pPr>
              <w:widowControl w:val="0"/>
              <w:bidi w:val="0"/>
              <w:spacing w:line="360" w:lineRule="auto"/>
              <w:ind w:firstLine="480" w:firstLineChars="200"/>
              <w:jc w:val="right"/>
              <w:rPr>
                <w:rFonts w:hint="default" w:ascii="Times New Roman" w:hAnsi="Times New Roman" w:eastAsia="宋体" w:cs="宋体"/>
                <w:color w:val="auto"/>
                <w:kern w:val="2"/>
                <w:sz w:val="24"/>
                <w:szCs w:val="24"/>
                <w:lang w:val="en-US" w:eastAsia="zh-CN" w:bidi="ar-SA"/>
              </w:rPr>
            </w:pPr>
            <w:r>
              <w:rPr>
                <w:rFonts w:hint="eastAsia" w:ascii="Times New Roman" w:hAnsi="Times New Roman" w:eastAsia="宋体" w:cs="宋体"/>
                <w:color w:val="auto"/>
                <w:kern w:val="2"/>
                <w:sz w:val="24"/>
                <w:szCs w:val="24"/>
                <w:lang w:val="en-US" w:eastAsia="zh-CN" w:bidi="ar-SA"/>
              </w:rPr>
              <w:t>编制单位：福州朴诚至信环保科技有限公司</w:t>
            </w:r>
          </w:p>
          <w:p w14:paraId="63B1349E">
            <w:pPr>
              <w:spacing w:line="360" w:lineRule="auto"/>
              <w:jc w:val="right"/>
              <w:rPr>
                <w:rFonts w:ascii="Times New Roman" w:hAnsi="Times New Roman" w:cs="宋体"/>
                <w:color w:val="auto"/>
                <w:sz w:val="24"/>
              </w:rPr>
            </w:pPr>
            <w:r>
              <w:rPr>
                <w:rFonts w:hint="eastAsia" w:ascii="Times New Roman" w:hAnsi="Times New Roman" w:eastAsia="宋体" w:cs="宋体"/>
                <w:color w:val="auto"/>
                <w:kern w:val="2"/>
                <w:sz w:val="24"/>
                <w:szCs w:val="24"/>
                <w:lang w:val="en-US" w:eastAsia="zh-CN" w:bidi="ar-SA"/>
              </w:rPr>
              <w:t>2026年5月</w:t>
            </w:r>
          </w:p>
        </w:tc>
      </w:tr>
    </w:tbl>
    <w:p w14:paraId="75AFC020">
      <w:pPr>
        <w:jc w:val="center"/>
        <w:outlineLvl w:val="9"/>
        <w:rPr>
          <w:rFonts w:ascii="Times New Roman" w:hAnsi="Times New Roman" w:eastAsia="黑体"/>
          <w:snapToGrid w:val="0"/>
          <w:color w:val="auto"/>
          <w:sz w:val="30"/>
          <w:szCs w:val="30"/>
        </w:rPr>
      </w:pPr>
    </w:p>
    <w:p w14:paraId="40EE1445">
      <w:pPr>
        <w:jc w:val="center"/>
        <w:rPr>
          <w:rFonts w:ascii="Times New Roman" w:hAnsi="Times New Roman"/>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D97B0D3">
      <w:pPr>
        <w:bidi w:val="0"/>
        <w:jc w:val="center"/>
        <w:outlineLvl w:val="9"/>
        <w:rPr>
          <w:rFonts w:hint="eastAsia" w:ascii="Times New Roman" w:hAnsi="Times New Roman"/>
          <w:color w:val="auto"/>
        </w:rPr>
      </w:pPr>
      <w:r>
        <w:rPr>
          <w:rFonts w:hint="eastAsia" w:ascii="Times New Roman" w:hAnsi="Times New Roman"/>
          <w:color w:val="auto"/>
        </w:rPr>
        <w:t>建设项目污染物排放量汇总表</w:t>
      </w:r>
    </w:p>
    <w:tbl>
      <w:tblPr>
        <w:tblStyle w:val="19"/>
        <w:tblW w:w="12515"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578"/>
        <w:gridCol w:w="1695"/>
      </w:tblGrid>
      <w:tr w14:paraId="61226B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14:paraId="2087DD2D">
            <w:pPr>
              <w:pStyle w:val="30"/>
              <w:bidi w:val="0"/>
              <w:jc w:val="right"/>
              <w:rPr>
                <w:rFonts w:hint="eastAsia" w:ascii="Times New Roman" w:hAnsi="Times New Roman"/>
                <w:color w:val="auto"/>
              </w:rPr>
            </w:pPr>
            <w:r>
              <w:rPr>
                <w:rFonts w:hint="eastAsia" w:ascii="Times New Roman" w:hAnsi="Times New Roman"/>
                <w:color w:val="auto"/>
              </w:rPr>
              <w:t>项目</w:t>
            </w:r>
          </w:p>
          <w:p w14:paraId="68A9B3A7">
            <w:pPr>
              <w:pStyle w:val="30"/>
              <w:bidi w:val="0"/>
              <w:jc w:val="left"/>
              <w:rPr>
                <w:rFonts w:hint="eastAsia" w:ascii="Times New Roman" w:hAnsi="Times New Roman"/>
                <w:color w:val="auto"/>
              </w:rPr>
            </w:pPr>
            <w:r>
              <w:rPr>
                <w:rFonts w:hint="eastAsia" w:ascii="Times New Roman" w:hAnsi="Times New Roman"/>
                <w:color w:val="auto"/>
              </w:rPr>
              <w:t>分类</w:t>
            </w:r>
          </w:p>
        </w:tc>
        <w:tc>
          <w:tcPr>
            <w:tcW w:w="1417" w:type="dxa"/>
            <w:noWrap w:val="0"/>
            <w:tcMar>
              <w:left w:w="28" w:type="dxa"/>
              <w:right w:w="28" w:type="dxa"/>
            </w:tcMar>
            <w:vAlign w:val="center"/>
          </w:tcPr>
          <w:p w14:paraId="42AC1402">
            <w:pPr>
              <w:pStyle w:val="30"/>
              <w:bidi w:val="0"/>
              <w:rPr>
                <w:rFonts w:hint="eastAsia" w:ascii="Times New Roman" w:hAnsi="Times New Roman"/>
                <w:color w:val="auto"/>
              </w:rPr>
            </w:pPr>
            <w:r>
              <w:rPr>
                <w:rFonts w:hint="eastAsia" w:ascii="Times New Roman" w:hAnsi="Times New Roman"/>
                <w:color w:val="auto"/>
              </w:rPr>
              <w:t>污染物名称</w:t>
            </w:r>
          </w:p>
        </w:tc>
        <w:tc>
          <w:tcPr>
            <w:tcW w:w="1701" w:type="dxa"/>
            <w:noWrap w:val="0"/>
            <w:tcMar>
              <w:left w:w="28" w:type="dxa"/>
              <w:right w:w="28" w:type="dxa"/>
            </w:tcMar>
            <w:vAlign w:val="center"/>
          </w:tcPr>
          <w:p w14:paraId="7D64405F">
            <w:pPr>
              <w:pStyle w:val="30"/>
              <w:bidi w:val="0"/>
              <w:rPr>
                <w:rFonts w:hint="eastAsia" w:ascii="Times New Roman" w:hAnsi="Times New Roman"/>
                <w:color w:val="auto"/>
              </w:rPr>
            </w:pPr>
            <w:r>
              <w:rPr>
                <w:rFonts w:ascii="Times New Roman" w:hAnsi="Times New Roman"/>
                <w:color w:val="auto"/>
              </w:rPr>
              <w:t>现有工程</w:t>
            </w:r>
          </w:p>
          <w:p w14:paraId="48CA1DDA">
            <w:pPr>
              <w:pStyle w:val="30"/>
              <w:bidi w:val="0"/>
              <w:rPr>
                <w:rFonts w:ascii="Times New Roman" w:hAnsi="Times New Roman"/>
                <w:color w:val="auto"/>
              </w:rPr>
            </w:pPr>
            <w:r>
              <w:rPr>
                <w:rFonts w:ascii="Times New Roman" w:hAnsi="Times New Roman"/>
                <w:color w:val="auto"/>
              </w:rPr>
              <w:t>排放量（固</w:t>
            </w:r>
            <w:r>
              <w:rPr>
                <w:rFonts w:hint="eastAsia" w:ascii="Times New Roman" w:hAnsi="Times New Roman"/>
                <w:color w:val="auto"/>
              </w:rPr>
              <w:t>体</w:t>
            </w:r>
            <w:r>
              <w:rPr>
                <w:rFonts w:ascii="Times New Roman" w:hAnsi="Times New Roman"/>
                <w:color w:val="auto"/>
              </w:rPr>
              <w:t>废</w:t>
            </w:r>
            <w:r>
              <w:rPr>
                <w:rFonts w:hint="eastAsia" w:ascii="Times New Roman" w:hAnsi="Times New Roman"/>
                <w:color w:val="auto"/>
              </w:rPr>
              <w:t>物</w:t>
            </w:r>
            <w:r>
              <w:rPr>
                <w:rFonts w:ascii="Times New Roman" w:hAnsi="Times New Roman"/>
                <w:color w:val="auto"/>
              </w:rPr>
              <w:t>产生量）</w:t>
            </w:r>
            <w:r>
              <w:rPr>
                <w:rFonts w:ascii="Times New Roman" w:hAnsi="Times New Roman"/>
                <w:color w:val="auto"/>
              </w:rPr>
              <w:fldChar w:fldCharType="begin"/>
            </w:r>
            <w:r>
              <w:rPr>
                <w:rFonts w:ascii="Times New Roman" w:hAnsi="Times New Roman"/>
                <w:color w:val="auto"/>
              </w:rPr>
              <w:instrText xml:space="preserve"> = 1 \* GB3 \* MERGEFORMAT </w:instrText>
            </w:r>
            <w:r>
              <w:rPr>
                <w:rFonts w:ascii="Times New Roman" w:hAnsi="Times New Roman"/>
                <w:color w:val="auto"/>
              </w:rPr>
              <w:fldChar w:fldCharType="separate"/>
            </w:r>
            <w:r>
              <w:rPr>
                <w:rFonts w:hint="eastAsia" w:ascii="Times New Roman" w:hAnsi="Times New Roman"/>
                <w:color w:val="auto"/>
              </w:rPr>
              <w:t>①</w:t>
            </w:r>
            <w:r>
              <w:rPr>
                <w:rFonts w:ascii="Times New Roman" w:hAnsi="Times New Roman"/>
                <w:color w:val="auto"/>
              </w:rPr>
              <w:fldChar w:fldCharType="end"/>
            </w:r>
          </w:p>
        </w:tc>
        <w:tc>
          <w:tcPr>
            <w:tcW w:w="1276" w:type="dxa"/>
            <w:noWrap w:val="0"/>
            <w:tcMar>
              <w:left w:w="28" w:type="dxa"/>
              <w:right w:w="28" w:type="dxa"/>
            </w:tcMar>
            <w:vAlign w:val="center"/>
          </w:tcPr>
          <w:p w14:paraId="0783DD1C">
            <w:pPr>
              <w:pStyle w:val="30"/>
              <w:bidi w:val="0"/>
              <w:rPr>
                <w:rFonts w:ascii="Times New Roman" w:hAnsi="Times New Roman"/>
                <w:color w:val="auto"/>
              </w:rPr>
            </w:pPr>
            <w:r>
              <w:rPr>
                <w:rFonts w:ascii="Times New Roman" w:hAnsi="Times New Roman"/>
                <w:color w:val="auto"/>
              </w:rPr>
              <w:t>现有工程</w:t>
            </w:r>
          </w:p>
          <w:p w14:paraId="546BD7DC">
            <w:pPr>
              <w:pStyle w:val="30"/>
              <w:bidi w:val="0"/>
              <w:rPr>
                <w:rFonts w:ascii="Times New Roman" w:hAnsi="Times New Roman"/>
                <w:color w:val="auto"/>
              </w:rPr>
            </w:pPr>
            <w:r>
              <w:rPr>
                <w:rFonts w:ascii="Times New Roman" w:hAnsi="Times New Roman"/>
                <w:color w:val="auto"/>
              </w:rPr>
              <w:t>许可排放量</w:t>
            </w:r>
          </w:p>
          <w:p w14:paraId="564DAF40">
            <w:pPr>
              <w:pStyle w:val="30"/>
              <w:bidi w:val="0"/>
              <w:rPr>
                <w:rFonts w:ascii="Times New Roman" w:hAnsi="Times New Roman"/>
                <w:color w:val="auto"/>
              </w:rPr>
            </w:pPr>
            <w:r>
              <w:rPr>
                <w:rFonts w:ascii="Times New Roman" w:hAnsi="Times New Roman"/>
                <w:color w:val="auto"/>
              </w:rPr>
              <w:fldChar w:fldCharType="begin"/>
            </w:r>
            <w:r>
              <w:rPr>
                <w:rFonts w:ascii="Times New Roman" w:hAnsi="Times New Roman"/>
                <w:color w:val="auto"/>
              </w:rPr>
              <w:instrText xml:space="preserve"> = 2 \* GB3 \* MERGEFORMAT </w:instrText>
            </w:r>
            <w:r>
              <w:rPr>
                <w:rFonts w:ascii="Times New Roman" w:hAnsi="Times New Roman"/>
                <w:color w:val="auto"/>
              </w:rPr>
              <w:fldChar w:fldCharType="separate"/>
            </w:r>
            <w:r>
              <w:rPr>
                <w:rFonts w:hint="eastAsia" w:ascii="Times New Roman" w:hAnsi="Times New Roman"/>
                <w:color w:val="auto"/>
              </w:rPr>
              <w:t>②</w:t>
            </w:r>
            <w:r>
              <w:rPr>
                <w:rFonts w:ascii="Times New Roman" w:hAnsi="Times New Roman"/>
                <w:color w:val="auto"/>
              </w:rPr>
              <w:fldChar w:fldCharType="end"/>
            </w:r>
          </w:p>
        </w:tc>
        <w:tc>
          <w:tcPr>
            <w:tcW w:w="1701" w:type="dxa"/>
            <w:noWrap w:val="0"/>
            <w:tcMar>
              <w:left w:w="28" w:type="dxa"/>
              <w:right w:w="28" w:type="dxa"/>
            </w:tcMar>
            <w:vAlign w:val="center"/>
          </w:tcPr>
          <w:p w14:paraId="64718637">
            <w:pPr>
              <w:pStyle w:val="30"/>
              <w:bidi w:val="0"/>
              <w:rPr>
                <w:rFonts w:hint="eastAsia" w:ascii="Times New Roman" w:hAnsi="Times New Roman"/>
                <w:color w:val="auto"/>
              </w:rPr>
            </w:pPr>
            <w:r>
              <w:rPr>
                <w:rFonts w:ascii="Times New Roman" w:hAnsi="Times New Roman"/>
                <w:color w:val="auto"/>
              </w:rPr>
              <w:t>在建工程</w:t>
            </w:r>
          </w:p>
          <w:p w14:paraId="3B79E824">
            <w:pPr>
              <w:pStyle w:val="30"/>
              <w:bidi w:val="0"/>
              <w:rPr>
                <w:rFonts w:ascii="Times New Roman" w:hAnsi="Times New Roman"/>
                <w:color w:val="auto"/>
              </w:rPr>
            </w:pPr>
            <w:r>
              <w:rPr>
                <w:rFonts w:ascii="Times New Roman" w:hAnsi="Times New Roman"/>
                <w:color w:val="auto"/>
              </w:rPr>
              <w:t>排放量（固</w:t>
            </w:r>
            <w:r>
              <w:rPr>
                <w:rFonts w:hint="eastAsia" w:ascii="Times New Roman" w:hAnsi="Times New Roman"/>
                <w:color w:val="auto"/>
              </w:rPr>
              <w:t>体</w:t>
            </w:r>
            <w:r>
              <w:rPr>
                <w:rFonts w:ascii="Times New Roman" w:hAnsi="Times New Roman"/>
                <w:color w:val="auto"/>
              </w:rPr>
              <w:t>废</w:t>
            </w:r>
            <w:r>
              <w:rPr>
                <w:rFonts w:hint="eastAsia" w:ascii="Times New Roman" w:hAnsi="Times New Roman"/>
                <w:color w:val="auto"/>
              </w:rPr>
              <w:t>物</w:t>
            </w:r>
            <w:r>
              <w:rPr>
                <w:rFonts w:ascii="Times New Roman" w:hAnsi="Times New Roman"/>
                <w:color w:val="auto"/>
              </w:rPr>
              <w:t>产生量）</w:t>
            </w:r>
            <w:r>
              <w:rPr>
                <w:rFonts w:ascii="Times New Roman" w:hAnsi="Times New Roman"/>
                <w:color w:val="auto"/>
              </w:rPr>
              <w:fldChar w:fldCharType="begin"/>
            </w:r>
            <w:r>
              <w:rPr>
                <w:rFonts w:ascii="Times New Roman" w:hAnsi="Times New Roman"/>
                <w:color w:val="auto"/>
              </w:rPr>
              <w:instrText xml:space="preserve"> = 3 \* GB3 \* MERGEFORMAT </w:instrText>
            </w:r>
            <w:r>
              <w:rPr>
                <w:rFonts w:ascii="Times New Roman" w:hAnsi="Times New Roman"/>
                <w:color w:val="auto"/>
              </w:rPr>
              <w:fldChar w:fldCharType="separate"/>
            </w:r>
            <w:r>
              <w:rPr>
                <w:rFonts w:hint="eastAsia" w:ascii="Times New Roman" w:hAnsi="Times New Roman"/>
                <w:color w:val="auto"/>
              </w:rPr>
              <w:t>③</w:t>
            </w:r>
            <w:r>
              <w:rPr>
                <w:rFonts w:ascii="Times New Roman" w:hAnsi="Times New Roman"/>
                <w:color w:val="auto"/>
              </w:rPr>
              <w:fldChar w:fldCharType="end"/>
            </w:r>
          </w:p>
        </w:tc>
        <w:tc>
          <w:tcPr>
            <w:tcW w:w="1559" w:type="dxa"/>
            <w:noWrap w:val="0"/>
            <w:tcMar>
              <w:left w:w="28" w:type="dxa"/>
              <w:right w:w="28" w:type="dxa"/>
            </w:tcMar>
            <w:vAlign w:val="center"/>
          </w:tcPr>
          <w:p w14:paraId="03376F87">
            <w:pPr>
              <w:pStyle w:val="30"/>
              <w:bidi w:val="0"/>
              <w:rPr>
                <w:rFonts w:hint="eastAsia" w:ascii="Times New Roman" w:hAnsi="Times New Roman"/>
                <w:color w:val="auto"/>
              </w:rPr>
            </w:pPr>
            <w:r>
              <w:rPr>
                <w:rFonts w:ascii="Times New Roman" w:hAnsi="Times New Roman"/>
                <w:color w:val="auto"/>
              </w:rPr>
              <w:t>本项目</w:t>
            </w:r>
          </w:p>
          <w:p w14:paraId="04940B8C">
            <w:pPr>
              <w:pStyle w:val="30"/>
              <w:bidi w:val="0"/>
              <w:rPr>
                <w:rFonts w:ascii="Times New Roman" w:hAnsi="Times New Roman"/>
                <w:color w:val="auto"/>
              </w:rPr>
            </w:pPr>
            <w:r>
              <w:rPr>
                <w:rFonts w:ascii="Times New Roman" w:hAnsi="Times New Roman"/>
                <w:color w:val="auto"/>
              </w:rPr>
              <w:t>排放量（固</w:t>
            </w:r>
            <w:r>
              <w:rPr>
                <w:rFonts w:hint="eastAsia" w:ascii="Times New Roman" w:hAnsi="Times New Roman"/>
                <w:color w:val="auto"/>
              </w:rPr>
              <w:t>体</w:t>
            </w:r>
            <w:r>
              <w:rPr>
                <w:rFonts w:ascii="Times New Roman" w:hAnsi="Times New Roman"/>
                <w:color w:val="auto"/>
              </w:rPr>
              <w:t>废</w:t>
            </w:r>
            <w:r>
              <w:rPr>
                <w:rFonts w:hint="eastAsia" w:ascii="Times New Roman" w:hAnsi="Times New Roman"/>
                <w:color w:val="auto"/>
              </w:rPr>
              <w:t>物</w:t>
            </w:r>
            <w:r>
              <w:rPr>
                <w:rFonts w:ascii="Times New Roman" w:hAnsi="Times New Roman"/>
                <w:color w:val="auto"/>
              </w:rPr>
              <w:t>产生量）</w:t>
            </w:r>
            <w:r>
              <w:rPr>
                <w:rFonts w:ascii="Times New Roman" w:hAnsi="Times New Roman"/>
                <w:color w:val="auto"/>
              </w:rPr>
              <w:fldChar w:fldCharType="begin"/>
            </w:r>
            <w:r>
              <w:rPr>
                <w:rFonts w:ascii="Times New Roman" w:hAnsi="Times New Roman"/>
                <w:color w:val="auto"/>
              </w:rPr>
              <w:instrText xml:space="preserve"> = 4 \* GB3 \* MERGEFORMAT </w:instrText>
            </w:r>
            <w:r>
              <w:rPr>
                <w:rFonts w:ascii="Times New Roman" w:hAnsi="Times New Roman"/>
                <w:color w:val="auto"/>
              </w:rPr>
              <w:fldChar w:fldCharType="separate"/>
            </w:r>
            <w:r>
              <w:rPr>
                <w:rFonts w:hint="eastAsia" w:ascii="Times New Roman" w:hAnsi="Times New Roman"/>
                <w:color w:val="auto"/>
              </w:rPr>
              <w:t>④</w:t>
            </w:r>
            <w:r>
              <w:rPr>
                <w:rFonts w:ascii="Times New Roman" w:hAnsi="Times New Roman"/>
                <w:color w:val="auto"/>
              </w:rPr>
              <w:fldChar w:fldCharType="end"/>
            </w:r>
          </w:p>
        </w:tc>
        <w:tc>
          <w:tcPr>
            <w:tcW w:w="1578" w:type="dxa"/>
            <w:noWrap w:val="0"/>
            <w:tcMar>
              <w:left w:w="28" w:type="dxa"/>
              <w:right w:w="28" w:type="dxa"/>
            </w:tcMar>
            <w:vAlign w:val="center"/>
          </w:tcPr>
          <w:p w14:paraId="5AE9BF86">
            <w:pPr>
              <w:pStyle w:val="30"/>
              <w:bidi w:val="0"/>
              <w:rPr>
                <w:rFonts w:hint="eastAsia" w:ascii="Times New Roman" w:hAnsi="Times New Roman"/>
                <w:color w:val="auto"/>
              </w:rPr>
            </w:pPr>
            <w:r>
              <w:rPr>
                <w:rFonts w:ascii="Times New Roman" w:hAnsi="Times New Roman"/>
                <w:color w:val="auto"/>
              </w:rPr>
              <w:t>以新带老削减量</w:t>
            </w:r>
          </w:p>
          <w:p w14:paraId="7B8A48D6">
            <w:pPr>
              <w:pStyle w:val="30"/>
              <w:bidi w:val="0"/>
              <w:rPr>
                <w:rFonts w:ascii="Times New Roman" w:hAnsi="Times New Roman"/>
                <w:color w:val="auto"/>
              </w:rPr>
            </w:pPr>
            <w:r>
              <w:rPr>
                <w:rFonts w:ascii="Times New Roman" w:hAnsi="Times New Roman"/>
                <w:color w:val="auto"/>
              </w:rPr>
              <w:t>（新建项目不填）</w:t>
            </w:r>
            <w:r>
              <w:rPr>
                <w:rFonts w:ascii="Times New Roman" w:hAnsi="Times New Roman"/>
                <w:color w:val="auto"/>
              </w:rPr>
              <w:fldChar w:fldCharType="begin"/>
            </w:r>
            <w:r>
              <w:rPr>
                <w:rFonts w:ascii="Times New Roman" w:hAnsi="Times New Roman"/>
                <w:color w:val="auto"/>
              </w:rPr>
              <w:instrText xml:space="preserve"> = 5 \* GB3 \* MERGEFORMAT </w:instrText>
            </w:r>
            <w:r>
              <w:rPr>
                <w:rFonts w:ascii="Times New Roman" w:hAnsi="Times New Roman"/>
                <w:color w:val="auto"/>
              </w:rPr>
              <w:fldChar w:fldCharType="separate"/>
            </w:r>
            <w:r>
              <w:rPr>
                <w:rFonts w:hint="eastAsia" w:ascii="Times New Roman" w:hAnsi="Times New Roman"/>
                <w:color w:val="auto"/>
              </w:rPr>
              <w:t>⑤</w:t>
            </w:r>
            <w:r>
              <w:rPr>
                <w:rFonts w:ascii="Times New Roman" w:hAnsi="Times New Roman"/>
                <w:color w:val="auto"/>
              </w:rPr>
              <w:fldChar w:fldCharType="end"/>
            </w:r>
          </w:p>
        </w:tc>
        <w:tc>
          <w:tcPr>
            <w:tcW w:w="1695" w:type="dxa"/>
            <w:noWrap w:val="0"/>
            <w:tcMar>
              <w:left w:w="28" w:type="dxa"/>
              <w:right w:w="28" w:type="dxa"/>
            </w:tcMar>
            <w:vAlign w:val="center"/>
          </w:tcPr>
          <w:p w14:paraId="5B2ED853">
            <w:pPr>
              <w:pStyle w:val="30"/>
              <w:bidi w:val="0"/>
              <w:rPr>
                <w:rFonts w:hint="eastAsia" w:ascii="Times New Roman" w:hAnsi="Times New Roman"/>
                <w:color w:val="auto"/>
              </w:rPr>
            </w:pPr>
            <w:r>
              <w:rPr>
                <w:rFonts w:ascii="Times New Roman" w:hAnsi="Times New Roman"/>
                <w:color w:val="auto"/>
              </w:rPr>
              <w:t>本项目建成后</w:t>
            </w:r>
          </w:p>
          <w:p w14:paraId="3C636AC6">
            <w:pPr>
              <w:pStyle w:val="30"/>
              <w:bidi w:val="0"/>
              <w:rPr>
                <w:rFonts w:ascii="Times New Roman" w:hAnsi="Times New Roman"/>
                <w:color w:val="auto"/>
              </w:rPr>
            </w:pPr>
            <w:r>
              <w:rPr>
                <w:rFonts w:hint="eastAsia" w:ascii="Times New Roman" w:hAnsi="Times New Roman"/>
                <w:color w:val="auto"/>
              </w:rPr>
              <w:t>全厂</w:t>
            </w:r>
            <w:r>
              <w:rPr>
                <w:rFonts w:ascii="Times New Roman" w:hAnsi="Times New Roman"/>
                <w:color w:val="auto"/>
              </w:rPr>
              <w:t>排放量（固</w:t>
            </w:r>
            <w:r>
              <w:rPr>
                <w:rFonts w:hint="eastAsia" w:ascii="Times New Roman" w:hAnsi="Times New Roman"/>
                <w:color w:val="auto"/>
              </w:rPr>
              <w:t>体</w:t>
            </w:r>
            <w:r>
              <w:rPr>
                <w:rFonts w:ascii="Times New Roman" w:hAnsi="Times New Roman"/>
                <w:color w:val="auto"/>
              </w:rPr>
              <w:t>废</w:t>
            </w:r>
            <w:r>
              <w:rPr>
                <w:rFonts w:hint="eastAsia" w:ascii="Times New Roman" w:hAnsi="Times New Roman"/>
                <w:color w:val="auto"/>
              </w:rPr>
              <w:t>物</w:t>
            </w:r>
            <w:r>
              <w:rPr>
                <w:rFonts w:ascii="Times New Roman" w:hAnsi="Times New Roman"/>
                <w:color w:val="auto"/>
              </w:rPr>
              <w:t>产生量）</w:t>
            </w:r>
            <w:r>
              <w:rPr>
                <w:rFonts w:ascii="Times New Roman" w:hAnsi="Times New Roman"/>
                <w:color w:val="auto"/>
              </w:rPr>
              <w:fldChar w:fldCharType="begin"/>
            </w:r>
            <w:r>
              <w:rPr>
                <w:rFonts w:ascii="Times New Roman" w:hAnsi="Times New Roman"/>
                <w:color w:val="auto"/>
              </w:rPr>
              <w:instrText xml:space="preserve"> = 6 \* GB3 \* MERGEFORMAT </w:instrText>
            </w:r>
            <w:r>
              <w:rPr>
                <w:rFonts w:ascii="Times New Roman" w:hAnsi="Times New Roman"/>
                <w:color w:val="auto"/>
              </w:rPr>
              <w:fldChar w:fldCharType="separate"/>
            </w:r>
            <w:r>
              <w:rPr>
                <w:rFonts w:hint="eastAsia" w:ascii="Times New Roman" w:hAnsi="Times New Roman"/>
                <w:color w:val="auto"/>
              </w:rPr>
              <w:t>⑥</w:t>
            </w:r>
            <w:r>
              <w:rPr>
                <w:rFonts w:ascii="Times New Roman" w:hAnsi="Times New Roman"/>
                <w:color w:val="auto"/>
              </w:rPr>
              <w:fldChar w:fldCharType="end"/>
            </w:r>
          </w:p>
        </w:tc>
      </w:tr>
      <w:tr w14:paraId="00479E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restart"/>
            <w:noWrap w:val="0"/>
            <w:vAlign w:val="center"/>
          </w:tcPr>
          <w:p w14:paraId="5E73C5EA">
            <w:pPr>
              <w:pStyle w:val="30"/>
              <w:bidi w:val="0"/>
              <w:rPr>
                <w:rFonts w:hint="eastAsia" w:ascii="Times New Roman" w:hAnsi="Times New Roman"/>
                <w:color w:val="auto"/>
              </w:rPr>
            </w:pPr>
            <w:r>
              <w:rPr>
                <w:rFonts w:hint="eastAsia" w:ascii="Times New Roman" w:hAnsi="Times New Roman"/>
                <w:color w:val="auto"/>
              </w:rPr>
              <w:t>废气</w:t>
            </w:r>
          </w:p>
        </w:tc>
        <w:tc>
          <w:tcPr>
            <w:tcW w:w="1417" w:type="dxa"/>
            <w:noWrap w:val="0"/>
            <w:vAlign w:val="center"/>
          </w:tcPr>
          <w:p w14:paraId="5A6D285E">
            <w:pPr>
              <w:pStyle w:val="30"/>
              <w:bidi w:val="0"/>
              <w:rPr>
                <w:rFonts w:hint="default" w:ascii="Times New Roman" w:hAnsi="Times New Roman" w:eastAsia="宋体"/>
                <w:color w:val="auto"/>
                <w:lang w:val="en-US" w:eastAsia="zh-CN"/>
              </w:rPr>
            </w:pPr>
            <w:r>
              <w:rPr>
                <w:rFonts w:hint="eastAsia"/>
                <w:color w:val="auto"/>
                <w:lang w:val="en-US" w:eastAsia="zh-CN"/>
              </w:rPr>
              <w:t>VOCs、乙醇、乙醚、丙酮（以非甲烷总烃计）</w:t>
            </w:r>
            <w:r>
              <w:rPr>
                <w:rFonts w:hint="eastAsia"/>
                <w:color w:val="auto"/>
                <w:highlight w:val="none"/>
                <w:lang w:val="en-US" w:eastAsia="zh-CN"/>
              </w:rPr>
              <w:t>（t/a）</w:t>
            </w:r>
          </w:p>
        </w:tc>
        <w:tc>
          <w:tcPr>
            <w:tcW w:w="1701" w:type="dxa"/>
            <w:shd w:val="clear" w:color="auto" w:fill="auto"/>
            <w:noWrap w:val="0"/>
            <w:vAlign w:val="center"/>
          </w:tcPr>
          <w:p w14:paraId="39DBCF3E">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276" w:type="dxa"/>
            <w:shd w:val="clear" w:color="auto" w:fill="auto"/>
            <w:noWrap w:val="0"/>
            <w:vAlign w:val="center"/>
          </w:tcPr>
          <w:p w14:paraId="043D2FA3">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701" w:type="dxa"/>
            <w:noWrap w:val="0"/>
            <w:vAlign w:val="center"/>
          </w:tcPr>
          <w:p w14:paraId="46114970">
            <w:pPr>
              <w:pStyle w:val="30"/>
              <w:bidi w:val="0"/>
              <w:rPr>
                <w:rFonts w:hint="eastAsia" w:ascii="Times New Roman" w:hAnsi="Times New Roman" w:eastAsia="宋体"/>
                <w:color w:val="auto"/>
                <w:lang w:val="en-US" w:eastAsia="zh-CN"/>
              </w:rPr>
            </w:pPr>
            <w:r>
              <w:rPr>
                <w:rFonts w:hint="eastAsia" w:ascii="Times New Roman" w:hAnsi="Times New Roman"/>
                <w:color w:val="auto"/>
                <w:lang w:val="en-US" w:eastAsia="zh-CN"/>
              </w:rPr>
              <w:t>/</w:t>
            </w:r>
          </w:p>
        </w:tc>
        <w:tc>
          <w:tcPr>
            <w:tcW w:w="1559" w:type="dxa"/>
            <w:noWrap w:val="0"/>
            <w:vAlign w:val="center"/>
          </w:tcPr>
          <w:p w14:paraId="0E53842B">
            <w:pPr>
              <w:pStyle w:val="30"/>
              <w:bidi w:val="0"/>
              <w:rPr>
                <w:rFonts w:hint="default" w:ascii="Times New Roman" w:hAnsi="Times New Roman" w:eastAsia="宋体"/>
                <w:color w:val="auto"/>
                <w:lang w:val="en-US" w:eastAsia="zh-CN"/>
              </w:rPr>
            </w:pPr>
            <w:r>
              <w:rPr>
                <w:rFonts w:hint="eastAsia" w:cs="Times New Roman"/>
                <w:color w:val="auto"/>
                <w:sz w:val="21"/>
                <w:szCs w:val="22"/>
                <w:highlight w:val="none"/>
                <w:lang w:val="en-US" w:eastAsia="zh-CN"/>
              </w:rPr>
              <w:t>0.3852t/a</w:t>
            </w:r>
          </w:p>
        </w:tc>
        <w:tc>
          <w:tcPr>
            <w:tcW w:w="1578" w:type="dxa"/>
            <w:noWrap w:val="0"/>
            <w:vAlign w:val="center"/>
          </w:tcPr>
          <w:p w14:paraId="363803F0">
            <w:pPr>
              <w:pStyle w:val="30"/>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w:t>
            </w:r>
          </w:p>
        </w:tc>
        <w:tc>
          <w:tcPr>
            <w:tcW w:w="1695" w:type="dxa"/>
            <w:shd w:val="clear" w:color="auto" w:fill="auto"/>
            <w:noWrap w:val="0"/>
            <w:vAlign w:val="center"/>
          </w:tcPr>
          <w:p w14:paraId="3DF6C3F2">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w:t>
            </w:r>
            <w:r>
              <w:rPr>
                <w:rFonts w:hint="eastAsia" w:cs="Times New Roman"/>
                <w:color w:val="auto"/>
                <w:sz w:val="21"/>
                <w:szCs w:val="22"/>
                <w:highlight w:val="none"/>
                <w:lang w:val="en-US" w:eastAsia="zh-CN"/>
              </w:rPr>
              <w:t>0.3852t/a</w:t>
            </w:r>
          </w:p>
        </w:tc>
      </w:tr>
      <w:tr w14:paraId="3A5C17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32501881">
            <w:pPr>
              <w:pStyle w:val="30"/>
              <w:bidi w:val="0"/>
              <w:rPr>
                <w:rFonts w:hint="eastAsia" w:ascii="Times New Roman" w:hAnsi="Times New Roman"/>
                <w:color w:val="auto"/>
              </w:rPr>
            </w:pPr>
          </w:p>
        </w:tc>
        <w:tc>
          <w:tcPr>
            <w:tcW w:w="1417" w:type="dxa"/>
            <w:noWrap w:val="0"/>
            <w:vAlign w:val="center"/>
          </w:tcPr>
          <w:p w14:paraId="50566D32">
            <w:pPr>
              <w:pStyle w:val="30"/>
              <w:bidi w:val="0"/>
              <w:rPr>
                <w:rFonts w:hint="default"/>
                <w:color w:val="auto"/>
                <w:lang w:val="en-US" w:eastAsia="zh-CN"/>
              </w:rPr>
            </w:pPr>
            <w:r>
              <w:rPr>
                <w:rFonts w:hint="eastAsia"/>
                <w:color w:val="auto"/>
                <w:lang w:val="en-US" w:eastAsia="zh-CN"/>
              </w:rPr>
              <w:t>颗粒物</w:t>
            </w:r>
          </w:p>
        </w:tc>
        <w:tc>
          <w:tcPr>
            <w:tcW w:w="1701" w:type="dxa"/>
            <w:shd w:val="clear" w:color="auto" w:fill="auto"/>
            <w:noWrap w:val="0"/>
            <w:vAlign w:val="center"/>
          </w:tcPr>
          <w:p w14:paraId="5C0DB09B">
            <w:pPr>
              <w:pStyle w:val="30"/>
              <w:bidi w:val="0"/>
              <w:rPr>
                <w:rFonts w:hint="default" w:ascii="Times New Roman" w:hAnsi="Times New Roman"/>
                <w:color w:val="auto"/>
                <w:lang w:val="en-US" w:eastAsia="zh-CN"/>
              </w:rPr>
            </w:pPr>
            <w:r>
              <w:rPr>
                <w:rFonts w:hint="eastAsia"/>
                <w:color w:val="auto"/>
                <w:lang w:val="en-US" w:eastAsia="zh-CN"/>
              </w:rPr>
              <w:t>/</w:t>
            </w:r>
          </w:p>
        </w:tc>
        <w:tc>
          <w:tcPr>
            <w:tcW w:w="1276" w:type="dxa"/>
            <w:shd w:val="clear" w:color="auto" w:fill="auto"/>
            <w:noWrap w:val="0"/>
            <w:vAlign w:val="center"/>
          </w:tcPr>
          <w:p w14:paraId="3EE1FFBB">
            <w:pPr>
              <w:pStyle w:val="30"/>
              <w:bidi w:val="0"/>
              <w:rPr>
                <w:rFonts w:hint="default" w:ascii="Times New Roman" w:hAnsi="Times New Roman"/>
                <w:color w:val="auto"/>
                <w:lang w:val="en-US" w:eastAsia="zh-CN"/>
              </w:rPr>
            </w:pPr>
            <w:r>
              <w:rPr>
                <w:rFonts w:hint="eastAsia"/>
                <w:color w:val="auto"/>
                <w:lang w:val="en-US" w:eastAsia="zh-CN"/>
              </w:rPr>
              <w:t>/</w:t>
            </w:r>
          </w:p>
        </w:tc>
        <w:tc>
          <w:tcPr>
            <w:tcW w:w="1701" w:type="dxa"/>
            <w:noWrap w:val="0"/>
            <w:vAlign w:val="center"/>
          </w:tcPr>
          <w:p w14:paraId="2BB5319B">
            <w:pPr>
              <w:pStyle w:val="30"/>
              <w:bidi w:val="0"/>
              <w:rPr>
                <w:rFonts w:hint="default" w:ascii="Times New Roman" w:hAnsi="Times New Roman"/>
                <w:color w:val="auto"/>
                <w:lang w:val="en-US" w:eastAsia="zh-CN"/>
              </w:rPr>
            </w:pPr>
            <w:r>
              <w:rPr>
                <w:rFonts w:hint="eastAsia"/>
                <w:color w:val="auto"/>
                <w:lang w:val="en-US" w:eastAsia="zh-CN"/>
              </w:rPr>
              <w:t>/</w:t>
            </w:r>
          </w:p>
        </w:tc>
        <w:tc>
          <w:tcPr>
            <w:tcW w:w="1559" w:type="dxa"/>
            <w:noWrap w:val="0"/>
            <w:vAlign w:val="center"/>
          </w:tcPr>
          <w:p w14:paraId="34B186D1">
            <w:pPr>
              <w:pStyle w:val="30"/>
              <w:bidi w:val="0"/>
              <w:rPr>
                <w:rFonts w:hint="default" w:cs="Times New Roman"/>
                <w:color w:val="auto"/>
                <w:sz w:val="21"/>
                <w:szCs w:val="22"/>
                <w:highlight w:val="none"/>
                <w:lang w:val="en-US" w:eastAsia="zh-CN"/>
              </w:rPr>
            </w:pPr>
            <w:r>
              <w:rPr>
                <w:rFonts w:hint="eastAsia" w:cs="Times New Roman"/>
                <w:color w:val="auto"/>
                <w:sz w:val="21"/>
                <w:szCs w:val="22"/>
                <w:highlight w:val="none"/>
                <w:lang w:val="en-US" w:eastAsia="zh-CN"/>
              </w:rPr>
              <w:t>0.0002t/a</w:t>
            </w:r>
          </w:p>
        </w:tc>
        <w:tc>
          <w:tcPr>
            <w:tcW w:w="1578" w:type="dxa"/>
            <w:noWrap w:val="0"/>
            <w:vAlign w:val="center"/>
          </w:tcPr>
          <w:p w14:paraId="4F520D90">
            <w:pPr>
              <w:pStyle w:val="30"/>
              <w:bidi w:val="0"/>
              <w:rPr>
                <w:rFonts w:hint="default" w:ascii="Times New Roman" w:hAnsi="Times New Roman"/>
                <w:color w:val="auto"/>
                <w:lang w:val="en-US" w:eastAsia="zh-CN"/>
              </w:rPr>
            </w:pPr>
            <w:r>
              <w:rPr>
                <w:rFonts w:hint="eastAsia"/>
                <w:color w:val="auto"/>
                <w:lang w:val="en-US" w:eastAsia="zh-CN"/>
              </w:rPr>
              <w:t>/</w:t>
            </w:r>
          </w:p>
        </w:tc>
        <w:tc>
          <w:tcPr>
            <w:tcW w:w="1695" w:type="dxa"/>
            <w:shd w:val="clear" w:color="auto" w:fill="auto"/>
            <w:noWrap w:val="0"/>
            <w:vAlign w:val="center"/>
          </w:tcPr>
          <w:p w14:paraId="3269F36F">
            <w:pPr>
              <w:pStyle w:val="30"/>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+0.0002t/a</w:t>
            </w:r>
          </w:p>
        </w:tc>
      </w:tr>
      <w:tr w14:paraId="4E06BE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restart"/>
            <w:noWrap w:val="0"/>
            <w:vAlign w:val="center"/>
          </w:tcPr>
          <w:p w14:paraId="7AD0FA29">
            <w:pPr>
              <w:pStyle w:val="30"/>
              <w:bidi w:val="0"/>
              <w:rPr>
                <w:rFonts w:hint="eastAsia" w:ascii="Times New Roman" w:hAnsi="Times New Roman"/>
                <w:color w:val="auto"/>
              </w:rPr>
            </w:pPr>
            <w:r>
              <w:rPr>
                <w:rFonts w:hint="eastAsia" w:ascii="Times New Roman" w:hAnsi="Times New Roman"/>
                <w:color w:val="auto"/>
              </w:rPr>
              <w:t>废水</w:t>
            </w:r>
          </w:p>
        </w:tc>
        <w:tc>
          <w:tcPr>
            <w:tcW w:w="1417" w:type="dxa"/>
            <w:noWrap w:val="0"/>
            <w:vAlign w:val="center"/>
          </w:tcPr>
          <w:p w14:paraId="62A4EBA9">
            <w:pPr>
              <w:pStyle w:val="30"/>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SS</w:t>
            </w:r>
          </w:p>
        </w:tc>
        <w:tc>
          <w:tcPr>
            <w:tcW w:w="1701" w:type="dxa"/>
            <w:shd w:val="clear" w:color="auto" w:fill="auto"/>
            <w:noWrap w:val="0"/>
            <w:vAlign w:val="center"/>
          </w:tcPr>
          <w:p w14:paraId="746037E8">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276" w:type="dxa"/>
            <w:shd w:val="clear" w:color="auto" w:fill="auto"/>
            <w:noWrap w:val="0"/>
            <w:vAlign w:val="center"/>
          </w:tcPr>
          <w:p w14:paraId="19758A37">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701" w:type="dxa"/>
            <w:noWrap w:val="0"/>
            <w:vAlign w:val="center"/>
          </w:tcPr>
          <w:p w14:paraId="0892AF0F">
            <w:pPr>
              <w:pStyle w:val="30"/>
              <w:bidi w:val="0"/>
              <w:rPr>
                <w:rFonts w:ascii="Times New Roman" w:hAnsi="Times New Roman"/>
                <w:color w:val="auto"/>
              </w:rPr>
            </w:pPr>
            <w:r>
              <w:rPr>
                <w:rFonts w:hint="eastAsia" w:ascii="Times New Roman" w:hAnsi="Times New Roman"/>
                <w:color w:val="auto"/>
                <w:lang w:val="en-US" w:eastAsia="zh-CN"/>
              </w:rPr>
              <w:t>/</w:t>
            </w:r>
          </w:p>
        </w:tc>
        <w:tc>
          <w:tcPr>
            <w:tcW w:w="1559" w:type="dxa"/>
            <w:noWrap w:val="0"/>
            <w:vAlign w:val="center"/>
          </w:tcPr>
          <w:p w14:paraId="3E67B5DF">
            <w:pPr>
              <w:pStyle w:val="30"/>
              <w:bidi w:val="0"/>
              <w:rPr>
                <w:rFonts w:hint="default" w:ascii="Times New Roman" w:hAnsi="Times New Roman" w:eastAsia="宋体"/>
                <w:color w:val="auto"/>
                <w:lang w:val="en-US" w:eastAsia="zh-CN"/>
              </w:rPr>
            </w:pPr>
            <w:r>
              <w:rPr>
                <w:rFonts w:hint="eastAsia"/>
                <w:color w:val="auto"/>
                <w:lang w:val="en-US" w:eastAsia="zh-CN"/>
              </w:rPr>
              <w:t>0.3203</w:t>
            </w:r>
            <w:r>
              <w:rPr>
                <w:rFonts w:hint="eastAsia" w:cs="Times New Roman"/>
                <w:color w:val="auto"/>
                <w:sz w:val="21"/>
                <w:szCs w:val="22"/>
                <w:highlight w:val="none"/>
                <w:lang w:val="en-US" w:eastAsia="zh-CN"/>
              </w:rPr>
              <w:t>t/a</w:t>
            </w:r>
          </w:p>
        </w:tc>
        <w:tc>
          <w:tcPr>
            <w:tcW w:w="1578" w:type="dxa"/>
            <w:noWrap w:val="0"/>
            <w:vAlign w:val="center"/>
          </w:tcPr>
          <w:p w14:paraId="5CFA6A47">
            <w:pPr>
              <w:pStyle w:val="30"/>
              <w:bidi w:val="0"/>
              <w:rPr>
                <w:rFonts w:hint="eastAsia" w:ascii="Times New Roman" w:hAnsi="Times New Roman" w:eastAsia="宋体"/>
                <w:color w:val="auto"/>
                <w:kern w:val="0"/>
                <w:sz w:val="21"/>
                <w:szCs w:val="20"/>
                <w:lang w:val="en-US" w:eastAsia="zh-CN" w:bidi="ar-SA"/>
              </w:rPr>
            </w:pPr>
            <w:r>
              <w:rPr>
                <w:rFonts w:hint="eastAsia" w:ascii="Times New Roman" w:hAnsi="Times New Roman"/>
                <w:color w:val="auto"/>
                <w:lang w:val="en-US" w:eastAsia="zh-CN"/>
              </w:rPr>
              <w:t>/</w:t>
            </w:r>
          </w:p>
        </w:tc>
        <w:tc>
          <w:tcPr>
            <w:tcW w:w="1695" w:type="dxa"/>
            <w:shd w:val="clear" w:color="auto" w:fill="auto"/>
            <w:noWrap w:val="0"/>
            <w:vAlign w:val="center"/>
          </w:tcPr>
          <w:p w14:paraId="32ACEB73">
            <w:pPr>
              <w:pStyle w:val="30"/>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+0.3203</w:t>
            </w:r>
            <w:r>
              <w:rPr>
                <w:rFonts w:hint="eastAsia" w:cs="Times New Roman"/>
                <w:color w:val="auto"/>
                <w:sz w:val="21"/>
                <w:szCs w:val="22"/>
                <w:highlight w:val="none"/>
                <w:lang w:val="en-US" w:eastAsia="zh-CN"/>
              </w:rPr>
              <w:t>t/a</w:t>
            </w:r>
          </w:p>
        </w:tc>
      </w:tr>
      <w:tr w14:paraId="7EA985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7773C696">
            <w:pPr>
              <w:pStyle w:val="30"/>
              <w:bidi w:val="0"/>
              <w:rPr>
                <w:rFonts w:hint="eastAsia" w:ascii="Times New Roman" w:hAnsi="Times New Roman"/>
                <w:color w:val="auto"/>
              </w:rPr>
            </w:pPr>
          </w:p>
        </w:tc>
        <w:tc>
          <w:tcPr>
            <w:tcW w:w="1417" w:type="dxa"/>
            <w:noWrap w:val="0"/>
            <w:vAlign w:val="center"/>
          </w:tcPr>
          <w:p w14:paraId="61165CD6">
            <w:pPr>
              <w:pStyle w:val="30"/>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COD</w:t>
            </w:r>
          </w:p>
        </w:tc>
        <w:tc>
          <w:tcPr>
            <w:tcW w:w="1701" w:type="dxa"/>
            <w:shd w:val="clear" w:color="auto" w:fill="auto"/>
            <w:noWrap w:val="0"/>
            <w:vAlign w:val="center"/>
          </w:tcPr>
          <w:p w14:paraId="437E3C8D">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276" w:type="dxa"/>
            <w:shd w:val="clear" w:color="auto" w:fill="auto"/>
            <w:noWrap w:val="0"/>
            <w:vAlign w:val="center"/>
          </w:tcPr>
          <w:p w14:paraId="051C349E">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701" w:type="dxa"/>
            <w:noWrap w:val="0"/>
            <w:vAlign w:val="center"/>
          </w:tcPr>
          <w:p w14:paraId="5EE91830">
            <w:pPr>
              <w:pStyle w:val="30"/>
              <w:bidi w:val="0"/>
              <w:rPr>
                <w:rFonts w:ascii="Times New Roman" w:hAnsi="Times New Roman"/>
                <w:color w:val="auto"/>
              </w:rPr>
            </w:pPr>
            <w:r>
              <w:rPr>
                <w:rFonts w:hint="eastAsia" w:ascii="Times New Roman" w:hAnsi="Times New Roman"/>
                <w:color w:val="auto"/>
                <w:lang w:val="en-US" w:eastAsia="zh-CN"/>
              </w:rPr>
              <w:t>/</w:t>
            </w:r>
          </w:p>
        </w:tc>
        <w:tc>
          <w:tcPr>
            <w:tcW w:w="1559" w:type="dxa"/>
            <w:noWrap w:val="0"/>
            <w:vAlign w:val="center"/>
          </w:tcPr>
          <w:p w14:paraId="17FFC5E6">
            <w:pPr>
              <w:pStyle w:val="30"/>
              <w:bidi w:val="0"/>
              <w:rPr>
                <w:rFonts w:hint="default" w:ascii="Times New Roman" w:hAnsi="Times New Roman" w:eastAsia="宋体"/>
                <w:color w:val="auto"/>
                <w:lang w:val="en-US" w:eastAsia="zh-CN"/>
              </w:rPr>
            </w:pPr>
            <w:r>
              <w:rPr>
                <w:rFonts w:hint="eastAsia"/>
                <w:color w:val="auto"/>
                <w:lang w:val="en-US" w:eastAsia="zh-CN"/>
              </w:rPr>
              <w:t>0.7048</w:t>
            </w:r>
            <w:r>
              <w:rPr>
                <w:rFonts w:hint="eastAsia" w:cs="Times New Roman"/>
                <w:color w:val="auto"/>
                <w:sz w:val="21"/>
                <w:szCs w:val="22"/>
                <w:highlight w:val="none"/>
                <w:lang w:val="en-US" w:eastAsia="zh-CN"/>
              </w:rPr>
              <w:t>t/a</w:t>
            </w:r>
          </w:p>
        </w:tc>
        <w:tc>
          <w:tcPr>
            <w:tcW w:w="1578" w:type="dxa"/>
            <w:noWrap w:val="0"/>
            <w:vAlign w:val="center"/>
          </w:tcPr>
          <w:p w14:paraId="4263E479">
            <w:pPr>
              <w:pStyle w:val="30"/>
              <w:bidi w:val="0"/>
              <w:rPr>
                <w:rFonts w:ascii="Times New Roman" w:hAnsi="Times New Roman" w:eastAsia="宋体"/>
                <w:color w:val="auto"/>
                <w:kern w:val="0"/>
                <w:sz w:val="21"/>
                <w:szCs w:val="20"/>
                <w:lang w:val="en-US" w:eastAsia="zh-CN" w:bidi="ar-SA"/>
              </w:rPr>
            </w:pPr>
            <w:r>
              <w:rPr>
                <w:rFonts w:hint="eastAsia" w:ascii="Times New Roman" w:hAnsi="Times New Roman"/>
                <w:color w:val="auto"/>
                <w:lang w:val="en-US" w:eastAsia="zh-CN"/>
              </w:rPr>
              <w:t>/</w:t>
            </w:r>
          </w:p>
        </w:tc>
        <w:tc>
          <w:tcPr>
            <w:tcW w:w="1695" w:type="dxa"/>
            <w:shd w:val="clear" w:color="auto" w:fill="auto"/>
            <w:noWrap w:val="0"/>
            <w:vAlign w:val="center"/>
          </w:tcPr>
          <w:p w14:paraId="64859616">
            <w:pPr>
              <w:pStyle w:val="30"/>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+0.7048</w:t>
            </w:r>
            <w:r>
              <w:rPr>
                <w:rFonts w:hint="eastAsia" w:cs="Times New Roman"/>
                <w:color w:val="auto"/>
                <w:sz w:val="21"/>
                <w:szCs w:val="22"/>
                <w:highlight w:val="none"/>
                <w:lang w:val="en-US" w:eastAsia="zh-CN"/>
              </w:rPr>
              <w:t>t/a</w:t>
            </w:r>
          </w:p>
        </w:tc>
      </w:tr>
      <w:tr w14:paraId="1258E3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53E79030">
            <w:pPr>
              <w:pStyle w:val="30"/>
              <w:bidi w:val="0"/>
              <w:rPr>
                <w:rFonts w:hint="eastAsia" w:ascii="Times New Roman" w:hAnsi="Times New Roman"/>
                <w:color w:val="auto"/>
              </w:rPr>
            </w:pPr>
          </w:p>
        </w:tc>
        <w:tc>
          <w:tcPr>
            <w:tcW w:w="1417" w:type="dxa"/>
            <w:noWrap w:val="0"/>
            <w:vAlign w:val="center"/>
          </w:tcPr>
          <w:p w14:paraId="512796B6">
            <w:pPr>
              <w:pStyle w:val="30"/>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BOD</w:t>
            </w:r>
            <w:r>
              <w:rPr>
                <w:rFonts w:hint="eastAsia" w:ascii="Times New Roman" w:hAnsi="Times New Roman"/>
                <w:color w:val="auto"/>
                <w:vertAlign w:val="subscript"/>
                <w:lang w:val="en-US" w:eastAsia="zh-CN"/>
              </w:rPr>
              <w:t>5</w:t>
            </w:r>
          </w:p>
        </w:tc>
        <w:tc>
          <w:tcPr>
            <w:tcW w:w="1701" w:type="dxa"/>
            <w:shd w:val="clear" w:color="auto" w:fill="auto"/>
            <w:noWrap w:val="0"/>
            <w:vAlign w:val="center"/>
          </w:tcPr>
          <w:p w14:paraId="00B54D89">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276" w:type="dxa"/>
            <w:shd w:val="clear" w:color="auto" w:fill="auto"/>
            <w:noWrap w:val="0"/>
            <w:vAlign w:val="center"/>
          </w:tcPr>
          <w:p w14:paraId="66BCF900">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701" w:type="dxa"/>
            <w:noWrap w:val="0"/>
            <w:vAlign w:val="center"/>
          </w:tcPr>
          <w:p w14:paraId="077B8106">
            <w:pPr>
              <w:pStyle w:val="30"/>
              <w:bidi w:val="0"/>
              <w:rPr>
                <w:rFonts w:ascii="Times New Roman" w:hAnsi="Times New Roman"/>
                <w:color w:val="auto"/>
              </w:rPr>
            </w:pPr>
            <w:r>
              <w:rPr>
                <w:rFonts w:hint="eastAsia" w:ascii="Times New Roman" w:hAnsi="Times New Roman"/>
                <w:color w:val="auto"/>
                <w:lang w:val="en-US" w:eastAsia="zh-CN"/>
              </w:rPr>
              <w:t>/</w:t>
            </w:r>
          </w:p>
        </w:tc>
        <w:tc>
          <w:tcPr>
            <w:tcW w:w="1559" w:type="dxa"/>
            <w:noWrap w:val="0"/>
            <w:vAlign w:val="center"/>
          </w:tcPr>
          <w:p w14:paraId="4ABFA607">
            <w:pPr>
              <w:pStyle w:val="30"/>
              <w:bidi w:val="0"/>
              <w:rPr>
                <w:rFonts w:hint="default" w:ascii="Times New Roman" w:hAnsi="Times New Roman" w:eastAsia="宋体"/>
                <w:color w:val="auto"/>
                <w:lang w:val="en-US" w:eastAsia="zh-CN"/>
              </w:rPr>
            </w:pPr>
            <w:r>
              <w:rPr>
                <w:rFonts w:hint="eastAsia"/>
                <w:color w:val="auto"/>
                <w:lang w:val="en-US" w:eastAsia="zh-CN"/>
              </w:rPr>
              <w:t>0.126</w:t>
            </w:r>
            <w:r>
              <w:rPr>
                <w:rFonts w:hint="eastAsia" w:cs="Times New Roman"/>
                <w:color w:val="auto"/>
                <w:sz w:val="21"/>
                <w:szCs w:val="22"/>
                <w:highlight w:val="none"/>
                <w:lang w:val="en-US" w:eastAsia="zh-CN"/>
              </w:rPr>
              <w:t>t/a</w:t>
            </w:r>
          </w:p>
        </w:tc>
        <w:tc>
          <w:tcPr>
            <w:tcW w:w="1578" w:type="dxa"/>
            <w:noWrap w:val="0"/>
            <w:vAlign w:val="center"/>
          </w:tcPr>
          <w:p w14:paraId="6A59EF9D">
            <w:pPr>
              <w:pStyle w:val="30"/>
              <w:bidi w:val="0"/>
              <w:rPr>
                <w:rFonts w:ascii="Times New Roman" w:hAnsi="Times New Roman" w:eastAsia="宋体"/>
                <w:color w:val="auto"/>
                <w:kern w:val="0"/>
                <w:sz w:val="21"/>
                <w:szCs w:val="20"/>
                <w:lang w:val="en-US" w:eastAsia="zh-CN" w:bidi="ar-SA"/>
              </w:rPr>
            </w:pPr>
            <w:r>
              <w:rPr>
                <w:rFonts w:hint="eastAsia" w:ascii="Times New Roman" w:hAnsi="Times New Roman"/>
                <w:color w:val="auto"/>
                <w:lang w:val="en-US" w:eastAsia="zh-CN"/>
              </w:rPr>
              <w:t>/</w:t>
            </w:r>
          </w:p>
        </w:tc>
        <w:tc>
          <w:tcPr>
            <w:tcW w:w="1695" w:type="dxa"/>
            <w:shd w:val="clear" w:color="auto" w:fill="auto"/>
            <w:noWrap w:val="0"/>
            <w:vAlign w:val="center"/>
          </w:tcPr>
          <w:p w14:paraId="343CF90B">
            <w:pPr>
              <w:pStyle w:val="30"/>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+0.126</w:t>
            </w:r>
            <w:r>
              <w:rPr>
                <w:rFonts w:hint="eastAsia" w:cs="Times New Roman"/>
                <w:color w:val="auto"/>
                <w:sz w:val="21"/>
                <w:szCs w:val="22"/>
                <w:highlight w:val="none"/>
                <w:lang w:val="en-US" w:eastAsia="zh-CN"/>
              </w:rPr>
              <w:t>t/a</w:t>
            </w:r>
          </w:p>
        </w:tc>
      </w:tr>
      <w:tr w14:paraId="423B21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6E06D7F4">
            <w:pPr>
              <w:pStyle w:val="30"/>
              <w:bidi w:val="0"/>
              <w:rPr>
                <w:rFonts w:hint="eastAsia" w:ascii="Times New Roman" w:hAnsi="Times New Roman"/>
                <w:color w:val="auto"/>
              </w:rPr>
            </w:pPr>
          </w:p>
        </w:tc>
        <w:tc>
          <w:tcPr>
            <w:tcW w:w="1417" w:type="dxa"/>
            <w:noWrap w:val="0"/>
            <w:vAlign w:val="center"/>
          </w:tcPr>
          <w:p w14:paraId="4B76F1FC">
            <w:pPr>
              <w:pStyle w:val="30"/>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NH</w:t>
            </w:r>
            <w:r>
              <w:rPr>
                <w:rFonts w:hint="eastAsia" w:ascii="Times New Roman" w:hAnsi="Times New Roman"/>
                <w:color w:val="auto"/>
                <w:vertAlign w:val="subscript"/>
                <w:lang w:val="en-US" w:eastAsia="zh-CN"/>
              </w:rPr>
              <w:t>3</w:t>
            </w:r>
            <w:r>
              <w:rPr>
                <w:rFonts w:hint="eastAsia" w:ascii="Times New Roman" w:hAnsi="Times New Roman"/>
                <w:color w:val="auto"/>
                <w:lang w:val="en-US" w:eastAsia="zh-CN"/>
              </w:rPr>
              <w:t>-N</w:t>
            </w:r>
          </w:p>
        </w:tc>
        <w:tc>
          <w:tcPr>
            <w:tcW w:w="1701" w:type="dxa"/>
            <w:shd w:val="clear" w:color="auto" w:fill="auto"/>
            <w:noWrap w:val="0"/>
            <w:vAlign w:val="center"/>
          </w:tcPr>
          <w:p w14:paraId="379BB31C">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276" w:type="dxa"/>
            <w:shd w:val="clear" w:color="auto" w:fill="auto"/>
            <w:noWrap w:val="0"/>
            <w:vAlign w:val="center"/>
          </w:tcPr>
          <w:p w14:paraId="68A10E65">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701" w:type="dxa"/>
            <w:noWrap w:val="0"/>
            <w:vAlign w:val="center"/>
          </w:tcPr>
          <w:p w14:paraId="6214AB51">
            <w:pPr>
              <w:pStyle w:val="30"/>
              <w:bidi w:val="0"/>
              <w:rPr>
                <w:rFonts w:ascii="Times New Roman" w:hAnsi="Times New Roman"/>
                <w:color w:val="auto"/>
              </w:rPr>
            </w:pPr>
            <w:r>
              <w:rPr>
                <w:rFonts w:hint="eastAsia" w:ascii="Times New Roman" w:hAnsi="Times New Roman"/>
                <w:color w:val="auto"/>
                <w:lang w:val="en-US" w:eastAsia="zh-CN"/>
              </w:rPr>
              <w:t>/</w:t>
            </w:r>
          </w:p>
        </w:tc>
        <w:tc>
          <w:tcPr>
            <w:tcW w:w="1559" w:type="dxa"/>
            <w:noWrap w:val="0"/>
            <w:vAlign w:val="center"/>
          </w:tcPr>
          <w:p w14:paraId="46F70322">
            <w:pPr>
              <w:pStyle w:val="30"/>
              <w:bidi w:val="0"/>
              <w:rPr>
                <w:rFonts w:hint="default" w:ascii="Times New Roman" w:hAnsi="Times New Roman" w:eastAsia="宋体"/>
                <w:color w:val="auto"/>
                <w:lang w:val="en-US" w:eastAsia="zh-CN"/>
              </w:rPr>
            </w:pPr>
            <w:r>
              <w:rPr>
                <w:rFonts w:hint="eastAsia"/>
                <w:color w:val="auto"/>
                <w:lang w:val="en-US" w:eastAsia="zh-CN"/>
              </w:rPr>
              <w:t>0.0288</w:t>
            </w:r>
            <w:r>
              <w:rPr>
                <w:rFonts w:hint="eastAsia" w:cs="Times New Roman"/>
                <w:color w:val="auto"/>
                <w:sz w:val="21"/>
                <w:szCs w:val="22"/>
                <w:highlight w:val="none"/>
                <w:lang w:val="en-US" w:eastAsia="zh-CN"/>
              </w:rPr>
              <w:t>t/a</w:t>
            </w:r>
          </w:p>
        </w:tc>
        <w:tc>
          <w:tcPr>
            <w:tcW w:w="1578" w:type="dxa"/>
            <w:noWrap w:val="0"/>
            <w:vAlign w:val="center"/>
          </w:tcPr>
          <w:p w14:paraId="7CE247C3">
            <w:pPr>
              <w:pStyle w:val="30"/>
              <w:bidi w:val="0"/>
              <w:rPr>
                <w:rFonts w:ascii="Times New Roman" w:hAnsi="Times New Roman" w:eastAsia="宋体"/>
                <w:color w:val="auto"/>
                <w:kern w:val="0"/>
                <w:sz w:val="21"/>
                <w:szCs w:val="20"/>
                <w:lang w:val="en-US" w:eastAsia="zh-CN" w:bidi="ar-SA"/>
              </w:rPr>
            </w:pPr>
            <w:r>
              <w:rPr>
                <w:rFonts w:hint="eastAsia" w:ascii="Times New Roman" w:hAnsi="Times New Roman"/>
                <w:color w:val="auto"/>
                <w:lang w:val="en-US" w:eastAsia="zh-CN"/>
              </w:rPr>
              <w:t>/</w:t>
            </w:r>
          </w:p>
        </w:tc>
        <w:tc>
          <w:tcPr>
            <w:tcW w:w="1695" w:type="dxa"/>
            <w:shd w:val="clear" w:color="auto" w:fill="auto"/>
            <w:noWrap w:val="0"/>
            <w:vAlign w:val="center"/>
          </w:tcPr>
          <w:p w14:paraId="280251D5">
            <w:pPr>
              <w:pStyle w:val="30"/>
              <w:bidi w:val="0"/>
              <w:rPr>
                <w:rFonts w:hint="default" w:ascii="Times New Roman" w:hAnsi="Times New Roman" w:eastAsia="宋体" w:cs="Times New Roman"/>
                <w:color w:val="auto"/>
                <w:kern w:val="0"/>
                <w:sz w:val="21"/>
                <w:szCs w:val="21"/>
                <w:lang w:val="en-US" w:eastAsia="zh-CN" w:bidi="ar-SA"/>
              </w:rPr>
            </w:pPr>
            <w:r>
              <w:rPr>
                <w:rFonts w:hint="eastAsia"/>
                <w:color w:val="auto"/>
                <w:lang w:val="en-US" w:eastAsia="zh-CN"/>
              </w:rPr>
              <w:t>+0.0288</w:t>
            </w:r>
            <w:r>
              <w:rPr>
                <w:rFonts w:hint="eastAsia" w:cs="Times New Roman"/>
                <w:color w:val="auto"/>
                <w:sz w:val="21"/>
                <w:szCs w:val="22"/>
                <w:highlight w:val="none"/>
                <w:lang w:val="en-US" w:eastAsia="zh-CN"/>
              </w:rPr>
              <w:t>t/a</w:t>
            </w:r>
          </w:p>
        </w:tc>
      </w:tr>
      <w:tr w14:paraId="044947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5FE8E464">
            <w:pPr>
              <w:pStyle w:val="30"/>
              <w:bidi w:val="0"/>
              <w:rPr>
                <w:rFonts w:hint="eastAsia" w:ascii="Times New Roman" w:hAnsi="Times New Roman"/>
                <w:color w:val="auto"/>
              </w:rPr>
            </w:pPr>
          </w:p>
        </w:tc>
        <w:tc>
          <w:tcPr>
            <w:tcW w:w="1417" w:type="dxa"/>
            <w:noWrap w:val="0"/>
            <w:vAlign w:val="center"/>
          </w:tcPr>
          <w:p w14:paraId="03CE5149">
            <w:pPr>
              <w:pStyle w:val="30"/>
              <w:bidi w:val="0"/>
              <w:rPr>
                <w:rFonts w:hint="default" w:ascii="Times New Roman" w:hAnsi="Times New Roman"/>
                <w:color w:val="auto"/>
                <w:lang w:val="en-US" w:eastAsia="zh-CN"/>
              </w:rPr>
            </w:pPr>
            <w:r>
              <w:rPr>
                <w:rFonts w:hint="eastAsia"/>
                <w:color w:val="auto"/>
                <w:lang w:val="en-US" w:eastAsia="zh-CN"/>
              </w:rPr>
              <w:t>LAS</w:t>
            </w:r>
          </w:p>
        </w:tc>
        <w:tc>
          <w:tcPr>
            <w:tcW w:w="1701" w:type="dxa"/>
            <w:shd w:val="clear" w:color="auto" w:fill="auto"/>
            <w:noWrap w:val="0"/>
            <w:vAlign w:val="center"/>
          </w:tcPr>
          <w:p w14:paraId="56886AB0">
            <w:pPr>
              <w:pStyle w:val="30"/>
              <w:bidi w:val="0"/>
              <w:rPr>
                <w:rFonts w:hint="default" w:ascii="Times New Roman" w:hAnsi="Times New Roman"/>
                <w:color w:val="auto"/>
                <w:lang w:val="en-US" w:eastAsia="zh-CN"/>
              </w:rPr>
            </w:pPr>
            <w:r>
              <w:rPr>
                <w:rFonts w:hint="eastAsia"/>
                <w:color w:val="auto"/>
                <w:lang w:val="en-US" w:eastAsia="zh-CN"/>
              </w:rPr>
              <w:t>/</w:t>
            </w:r>
          </w:p>
        </w:tc>
        <w:tc>
          <w:tcPr>
            <w:tcW w:w="1276" w:type="dxa"/>
            <w:shd w:val="clear" w:color="auto" w:fill="auto"/>
            <w:noWrap w:val="0"/>
            <w:vAlign w:val="center"/>
          </w:tcPr>
          <w:p w14:paraId="5219F806">
            <w:pPr>
              <w:pStyle w:val="30"/>
              <w:bidi w:val="0"/>
              <w:rPr>
                <w:rFonts w:hint="default" w:ascii="Times New Roman" w:hAnsi="Times New Roman"/>
                <w:color w:val="auto"/>
                <w:lang w:val="en-US" w:eastAsia="zh-CN"/>
              </w:rPr>
            </w:pPr>
            <w:r>
              <w:rPr>
                <w:rFonts w:hint="eastAsia"/>
                <w:color w:val="auto"/>
                <w:lang w:val="en-US" w:eastAsia="zh-CN"/>
              </w:rPr>
              <w:t>/</w:t>
            </w:r>
          </w:p>
        </w:tc>
        <w:tc>
          <w:tcPr>
            <w:tcW w:w="1701" w:type="dxa"/>
            <w:noWrap w:val="0"/>
            <w:vAlign w:val="center"/>
          </w:tcPr>
          <w:p w14:paraId="07B5CEB4">
            <w:pPr>
              <w:pStyle w:val="30"/>
              <w:bidi w:val="0"/>
              <w:rPr>
                <w:rFonts w:hint="default" w:ascii="Times New Roman" w:hAnsi="Times New Roman"/>
                <w:color w:val="auto"/>
                <w:lang w:val="en-US" w:eastAsia="zh-CN"/>
              </w:rPr>
            </w:pPr>
            <w:r>
              <w:rPr>
                <w:rFonts w:hint="eastAsia"/>
                <w:color w:val="auto"/>
                <w:lang w:val="en-US" w:eastAsia="zh-CN"/>
              </w:rPr>
              <w:t>/</w:t>
            </w:r>
          </w:p>
        </w:tc>
        <w:tc>
          <w:tcPr>
            <w:tcW w:w="1559" w:type="dxa"/>
            <w:noWrap w:val="0"/>
            <w:vAlign w:val="center"/>
          </w:tcPr>
          <w:p w14:paraId="61754581">
            <w:pPr>
              <w:pStyle w:val="30"/>
              <w:bidi w:val="0"/>
              <w:rPr>
                <w:rFonts w:hint="default" w:ascii="Times New Roman" w:hAnsi="Times New Roman" w:eastAsia="宋体"/>
                <w:color w:val="auto"/>
                <w:lang w:val="en-US" w:eastAsia="zh-CN"/>
              </w:rPr>
            </w:pPr>
            <w:r>
              <w:rPr>
                <w:rFonts w:hint="eastAsia"/>
                <w:color w:val="auto"/>
                <w:lang w:val="en-US" w:eastAsia="zh-CN"/>
              </w:rPr>
              <w:t>0.0668t/a</w:t>
            </w:r>
          </w:p>
        </w:tc>
        <w:tc>
          <w:tcPr>
            <w:tcW w:w="1578" w:type="dxa"/>
            <w:noWrap w:val="0"/>
            <w:vAlign w:val="center"/>
          </w:tcPr>
          <w:p w14:paraId="64BFA033">
            <w:pPr>
              <w:pStyle w:val="30"/>
              <w:bidi w:val="0"/>
              <w:rPr>
                <w:rFonts w:hint="eastAsia" w:ascii="Times New Roman" w:hAnsi="Times New Roman"/>
                <w:color w:val="auto"/>
                <w:lang w:val="en-US" w:eastAsia="zh-CN"/>
              </w:rPr>
            </w:pPr>
          </w:p>
        </w:tc>
        <w:tc>
          <w:tcPr>
            <w:tcW w:w="1695" w:type="dxa"/>
            <w:shd w:val="clear" w:color="auto" w:fill="auto"/>
            <w:noWrap w:val="0"/>
            <w:vAlign w:val="center"/>
          </w:tcPr>
          <w:p w14:paraId="3B16E1C0">
            <w:pPr>
              <w:pStyle w:val="30"/>
              <w:bidi w:val="0"/>
              <w:rPr>
                <w:rFonts w:hint="eastAsia" w:ascii="Times New Roman" w:hAnsi="Times New Roman" w:eastAsia="宋体"/>
                <w:color w:val="auto"/>
                <w:lang w:val="en-US" w:eastAsia="zh-CN"/>
              </w:rPr>
            </w:pPr>
            <w:r>
              <w:rPr>
                <w:rFonts w:hint="eastAsia"/>
                <w:color w:val="auto"/>
                <w:lang w:val="en-US" w:eastAsia="zh-CN"/>
              </w:rPr>
              <w:t>+0.0668t/a</w:t>
            </w:r>
          </w:p>
        </w:tc>
      </w:tr>
      <w:tr w14:paraId="643F6C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restart"/>
            <w:noWrap w:val="0"/>
            <w:vAlign w:val="center"/>
          </w:tcPr>
          <w:p w14:paraId="37660387">
            <w:pPr>
              <w:pStyle w:val="30"/>
              <w:bidi w:val="0"/>
              <w:rPr>
                <w:rFonts w:ascii="Times New Roman" w:hAnsi="Times New Roman"/>
                <w:color w:val="auto"/>
              </w:rPr>
            </w:pPr>
            <w:r>
              <w:rPr>
                <w:rFonts w:hint="eastAsia" w:ascii="Times New Roman" w:hAnsi="Times New Roman"/>
                <w:color w:val="auto"/>
              </w:rPr>
              <w:t>一般工业</w:t>
            </w:r>
          </w:p>
          <w:p w14:paraId="288E714C">
            <w:pPr>
              <w:pStyle w:val="30"/>
              <w:bidi w:val="0"/>
              <w:rPr>
                <w:rFonts w:hint="eastAsia" w:ascii="Times New Roman" w:hAnsi="Times New Roman"/>
                <w:color w:val="auto"/>
              </w:rPr>
            </w:pPr>
            <w:r>
              <w:rPr>
                <w:rFonts w:hint="eastAsia" w:ascii="Times New Roman" w:hAnsi="Times New Roman"/>
                <w:color w:val="auto"/>
              </w:rPr>
              <w:t>固体废物</w:t>
            </w:r>
          </w:p>
        </w:tc>
        <w:tc>
          <w:tcPr>
            <w:tcW w:w="1417" w:type="dxa"/>
            <w:noWrap w:val="0"/>
            <w:vAlign w:val="center"/>
          </w:tcPr>
          <w:p w14:paraId="41D30BB4">
            <w:pPr>
              <w:pStyle w:val="30"/>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抛光残渣</w:t>
            </w:r>
          </w:p>
        </w:tc>
        <w:tc>
          <w:tcPr>
            <w:tcW w:w="1701" w:type="dxa"/>
            <w:shd w:val="clear" w:color="auto" w:fill="auto"/>
            <w:noWrap w:val="0"/>
            <w:vAlign w:val="center"/>
          </w:tcPr>
          <w:p w14:paraId="24E67FE1">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276" w:type="dxa"/>
            <w:shd w:val="clear" w:color="auto" w:fill="auto"/>
            <w:noWrap w:val="0"/>
            <w:vAlign w:val="center"/>
          </w:tcPr>
          <w:p w14:paraId="6AA372F3">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701" w:type="dxa"/>
            <w:noWrap w:val="0"/>
            <w:vAlign w:val="center"/>
          </w:tcPr>
          <w:p w14:paraId="5A4F1E21">
            <w:pPr>
              <w:pStyle w:val="30"/>
              <w:bidi w:val="0"/>
              <w:rPr>
                <w:rFonts w:ascii="Times New Roman" w:hAnsi="Times New Roman"/>
                <w:color w:val="auto"/>
              </w:rPr>
            </w:pPr>
            <w:r>
              <w:rPr>
                <w:rFonts w:hint="eastAsia" w:ascii="Times New Roman" w:hAnsi="Times New Roman"/>
                <w:color w:val="auto"/>
                <w:lang w:val="en-US" w:eastAsia="zh-CN"/>
              </w:rPr>
              <w:t>/</w:t>
            </w:r>
          </w:p>
        </w:tc>
        <w:tc>
          <w:tcPr>
            <w:tcW w:w="1559" w:type="dxa"/>
            <w:noWrap w:val="0"/>
            <w:vAlign w:val="center"/>
          </w:tcPr>
          <w:p w14:paraId="0EE28F5B">
            <w:pPr>
              <w:pStyle w:val="30"/>
              <w:bidi w:val="0"/>
              <w:rPr>
                <w:rFonts w:hint="default" w:ascii="Times New Roman" w:hAnsi="Times New Roman" w:eastAsia="宋体"/>
                <w:color w:val="auto"/>
                <w:lang w:val="en-US" w:eastAsia="zh-CN"/>
              </w:rPr>
            </w:pPr>
            <w:r>
              <w:rPr>
                <w:rFonts w:hint="eastAsia" w:cs="Times New Roman"/>
                <w:color w:val="auto"/>
                <w:sz w:val="21"/>
                <w:szCs w:val="22"/>
                <w:highlight w:val="none"/>
                <w:lang w:val="en-US" w:eastAsia="zh-CN"/>
              </w:rPr>
              <w:t>0.4t/a</w:t>
            </w:r>
          </w:p>
        </w:tc>
        <w:tc>
          <w:tcPr>
            <w:tcW w:w="1578" w:type="dxa"/>
            <w:noWrap w:val="0"/>
            <w:vAlign w:val="center"/>
          </w:tcPr>
          <w:p w14:paraId="008102BD">
            <w:pPr>
              <w:pStyle w:val="30"/>
              <w:bidi w:val="0"/>
              <w:rPr>
                <w:rFonts w:ascii="Times New Roman" w:hAnsi="Times New Roman" w:eastAsia="宋体"/>
                <w:color w:val="auto"/>
                <w:kern w:val="0"/>
                <w:sz w:val="21"/>
                <w:szCs w:val="20"/>
                <w:lang w:val="en-US" w:eastAsia="zh-CN" w:bidi="ar-SA"/>
              </w:rPr>
            </w:pPr>
            <w:r>
              <w:rPr>
                <w:rFonts w:hint="eastAsia" w:ascii="Times New Roman" w:hAnsi="Times New Roman"/>
                <w:color w:val="auto"/>
                <w:lang w:val="en-US" w:eastAsia="zh-CN"/>
              </w:rPr>
              <w:t>/</w:t>
            </w:r>
          </w:p>
        </w:tc>
        <w:tc>
          <w:tcPr>
            <w:tcW w:w="1695" w:type="dxa"/>
            <w:shd w:val="clear" w:color="auto" w:fill="auto"/>
            <w:noWrap w:val="0"/>
            <w:vAlign w:val="center"/>
          </w:tcPr>
          <w:p w14:paraId="60CED8CE">
            <w:pPr>
              <w:pStyle w:val="30"/>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2"/>
                <w:highlight w:val="none"/>
                <w:lang w:val="en-US" w:eastAsia="zh-CN"/>
              </w:rPr>
              <w:t>+0.4t/a</w:t>
            </w:r>
          </w:p>
        </w:tc>
      </w:tr>
      <w:tr w14:paraId="77A01F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4D8D11B5">
            <w:pPr>
              <w:pStyle w:val="30"/>
              <w:bidi w:val="0"/>
              <w:rPr>
                <w:rFonts w:ascii="Times New Roman" w:hAnsi="Times New Roman"/>
                <w:color w:val="auto"/>
              </w:rPr>
            </w:pPr>
          </w:p>
        </w:tc>
        <w:tc>
          <w:tcPr>
            <w:tcW w:w="1417" w:type="dxa"/>
            <w:noWrap w:val="0"/>
            <w:vAlign w:val="center"/>
          </w:tcPr>
          <w:p w14:paraId="1867ECC4">
            <w:pPr>
              <w:pStyle w:val="30"/>
              <w:bidi w:val="0"/>
              <w:rPr>
                <w:rFonts w:hint="eastAsia" w:ascii="Times New Roman" w:hAnsi="Times New Roman" w:eastAsia="宋体"/>
                <w:color w:val="auto"/>
                <w:lang w:val="en-US" w:eastAsia="zh-CN"/>
              </w:rPr>
            </w:pPr>
            <w:r>
              <w:rPr>
                <w:rFonts w:hint="eastAsia" w:ascii="Times New Roman" w:hAnsi="Times New Roman" w:eastAsia="宋体" w:cs="Times New Roman"/>
                <w:color w:val="auto"/>
                <w:kern w:val="0"/>
                <w:sz w:val="21"/>
                <w:szCs w:val="20"/>
                <w:lang w:val="en-US" w:eastAsia="zh-CN" w:bidi="ar-SA"/>
              </w:rPr>
              <w:t>废边角料</w:t>
            </w:r>
          </w:p>
        </w:tc>
        <w:tc>
          <w:tcPr>
            <w:tcW w:w="1701" w:type="dxa"/>
            <w:shd w:val="clear" w:color="auto" w:fill="auto"/>
            <w:noWrap w:val="0"/>
            <w:vAlign w:val="center"/>
          </w:tcPr>
          <w:p w14:paraId="74B71F71">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276" w:type="dxa"/>
            <w:shd w:val="clear" w:color="auto" w:fill="auto"/>
            <w:noWrap w:val="0"/>
            <w:vAlign w:val="center"/>
          </w:tcPr>
          <w:p w14:paraId="5E1D4E87">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701" w:type="dxa"/>
            <w:noWrap w:val="0"/>
            <w:vAlign w:val="center"/>
          </w:tcPr>
          <w:p w14:paraId="70D8C14F">
            <w:pPr>
              <w:pStyle w:val="30"/>
              <w:bidi w:val="0"/>
              <w:rPr>
                <w:rFonts w:ascii="Times New Roman" w:hAnsi="Times New Roman"/>
                <w:color w:val="auto"/>
              </w:rPr>
            </w:pPr>
            <w:r>
              <w:rPr>
                <w:rFonts w:hint="eastAsia" w:ascii="Times New Roman" w:hAnsi="Times New Roman"/>
                <w:color w:val="auto"/>
                <w:lang w:val="en-US" w:eastAsia="zh-CN"/>
              </w:rPr>
              <w:t>/</w:t>
            </w:r>
          </w:p>
        </w:tc>
        <w:tc>
          <w:tcPr>
            <w:tcW w:w="1559" w:type="dxa"/>
            <w:noWrap w:val="0"/>
            <w:vAlign w:val="center"/>
          </w:tcPr>
          <w:p w14:paraId="0D4441D8">
            <w:pPr>
              <w:pStyle w:val="30"/>
              <w:bidi w:val="0"/>
              <w:rPr>
                <w:rFonts w:hint="default" w:ascii="Times New Roman" w:hAnsi="Times New Roman" w:eastAsia="宋体"/>
                <w:color w:val="auto"/>
                <w:lang w:val="en-US" w:eastAsia="zh-CN"/>
              </w:rPr>
            </w:pPr>
            <w:r>
              <w:rPr>
                <w:rFonts w:hint="eastAsia" w:cs="Times New Roman"/>
                <w:color w:val="auto"/>
                <w:sz w:val="21"/>
                <w:szCs w:val="22"/>
                <w:highlight w:val="none"/>
                <w:lang w:val="en-US" w:eastAsia="zh-CN"/>
              </w:rPr>
              <w:t>0.5t/a</w:t>
            </w:r>
          </w:p>
        </w:tc>
        <w:tc>
          <w:tcPr>
            <w:tcW w:w="1578" w:type="dxa"/>
            <w:noWrap w:val="0"/>
            <w:vAlign w:val="center"/>
          </w:tcPr>
          <w:p w14:paraId="0436CD28">
            <w:pPr>
              <w:pStyle w:val="30"/>
              <w:bidi w:val="0"/>
              <w:rPr>
                <w:rFonts w:ascii="Times New Roman" w:hAnsi="Times New Roman" w:eastAsia="宋体"/>
                <w:color w:val="auto"/>
                <w:kern w:val="0"/>
                <w:sz w:val="21"/>
                <w:szCs w:val="20"/>
                <w:lang w:val="en-US" w:eastAsia="zh-CN" w:bidi="ar-SA"/>
              </w:rPr>
            </w:pPr>
            <w:r>
              <w:rPr>
                <w:rFonts w:hint="eastAsia" w:ascii="Times New Roman" w:hAnsi="Times New Roman"/>
                <w:color w:val="auto"/>
                <w:lang w:val="en-US" w:eastAsia="zh-CN"/>
              </w:rPr>
              <w:t>/</w:t>
            </w:r>
          </w:p>
        </w:tc>
        <w:tc>
          <w:tcPr>
            <w:tcW w:w="1695" w:type="dxa"/>
            <w:shd w:val="clear" w:color="auto" w:fill="auto"/>
            <w:noWrap w:val="0"/>
            <w:vAlign w:val="center"/>
          </w:tcPr>
          <w:p w14:paraId="79D10686">
            <w:pPr>
              <w:pStyle w:val="30"/>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2"/>
                <w:highlight w:val="none"/>
                <w:lang w:val="en-US" w:eastAsia="zh-CN"/>
              </w:rPr>
              <w:t>+0.5t/a</w:t>
            </w:r>
          </w:p>
        </w:tc>
      </w:tr>
      <w:tr w14:paraId="3BCF24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28645262">
            <w:pPr>
              <w:pStyle w:val="30"/>
              <w:bidi w:val="0"/>
              <w:rPr>
                <w:rFonts w:ascii="Times New Roman" w:hAnsi="Times New Roman"/>
                <w:color w:val="auto"/>
              </w:rPr>
            </w:pPr>
          </w:p>
        </w:tc>
        <w:tc>
          <w:tcPr>
            <w:tcW w:w="1417" w:type="dxa"/>
            <w:noWrap w:val="0"/>
            <w:vAlign w:val="center"/>
          </w:tcPr>
          <w:p w14:paraId="291D7E85">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不合格品</w:t>
            </w:r>
          </w:p>
        </w:tc>
        <w:tc>
          <w:tcPr>
            <w:tcW w:w="1701" w:type="dxa"/>
            <w:shd w:val="clear" w:color="auto" w:fill="auto"/>
            <w:noWrap w:val="0"/>
            <w:vAlign w:val="center"/>
          </w:tcPr>
          <w:p w14:paraId="659730AE">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276" w:type="dxa"/>
            <w:shd w:val="clear" w:color="auto" w:fill="auto"/>
            <w:noWrap w:val="0"/>
            <w:vAlign w:val="center"/>
          </w:tcPr>
          <w:p w14:paraId="6DF728C1">
            <w:pPr>
              <w:pStyle w:val="30"/>
              <w:bidi w:val="0"/>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olor w:val="auto"/>
                <w:lang w:val="en-US" w:eastAsia="zh-CN"/>
              </w:rPr>
              <w:t>/</w:t>
            </w:r>
          </w:p>
        </w:tc>
        <w:tc>
          <w:tcPr>
            <w:tcW w:w="1701" w:type="dxa"/>
            <w:noWrap w:val="0"/>
            <w:vAlign w:val="center"/>
          </w:tcPr>
          <w:p w14:paraId="114B6C6F">
            <w:pPr>
              <w:pStyle w:val="30"/>
              <w:bidi w:val="0"/>
              <w:rPr>
                <w:rFonts w:ascii="Times New Roman" w:hAnsi="Times New Roman"/>
                <w:color w:val="auto"/>
              </w:rPr>
            </w:pPr>
            <w:r>
              <w:rPr>
                <w:rFonts w:hint="eastAsia" w:ascii="Times New Roman" w:hAnsi="Times New Roman"/>
                <w:color w:val="auto"/>
                <w:lang w:val="en-US" w:eastAsia="zh-CN"/>
              </w:rPr>
              <w:t>/</w:t>
            </w:r>
          </w:p>
        </w:tc>
        <w:tc>
          <w:tcPr>
            <w:tcW w:w="1559" w:type="dxa"/>
            <w:noWrap w:val="0"/>
            <w:vAlign w:val="center"/>
          </w:tcPr>
          <w:p w14:paraId="5B03F93F">
            <w:pPr>
              <w:pStyle w:val="30"/>
              <w:bidi w:val="0"/>
              <w:rPr>
                <w:rFonts w:hint="default" w:ascii="Times New Roman" w:hAnsi="Times New Roman" w:eastAsia="宋体"/>
                <w:color w:val="auto"/>
                <w:lang w:val="en-US" w:eastAsia="zh-CN"/>
              </w:rPr>
            </w:pPr>
            <w:r>
              <w:rPr>
                <w:rFonts w:hint="eastAsia" w:cs="Times New Roman"/>
                <w:color w:val="auto"/>
                <w:sz w:val="21"/>
                <w:szCs w:val="22"/>
                <w:highlight w:val="none"/>
                <w:lang w:val="en-US" w:eastAsia="zh-CN"/>
              </w:rPr>
              <w:t>1.0t/a</w:t>
            </w:r>
          </w:p>
        </w:tc>
        <w:tc>
          <w:tcPr>
            <w:tcW w:w="1578" w:type="dxa"/>
            <w:noWrap w:val="0"/>
            <w:vAlign w:val="center"/>
          </w:tcPr>
          <w:p w14:paraId="65C4B52D">
            <w:pPr>
              <w:pStyle w:val="30"/>
              <w:bidi w:val="0"/>
              <w:rPr>
                <w:rFonts w:ascii="Times New Roman" w:hAnsi="Times New Roman" w:eastAsia="宋体"/>
                <w:color w:val="auto"/>
                <w:kern w:val="0"/>
                <w:sz w:val="21"/>
                <w:szCs w:val="20"/>
                <w:lang w:val="en-US" w:eastAsia="zh-CN" w:bidi="ar-SA"/>
              </w:rPr>
            </w:pPr>
            <w:r>
              <w:rPr>
                <w:rFonts w:hint="eastAsia" w:ascii="Times New Roman" w:hAnsi="Times New Roman"/>
                <w:color w:val="auto"/>
                <w:lang w:val="en-US" w:eastAsia="zh-CN"/>
              </w:rPr>
              <w:t>/</w:t>
            </w:r>
          </w:p>
        </w:tc>
        <w:tc>
          <w:tcPr>
            <w:tcW w:w="1695" w:type="dxa"/>
            <w:shd w:val="clear" w:color="auto" w:fill="auto"/>
            <w:noWrap w:val="0"/>
            <w:vAlign w:val="center"/>
          </w:tcPr>
          <w:p w14:paraId="7FF6674A">
            <w:pPr>
              <w:pStyle w:val="30"/>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2"/>
                <w:highlight w:val="none"/>
                <w:lang w:val="en-US" w:eastAsia="zh-CN"/>
              </w:rPr>
              <w:t>+1.0t/a</w:t>
            </w:r>
          </w:p>
        </w:tc>
      </w:tr>
      <w:tr w14:paraId="3D4392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5B895FBA">
            <w:pPr>
              <w:pStyle w:val="30"/>
              <w:bidi w:val="0"/>
              <w:rPr>
                <w:rFonts w:ascii="Times New Roman" w:hAnsi="Times New Roman"/>
                <w:color w:val="auto"/>
              </w:rPr>
            </w:pPr>
          </w:p>
        </w:tc>
        <w:tc>
          <w:tcPr>
            <w:tcW w:w="1417" w:type="dxa"/>
            <w:shd w:val="clear" w:color="auto" w:fill="auto"/>
            <w:noWrap w:val="0"/>
            <w:vAlign w:val="center"/>
          </w:tcPr>
          <w:p w14:paraId="1B18C96A">
            <w:pPr>
              <w:widowControl w:val="0"/>
              <w:bidi w:val="0"/>
              <w:adjustRightInd w:val="0"/>
              <w:snapToGrid w:val="0"/>
              <w:spacing w:before="10" w:beforeLines="10" w:after="10" w:afterLines="10" w:line="240" w:lineRule="auto"/>
              <w:jc w:val="center"/>
              <w:rPr>
                <w:rFonts w:hint="eastAsia" w:ascii="Times New Roman" w:hAnsi="Times New Roman" w:eastAsia="宋体" w:cs="Times New Roman"/>
                <w:color w:val="auto"/>
                <w:kern w:val="0"/>
                <w:sz w:val="21"/>
                <w:szCs w:val="20"/>
                <w:lang w:val="en-US" w:eastAsia="zh-CN" w:bidi="ar-SA"/>
              </w:rPr>
            </w:pPr>
            <w:r>
              <w:rPr>
                <w:rFonts w:hint="eastAsia" w:ascii="Times New Roman" w:hAnsi="Times New Roman" w:eastAsia="宋体" w:cs="Times New Roman"/>
                <w:color w:val="auto"/>
                <w:kern w:val="0"/>
                <w:sz w:val="21"/>
                <w:szCs w:val="20"/>
                <w:lang w:val="en-US" w:eastAsia="zh-CN" w:bidi="ar-SA"/>
              </w:rPr>
              <w:t>沉淀池污泥</w:t>
            </w:r>
          </w:p>
        </w:tc>
        <w:tc>
          <w:tcPr>
            <w:tcW w:w="1701" w:type="dxa"/>
            <w:shd w:val="clear" w:color="auto" w:fill="auto"/>
            <w:noWrap w:val="0"/>
            <w:vAlign w:val="center"/>
          </w:tcPr>
          <w:p w14:paraId="3980CD62">
            <w:pPr>
              <w:pStyle w:val="30"/>
              <w:bidi w:val="0"/>
              <w:rPr>
                <w:rFonts w:hint="eastAsia" w:ascii="Times New Roman" w:hAnsi="Times New Roman"/>
                <w:color w:val="auto"/>
                <w:lang w:val="en-US" w:eastAsia="zh-CN"/>
              </w:rPr>
            </w:pPr>
          </w:p>
        </w:tc>
        <w:tc>
          <w:tcPr>
            <w:tcW w:w="1276" w:type="dxa"/>
            <w:shd w:val="clear" w:color="auto" w:fill="auto"/>
            <w:noWrap w:val="0"/>
            <w:vAlign w:val="center"/>
          </w:tcPr>
          <w:p w14:paraId="68070594">
            <w:pPr>
              <w:pStyle w:val="30"/>
              <w:bidi w:val="0"/>
              <w:rPr>
                <w:rFonts w:hint="eastAsia" w:ascii="Times New Roman" w:hAnsi="Times New Roman"/>
                <w:color w:val="auto"/>
                <w:lang w:val="en-US" w:eastAsia="zh-CN"/>
              </w:rPr>
            </w:pPr>
          </w:p>
        </w:tc>
        <w:tc>
          <w:tcPr>
            <w:tcW w:w="1701" w:type="dxa"/>
            <w:noWrap w:val="0"/>
            <w:vAlign w:val="center"/>
          </w:tcPr>
          <w:p w14:paraId="504197FC">
            <w:pPr>
              <w:pStyle w:val="30"/>
              <w:bidi w:val="0"/>
              <w:rPr>
                <w:rFonts w:hint="eastAsia" w:ascii="Times New Roman" w:hAnsi="Times New Roman"/>
                <w:color w:val="auto"/>
                <w:lang w:val="en-US" w:eastAsia="zh-CN"/>
              </w:rPr>
            </w:pPr>
          </w:p>
        </w:tc>
        <w:tc>
          <w:tcPr>
            <w:tcW w:w="1559" w:type="dxa"/>
            <w:noWrap w:val="0"/>
            <w:vAlign w:val="center"/>
          </w:tcPr>
          <w:p w14:paraId="04FC26AB">
            <w:pPr>
              <w:pStyle w:val="30"/>
              <w:bidi w:val="0"/>
              <w:rPr>
                <w:rFonts w:hint="default" w:cs="Times New Roman"/>
                <w:color w:val="auto"/>
                <w:sz w:val="21"/>
                <w:szCs w:val="22"/>
                <w:highlight w:val="none"/>
                <w:lang w:val="en-US" w:eastAsia="zh-CN"/>
              </w:rPr>
            </w:pPr>
            <w:r>
              <w:rPr>
                <w:rFonts w:hint="eastAsia" w:cs="Times New Roman"/>
                <w:color w:val="auto"/>
                <w:sz w:val="21"/>
                <w:szCs w:val="22"/>
                <w:highlight w:val="none"/>
                <w:lang w:val="en-US" w:eastAsia="zh-CN"/>
              </w:rPr>
              <w:t>1.5t/a</w:t>
            </w:r>
          </w:p>
        </w:tc>
        <w:tc>
          <w:tcPr>
            <w:tcW w:w="1578" w:type="dxa"/>
            <w:noWrap w:val="0"/>
            <w:vAlign w:val="center"/>
          </w:tcPr>
          <w:p w14:paraId="7BEEBC52">
            <w:pPr>
              <w:pStyle w:val="30"/>
              <w:bidi w:val="0"/>
              <w:rPr>
                <w:rFonts w:hint="eastAsia" w:ascii="Times New Roman" w:hAnsi="Times New Roman"/>
                <w:color w:val="auto"/>
                <w:lang w:val="en-US" w:eastAsia="zh-CN"/>
              </w:rPr>
            </w:pPr>
          </w:p>
        </w:tc>
        <w:tc>
          <w:tcPr>
            <w:tcW w:w="1695" w:type="dxa"/>
            <w:shd w:val="clear" w:color="auto" w:fill="auto"/>
            <w:noWrap w:val="0"/>
            <w:vAlign w:val="center"/>
          </w:tcPr>
          <w:p w14:paraId="1EB7561C">
            <w:pPr>
              <w:pStyle w:val="30"/>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2"/>
                <w:highlight w:val="none"/>
                <w:lang w:val="en-US" w:eastAsia="zh-CN"/>
              </w:rPr>
              <w:t>+1.5t/a</w:t>
            </w:r>
          </w:p>
        </w:tc>
      </w:tr>
      <w:tr w14:paraId="2BBB64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noWrap w:val="0"/>
            <w:vAlign w:val="center"/>
          </w:tcPr>
          <w:p w14:paraId="5DAB4507">
            <w:pPr>
              <w:pStyle w:val="30"/>
              <w:bidi w:val="0"/>
              <w:rPr>
                <w:rFonts w:hint="eastAsia" w:ascii="Times New Roman" w:hAnsi="Times New Roman" w:eastAsia="宋体"/>
                <w:color w:val="auto"/>
                <w:lang w:val="en-US" w:eastAsia="zh-CN"/>
              </w:rPr>
            </w:pPr>
            <w:r>
              <w:rPr>
                <w:rFonts w:hint="eastAsia" w:ascii="Times New Roman" w:hAnsi="Times New Roman"/>
                <w:color w:val="auto"/>
                <w:lang w:val="en-US" w:eastAsia="zh-CN"/>
              </w:rPr>
              <w:t>生活垃圾</w:t>
            </w:r>
          </w:p>
        </w:tc>
        <w:tc>
          <w:tcPr>
            <w:tcW w:w="1417" w:type="dxa"/>
            <w:noWrap w:val="0"/>
            <w:vAlign w:val="center"/>
          </w:tcPr>
          <w:p w14:paraId="001A943E">
            <w:pPr>
              <w:pStyle w:val="30"/>
              <w:bidi w:val="0"/>
              <w:rPr>
                <w:rFonts w:hint="default" w:ascii="Times New Roman" w:hAnsi="Times New Roman"/>
                <w:color w:val="auto"/>
                <w:lang w:val="en-US" w:eastAsia="zh-CN"/>
              </w:rPr>
            </w:pPr>
            <w:r>
              <w:rPr>
                <w:rFonts w:hint="eastAsia" w:ascii="Times New Roman" w:hAnsi="Times New Roman"/>
                <w:color w:val="auto"/>
                <w:lang w:val="en-US" w:eastAsia="zh-CN"/>
              </w:rPr>
              <w:t>生活垃圾</w:t>
            </w:r>
          </w:p>
        </w:tc>
        <w:tc>
          <w:tcPr>
            <w:tcW w:w="1701" w:type="dxa"/>
            <w:noWrap w:val="0"/>
            <w:vAlign w:val="center"/>
          </w:tcPr>
          <w:p w14:paraId="272B2F57">
            <w:pPr>
              <w:pStyle w:val="30"/>
              <w:bidi w:val="0"/>
              <w:rPr>
                <w:rFonts w:ascii="Times New Roman" w:hAnsi="Times New Roman"/>
                <w:color w:val="auto"/>
              </w:rPr>
            </w:pPr>
            <w:r>
              <w:rPr>
                <w:rFonts w:hint="eastAsia" w:ascii="Times New Roman" w:hAnsi="Times New Roman"/>
                <w:color w:val="auto"/>
                <w:lang w:val="en-US" w:eastAsia="zh-CN"/>
              </w:rPr>
              <w:t>/</w:t>
            </w:r>
          </w:p>
        </w:tc>
        <w:tc>
          <w:tcPr>
            <w:tcW w:w="1276" w:type="dxa"/>
            <w:noWrap w:val="0"/>
            <w:vAlign w:val="center"/>
          </w:tcPr>
          <w:p w14:paraId="3A271DD3">
            <w:pPr>
              <w:pStyle w:val="30"/>
              <w:bidi w:val="0"/>
              <w:rPr>
                <w:rFonts w:ascii="Times New Roman" w:hAnsi="Times New Roman"/>
                <w:color w:val="auto"/>
              </w:rPr>
            </w:pPr>
            <w:r>
              <w:rPr>
                <w:rFonts w:hint="eastAsia" w:ascii="Times New Roman" w:hAnsi="Times New Roman"/>
                <w:color w:val="auto"/>
                <w:lang w:val="en-US" w:eastAsia="zh-CN"/>
              </w:rPr>
              <w:t>/</w:t>
            </w:r>
          </w:p>
        </w:tc>
        <w:tc>
          <w:tcPr>
            <w:tcW w:w="1701" w:type="dxa"/>
            <w:noWrap w:val="0"/>
            <w:vAlign w:val="center"/>
          </w:tcPr>
          <w:p w14:paraId="496215E3">
            <w:pPr>
              <w:pStyle w:val="30"/>
              <w:bidi w:val="0"/>
              <w:rPr>
                <w:rFonts w:ascii="Times New Roman" w:hAnsi="Times New Roman"/>
                <w:color w:val="auto"/>
              </w:rPr>
            </w:pPr>
            <w:r>
              <w:rPr>
                <w:rFonts w:hint="eastAsia" w:ascii="Times New Roman" w:hAnsi="Times New Roman"/>
                <w:color w:val="auto"/>
                <w:lang w:val="en-US" w:eastAsia="zh-CN"/>
              </w:rPr>
              <w:t>/</w:t>
            </w:r>
          </w:p>
        </w:tc>
        <w:tc>
          <w:tcPr>
            <w:tcW w:w="1559" w:type="dxa"/>
            <w:noWrap w:val="0"/>
            <w:vAlign w:val="center"/>
          </w:tcPr>
          <w:p w14:paraId="160111DC">
            <w:pPr>
              <w:pStyle w:val="30"/>
              <w:bidi w:val="0"/>
              <w:rPr>
                <w:rFonts w:hint="default" w:ascii="Times New Roman" w:hAnsi="Times New Roman" w:eastAsia="宋体"/>
                <w:color w:val="auto"/>
                <w:highlight w:val="none"/>
                <w:lang w:val="en-US" w:eastAsia="zh-CN"/>
              </w:rPr>
            </w:pPr>
            <w:r>
              <w:rPr>
                <w:rFonts w:hint="eastAsia" w:cs="Times New Roman"/>
                <w:color w:val="auto"/>
                <w:sz w:val="21"/>
                <w:szCs w:val="22"/>
                <w:highlight w:val="none"/>
                <w:lang w:val="en-US" w:eastAsia="zh-CN"/>
              </w:rPr>
              <w:t>9.0t/a</w:t>
            </w:r>
          </w:p>
        </w:tc>
        <w:tc>
          <w:tcPr>
            <w:tcW w:w="1578" w:type="dxa"/>
            <w:noWrap w:val="0"/>
            <w:vAlign w:val="center"/>
          </w:tcPr>
          <w:p w14:paraId="07818709">
            <w:pPr>
              <w:pStyle w:val="30"/>
              <w:bidi w:val="0"/>
              <w:rPr>
                <w:rFonts w:ascii="Times New Roman" w:hAnsi="Times New Roman" w:eastAsia="宋体"/>
                <w:color w:val="auto"/>
                <w:kern w:val="0"/>
                <w:sz w:val="21"/>
                <w:szCs w:val="20"/>
                <w:highlight w:val="none"/>
                <w:lang w:val="en-US" w:eastAsia="zh-CN" w:bidi="ar-SA"/>
              </w:rPr>
            </w:pPr>
            <w:r>
              <w:rPr>
                <w:rFonts w:hint="eastAsia" w:ascii="Times New Roman" w:hAnsi="Times New Roman"/>
                <w:color w:val="auto"/>
                <w:highlight w:val="none"/>
                <w:lang w:val="en-US" w:eastAsia="zh-CN"/>
              </w:rPr>
              <w:t>/</w:t>
            </w:r>
          </w:p>
        </w:tc>
        <w:tc>
          <w:tcPr>
            <w:tcW w:w="1695" w:type="dxa"/>
            <w:shd w:val="clear" w:color="auto" w:fill="auto"/>
            <w:noWrap w:val="0"/>
            <w:vAlign w:val="center"/>
          </w:tcPr>
          <w:p w14:paraId="772FCE24">
            <w:pPr>
              <w:pStyle w:val="30"/>
              <w:bidi w:val="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2"/>
                <w:highlight w:val="none"/>
                <w:lang w:val="en-US" w:eastAsia="zh-CN"/>
              </w:rPr>
              <w:t>+9.0t/a</w:t>
            </w:r>
          </w:p>
        </w:tc>
      </w:tr>
      <w:tr w14:paraId="71F3E8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restart"/>
            <w:noWrap w:val="0"/>
            <w:vAlign w:val="center"/>
          </w:tcPr>
          <w:p w14:paraId="4322E84A">
            <w:pPr>
              <w:pStyle w:val="30"/>
              <w:bidi w:val="0"/>
              <w:rPr>
                <w:rFonts w:hint="eastAsia" w:ascii="Times New Roman" w:hAnsi="Times New Roman"/>
                <w:color w:val="auto"/>
              </w:rPr>
            </w:pPr>
            <w:r>
              <w:rPr>
                <w:rFonts w:hint="eastAsia" w:ascii="Times New Roman" w:hAnsi="Times New Roman"/>
                <w:color w:val="auto"/>
              </w:rPr>
              <w:t>危险废物</w:t>
            </w:r>
          </w:p>
        </w:tc>
        <w:tc>
          <w:tcPr>
            <w:tcW w:w="1417" w:type="dxa"/>
            <w:noWrap w:val="0"/>
            <w:vAlign w:val="center"/>
          </w:tcPr>
          <w:p w14:paraId="2439927D">
            <w:pPr>
              <w:pStyle w:val="30"/>
              <w:bidi w:val="0"/>
              <w:rPr>
                <w:rFonts w:hint="eastAsia" w:ascii="Times New Roman" w:hAnsi="Times New Roman" w:eastAsia="宋体"/>
                <w:color w:val="auto"/>
                <w:lang w:val="en-US" w:eastAsia="zh-CN"/>
              </w:rPr>
            </w:pPr>
            <w:r>
              <w:rPr>
                <w:rFonts w:hint="eastAsia" w:ascii="Times New Roman" w:hAnsi="Times New Roman"/>
                <w:color w:val="auto"/>
                <w:lang w:val="en-US" w:eastAsia="zh-CN"/>
              </w:rPr>
              <w:t>废活性炭</w:t>
            </w:r>
          </w:p>
        </w:tc>
        <w:tc>
          <w:tcPr>
            <w:tcW w:w="1701" w:type="dxa"/>
            <w:noWrap w:val="0"/>
            <w:vAlign w:val="center"/>
          </w:tcPr>
          <w:p w14:paraId="20176EF4">
            <w:pPr>
              <w:pStyle w:val="30"/>
              <w:bidi w:val="0"/>
              <w:rPr>
                <w:rFonts w:ascii="Times New Roman" w:hAnsi="Times New Roman"/>
                <w:color w:val="auto"/>
              </w:rPr>
            </w:pPr>
            <w:r>
              <w:rPr>
                <w:rFonts w:hint="eastAsia" w:ascii="Times New Roman" w:hAnsi="Times New Roman"/>
                <w:color w:val="auto"/>
                <w:lang w:val="en-US" w:eastAsia="zh-CN"/>
              </w:rPr>
              <w:t>/</w:t>
            </w:r>
          </w:p>
        </w:tc>
        <w:tc>
          <w:tcPr>
            <w:tcW w:w="1276" w:type="dxa"/>
            <w:noWrap w:val="0"/>
            <w:vAlign w:val="center"/>
          </w:tcPr>
          <w:p w14:paraId="08FA07B8">
            <w:pPr>
              <w:pStyle w:val="30"/>
              <w:bidi w:val="0"/>
              <w:rPr>
                <w:rFonts w:ascii="Times New Roman" w:hAnsi="Times New Roman"/>
                <w:color w:val="auto"/>
              </w:rPr>
            </w:pPr>
            <w:r>
              <w:rPr>
                <w:rFonts w:hint="eastAsia" w:ascii="Times New Roman" w:hAnsi="Times New Roman"/>
                <w:color w:val="auto"/>
                <w:lang w:val="en-US" w:eastAsia="zh-CN"/>
              </w:rPr>
              <w:t>/</w:t>
            </w:r>
          </w:p>
        </w:tc>
        <w:tc>
          <w:tcPr>
            <w:tcW w:w="1701" w:type="dxa"/>
            <w:noWrap w:val="0"/>
            <w:vAlign w:val="center"/>
          </w:tcPr>
          <w:p w14:paraId="4774EEB4">
            <w:pPr>
              <w:pStyle w:val="30"/>
              <w:bidi w:val="0"/>
              <w:rPr>
                <w:rFonts w:ascii="Times New Roman" w:hAnsi="Times New Roman"/>
                <w:color w:val="auto"/>
              </w:rPr>
            </w:pPr>
            <w:r>
              <w:rPr>
                <w:rFonts w:hint="eastAsia" w:ascii="Times New Roman" w:hAnsi="Times New Roman"/>
                <w:color w:val="auto"/>
                <w:lang w:val="en-US" w:eastAsia="zh-CN"/>
              </w:rPr>
              <w:t>/</w:t>
            </w:r>
          </w:p>
        </w:tc>
        <w:tc>
          <w:tcPr>
            <w:tcW w:w="1559" w:type="dxa"/>
            <w:noWrap w:val="0"/>
            <w:vAlign w:val="center"/>
          </w:tcPr>
          <w:p w14:paraId="36A536FA">
            <w:pPr>
              <w:pStyle w:val="30"/>
              <w:bidi w:val="0"/>
              <w:rPr>
                <w:rFonts w:hint="default" w:ascii="Times New Roman" w:hAnsi="Times New Roman" w:eastAsia="宋体"/>
                <w:color w:val="auto"/>
                <w:lang w:val="en-US" w:eastAsia="zh-CN"/>
              </w:rPr>
            </w:pPr>
            <w:r>
              <w:rPr>
                <w:rFonts w:hint="eastAsia" w:cs="Times New Roman"/>
                <w:color w:val="auto"/>
                <w:sz w:val="21"/>
                <w:szCs w:val="22"/>
                <w:highlight w:val="none"/>
                <w:lang w:val="en-US" w:eastAsia="zh-CN"/>
              </w:rPr>
              <w:t>0.7428t/a</w:t>
            </w:r>
          </w:p>
        </w:tc>
        <w:tc>
          <w:tcPr>
            <w:tcW w:w="1578" w:type="dxa"/>
            <w:noWrap w:val="0"/>
            <w:vAlign w:val="center"/>
          </w:tcPr>
          <w:p w14:paraId="667E6179">
            <w:pPr>
              <w:pStyle w:val="30"/>
              <w:bidi w:val="0"/>
              <w:rPr>
                <w:rFonts w:ascii="Times New Roman" w:hAnsi="Times New Roman" w:eastAsia="宋体"/>
                <w:color w:val="auto"/>
                <w:kern w:val="0"/>
                <w:sz w:val="21"/>
                <w:szCs w:val="20"/>
                <w:lang w:val="en-US" w:eastAsia="zh-CN" w:bidi="ar-SA"/>
              </w:rPr>
            </w:pPr>
            <w:r>
              <w:rPr>
                <w:rFonts w:hint="eastAsia" w:ascii="Times New Roman" w:hAnsi="Times New Roman"/>
                <w:color w:val="auto"/>
                <w:lang w:val="en-US" w:eastAsia="zh-CN"/>
              </w:rPr>
              <w:t>/</w:t>
            </w:r>
          </w:p>
        </w:tc>
        <w:tc>
          <w:tcPr>
            <w:tcW w:w="1695" w:type="dxa"/>
            <w:shd w:val="clear" w:color="auto" w:fill="auto"/>
            <w:noWrap w:val="0"/>
            <w:vAlign w:val="center"/>
          </w:tcPr>
          <w:p w14:paraId="322EAE33">
            <w:pPr>
              <w:pStyle w:val="30"/>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2"/>
                <w:highlight w:val="none"/>
                <w:lang w:val="en-US" w:eastAsia="zh-CN"/>
              </w:rPr>
              <w:t>+0.7428t/a</w:t>
            </w:r>
          </w:p>
        </w:tc>
      </w:tr>
      <w:tr w14:paraId="247B9E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5C744AFD">
            <w:pPr>
              <w:pStyle w:val="30"/>
              <w:bidi w:val="0"/>
              <w:rPr>
                <w:rFonts w:ascii="Times New Roman" w:hAnsi="Times New Roman"/>
                <w:color w:val="auto"/>
              </w:rPr>
            </w:pPr>
          </w:p>
        </w:tc>
        <w:tc>
          <w:tcPr>
            <w:tcW w:w="1417" w:type="dxa"/>
            <w:noWrap w:val="0"/>
            <w:vAlign w:val="center"/>
          </w:tcPr>
          <w:p w14:paraId="01B7FDF5">
            <w:pPr>
              <w:pStyle w:val="30"/>
              <w:bidi w:val="0"/>
              <w:rPr>
                <w:rFonts w:hint="default" w:ascii="Times New Roman" w:hAnsi="Times New Roman" w:eastAsia="宋体"/>
                <w:color w:val="auto"/>
                <w:highlight w:val="none"/>
                <w:lang w:val="en-US" w:eastAsia="zh-CN"/>
              </w:rPr>
            </w:pPr>
            <w:r>
              <w:rPr>
                <w:rFonts w:hint="eastAsia" w:ascii="Times New Roman" w:hAnsi="Times New Roman" w:eastAsia="宋体" w:cs="Times New Roman"/>
                <w:color w:val="auto"/>
                <w:kern w:val="0"/>
                <w:sz w:val="21"/>
                <w:szCs w:val="20"/>
                <w:lang w:val="en-US" w:eastAsia="zh-CN" w:bidi="ar-SA"/>
              </w:rPr>
              <w:t>废绸布和废</w:t>
            </w:r>
            <w:r>
              <w:rPr>
                <w:rFonts w:hint="eastAsia" w:cs="Times New Roman"/>
                <w:color w:val="auto"/>
                <w:kern w:val="0"/>
                <w:sz w:val="21"/>
                <w:szCs w:val="20"/>
                <w:lang w:val="en-US" w:eastAsia="zh-CN" w:bidi="ar-SA"/>
              </w:rPr>
              <w:t>擦拭纸</w:t>
            </w:r>
          </w:p>
        </w:tc>
        <w:tc>
          <w:tcPr>
            <w:tcW w:w="1701" w:type="dxa"/>
            <w:noWrap w:val="0"/>
            <w:vAlign w:val="center"/>
          </w:tcPr>
          <w:p w14:paraId="7EB127C4">
            <w:pPr>
              <w:pStyle w:val="30"/>
              <w:bidi w:val="0"/>
              <w:rPr>
                <w:rFonts w:hint="default" w:ascii="Times New Roman" w:hAnsi="Times New Roman"/>
                <w:color w:val="auto"/>
                <w:highlight w:val="none"/>
                <w:lang w:val="en-US"/>
              </w:rPr>
            </w:pPr>
            <w:r>
              <w:rPr>
                <w:rFonts w:hint="eastAsia"/>
                <w:color w:val="auto"/>
                <w:highlight w:val="none"/>
                <w:lang w:val="en-US" w:eastAsia="zh-CN"/>
              </w:rPr>
              <w:t>/</w:t>
            </w:r>
          </w:p>
        </w:tc>
        <w:tc>
          <w:tcPr>
            <w:tcW w:w="1276" w:type="dxa"/>
            <w:noWrap w:val="0"/>
            <w:vAlign w:val="center"/>
          </w:tcPr>
          <w:p w14:paraId="5E4F2E99">
            <w:pPr>
              <w:pStyle w:val="30"/>
              <w:bidi w:val="0"/>
              <w:rPr>
                <w:rFonts w:ascii="Times New Roman" w:hAnsi="Times New Roman"/>
                <w:color w:val="auto"/>
              </w:rPr>
            </w:pPr>
            <w:r>
              <w:rPr>
                <w:rFonts w:hint="eastAsia" w:ascii="Times New Roman" w:hAnsi="Times New Roman"/>
                <w:color w:val="auto"/>
                <w:lang w:val="en-US" w:eastAsia="zh-CN"/>
              </w:rPr>
              <w:t>/</w:t>
            </w:r>
          </w:p>
        </w:tc>
        <w:tc>
          <w:tcPr>
            <w:tcW w:w="1701" w:type="dxa"/>
            <w:noWrap w:val="0"/>
            <w:vAlign w:val="center"/>
          </w:tcPr>
          <w:p w14:paraId="61238E50">
            <w:pPr>
              <w:pStyle w:val="30"/>
              <w:bidi w:val="0"/>
              <w:rPr>
                <w:rFonts w:ascii="Times New Roman" w:hAnsi="Times New Roman"/>
                <w:color w:val="auto"/>
              </w:rPr>
            </w:pPr>
            <w:r>
              <w:rPr>
                <w:rFonts w:hint="eastAsia" w:ascii="Times New Roman" w:hAnsi="Times New Roman"/>
                <w:color w:val="auto"/>
                <w:lang w:val="en-US" w:eastAsia="zh-CN"/>
              </w:rPr>
              <w:t>/</w:t>
            </w:r>
          </w:p>
        </w:tc>
        <w:tc>
          <w:tcPr>
            <w:tcW w:w="1559" w:type="dxa"/>
            <w:noWrap w:val="0"/>
            <w:vAlign w:val="center"/>
          </w:tcPr>
          <w:p w14:paraId="4614352F">
            <w:pPr>
              <w:pStyle w:val="30"/>
              <w:bidi w:val="0"/>
              <w:rPr>
                <w:rFonts w:hint="default" w:ascii="Times New Roman" w:hAnsi="Times New Roman" w:eastAsia="宋体"/>
                <w:color w:val="auto"/>
                <w:lang w:val="en-US" w:eastAsia="zh-CN"/>
              </w:rPr>
            </w:pPr>
            <w:r>
              <w:rPr>
                <w:rFonts w:hint="eastAsia" w:cs="Times New Roman"/>
                <w:color w:val="auto"/>
                <w:sz w:val="21"/>
                <w:szCs w:val="22"/>
                <w:highlight w:val="none"/>
                <w:lang w:val="en-US" w:eastAsia="zh-CN"/>
              </w:rPr>
              <w:t>0.005t/a</w:t>
            </w:r>
          </w:p>
        </w:tc>
        <w:tc>
          <w:tcPr>
            <w:tcW w:w="1578" w:type="dxa"/>
            <w:noWrap w:val="0"/>
            <w:vAlign w:val="center"/>
          </w:tcPr>
          <w:p w14:paraId="2A2062AC">
            <w:pPr>
              <w:pStyle w:val="30"/>
              <w:bidi w:val="0"/>
              <w:rPr>
                <w:rFonts w:hint="default" w:ascii="Times New Roman" w:hAnsi="Times New Roman" w:eastAsia="宋体"/>
                <w:color w:val="auto"/>
                <w:kern w:val="0"/>
                <w:sz w:val="21"/>
                <w:szCs w:val="20"/>
                <w:lang w:val="en-US" w:eastAsia="zh-CN" w:bidi="ar-SA"/>
              </w:rPr>
            </w:pPr>
            <w:r>
              <w:rPr>
                <w:rFonts w:hint="eastAsia"/>
                <w:color w:val="auto"/>
                <w:lang w:val="en-US" w:eastAsia="zh-CN"/>
              </w:rPr>
              <w:t>/</w:t>
            </w:r>
          </w:p>
        </w:tc>
        <w:tc>
          <w:tcPr>
            <w:tcW w:w="1695" w:type="dxa"/>
            <w:shd w:val="clear" w:color="auto" w:fill="auto"/>
            <w:noWrap w:val="0"/>
            <w:vAlign w:val="center"/>
          </w:tcPr>
          <w:p w14:paraId="410B684D">
            <w:pPr>
              <w:pStyle w:val="30"/>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2"/>
                <w:highlight w:val="none"/>
                <w:lang w:val="en-US" w:eastAsia="zh-CN"/>
              </w:rPr>
              <w:t>+0.005t/a</w:t>
            </w:r>
          </w:p>
        </w:tc>
      </w:tr>
      <w:tr w14:paraId="258A65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64FE2E36">
            <w:pPr>
              <w:pStyle w:val="30"/>
              <w:bidi w:val="0"/>
              <w:rPr>
                <w:rFonts w:ascii="Times New Roman" w:hAnsi="Times New Roman"/>
                <w:color w:val="auto"/>
              </w:rPr>
            </w:pPr>
          </w:p>
        </w:tc>
        <w:tc>
          <w:tcPr>
            <w:tcW w:w="1417" w:type="dxa"/>
            <w:noWrap w:val="0"/>
            <w:vAlign w:val="center"/>
          </w:tcPr>
          <w:p w14:paraId="5DB539D3">
            <w:pPr>
              <w:pStyle w:val="30"/>
              <w:bidi w:val="0"/>
              <w:rPr>
                <w:rFonts w:hint="default" w:ascii="Times New Roman" w:hAnsi="Times New Roman" w:eastAsia="宋体"/>
                <w:color w:val="auto"/>
                <w:lang w:val="en-US" w:eastAsia="zh-CN"/>
              </w:rPr>
            </w:pPr>
            <w:r>
              <w:rPr>
                <w:rFonts w:hint="eastAsia" w:ascii="Times New Roman" w:hAnsi="Times New Roman"/>
                <w:color w:val="auto"/>
                <w:lang w:val="en-US" w:eastAsia="zh-CN"/>
              </w:rPr>
              <w:t>废包装容器</w:t>
            </w:r>
          </w:p>
        </w:tc>
        <w:tc>
          <w:tcPr>
            <w:tcW w:w="1701" w:type="dxa"/>
            <w:noWrap w:val="0"/>
            <w:vAlign w:val="center"/>
          </w:tcPr>
          <w:p w14:paraId="31859541">
            <w:pPr>
              <w:pStyle w:val="30"/>
              <w:bidi w:val="0"/>
              <w:rPr>
                <w:rFonts w:hint="default" w:ascii="Times New Roman" w:hAnsi="Times New Roman"/>
                <w:color w:val="auto"/>
                <w:lang w:val="en-US"/>
              </w:rPr>
            </w:pPr>
            <w:r>
              <w:rPr>
                <w:rFonts w:hint="eastAsia"/>
                <w:color w:val="auto"/>
                <w:lang w:val="en-US" w:eastAsia="zh-CN"/>
              </w:rPr>
              <w:t>/</w:t>
            </w:r>
          </w:p>
        </w:tc>
        <w:tc>
          <w:tcPr>
            <w:tcW w:w="1276" w:type="dxa"/>
            <w:noWrap w:val="0"/>
            <w:vAlign w:val="center"/>
          </w:tcPr>
          <w:p w14:paraId="76CEE619">
            <w:pPr>
              <w:pStyle w:val="30"/>
              <w:bidi w:val="0"/>
              <w:rPr>
                <w:rFonts w:ascii="Times New Roman" w:hAnsi="Times New Roman"/>
                <w:color w:val="auto"/>
              </w:rPr>
            </w:pPr>
            <w:r>
              <w:rPr>
                <w:rFonts w:hint="eastAsia" w:ascii="Times New Roman" w:hAnsi="Times New Roman"/>
                <w:color w:val="auto"/>
                <w:lang w:val="en-US" w:eastAsia="zh-CN"/>
              </w:rPr>
              <w:t>/</w:t>
            </w:r>
          </w:p>
        </w:tc>
        <w:tc>
          <w:tcPr>
            <w:tcW w:w="1701" w:type="dxa"/>
            <w:noWrap w:val="0"/>
            <w:vAlign w:val="center"/>
          </w:tcPr>
          <w:p w14:paraId="5AFED90A">
            <w:pPr>
              <w:pStyle w:val="30"/>
              <w:bidi w:val="0"/>
              <w:rPr>
                <w:rFonts w:ascii="Times New Roman" w:hAnsi="Times New Roman"/>
                <w:color w:val="auto"/>
              </w:rPr>
            </w:pPr>
            <w:r>
              <w:rPr>
                <w:rFonts w:hint="eastAsia" w:ascii="Times New Roman" w:hAnsi="Times New Roman"/>
                <w:color w:val="auto"/>
                <w:lang w:val="en-US" w:eastAsia="zh-CN"/>
              </w:rPr>
              <w:t>/</w:t>
            </w:r>
          </w:p>
        </w:tc>
        <w:tc>
          <w:tcPr>
            <w:tcW w:w="1559" w:type="dxa"/>
            <w:noWrap w:val="0"/>
            <w:vAlign w:val="center"/>
          </w:tcPr>
          <w:p w14:paraId="12654A2C">
            <w:pPr>
              <w:pStyle w:val="30"/>
              <w:bidi w:val="0"/>
              <w:rPr>
                <w:rFonts w:hint="default" w:ascii="Times New Roman" w:hAnsi="Times New Roman" w:eastAsia="宋体"/>
                <w:color w:val="auto"/>
                <w:lang w:val="en-US" w:eastAsia="zh-CN"/>
              </w:rPr>
            </w:pPr>
            <w:r>
              <w:rPr>
                <w:rFonts w:hint="eastAsia" w:cs="Times New Roman"/>
                <w:color w:val="auto"/>
                <w:sz w:val="21"/>
                <w:szCs w:val="22"/>
                <w:highlight w:val="none"/>
                <w:lang w:val="en-US" w:eastAsia="zh-CN"/>
              </w:rPr>
              <w:t>0.45t/a</w:t>
            </w:r>
          </w:p>
        </w:tc>
        <w:tc>
          <w:tcPr>
            <w:tcW w:w="1578" w:type="dxa"/>
            <w:noWrap w:val="0"/>
            <w:vAlign w:val="center"/>
          </w:tcPr>
          <w:p w14:paraId="4479DCBE">
            <w:pPr>
              <w:pStyle w:val="30"/>
              <w:bidi w:val="0"/>
              <w:rPr>
                <w:rFonts w:ascii="Times New Roman" w:hAnsi="Times New Roman" w:eastAsia="宋体"/>
                <w:color w:val="auto"/>
                <w:kern w:val="0"/>
                <w:sz w:val="21"/>
                <w:szCs w:val="20"/>
                <w:lang w:val="en-US" w:eastAsia="zh-CN" w:bidi="ar-SA"/>
              </w:rPr>
            </w:pPr>
            <w:r>
              <w:rPr>
                <w:rFonts w:hint="eastAsia" w:ascii="Times New Roman" w:hAnsi="Times New Roman"/>
                <w:color w:val="auto"/>
                <w:lang w:val="en-US" w:eastAsia="zh-CN"/>
              </w:rPr>
              <w:t>/</w:t>
            </w:r>
          </w:p>
        </w:tc>
        <w:tc>
          <w:tcPr>
            <w:tcW w:w="1695" w:type="dxa"/>
            <w:shd w:val="clear" w:color="auto" w:fill="auto"/>
            <w:noWrap w:val="0"/>
            <w:vAlign w:val="center"/>
          </w:tcPr>
          <w:p w14:paraId="459FC7B7">
            <w:pPr>
              <w:pStyle w:val="30"/>
              <w:bidi w:val="0"/>
              <w:rPr>
                <w:rFonts w:hint="default" w:ascii="Times New Roman" w:hAnsi="Times New Roman" w:eastAsia="宋体" w:cs="Times New Roman"/>
                <w:color w:val="auto"/>
                <w:kern w:val="0"/>
                <w:sz w:val="21"/>
                <w:szCs w:val="21"/>
                <w:lang w:val="en-US" w:eastAsia="zh-CN" w:bidi="ar-SA"/>
              </w:rPr>
            </w:pPr>
            <w:r>
              <w:rPr>
                <w:rFonts w:hint="eastAsia" w:cs="Times New Roman"/>
                <w:color w:val="auto"/>
                <w:sz w:val="21"/>
                <w:szCs w:val="22"/>
                <w:highlight w:val="none"/>
                <w:lang w:val="en-US" w:eastAsia="zh-CN"/>
              </w:rPr>
              <w:t>+0.45t/a</w:t>
            </w:r>
          </w:p>
        </w:tc>
      </w:tr>
      <w:tr w14:paraId="0203A2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0842852E">
            <w:pPr>
              <w:pStyle w:val="30"/>
              <w:bidi w:val="0"/>
              <w:rPr>
                <w:rFonts w:ascii="Times New Roman" w:hAnsi="Times New Roman"/>
                <w:color w:val="auto"/>
              </w:rPr>
            </w:pPr>
          </w:p>
        </w:tc>
        <w:tc>
          <w:tcPr>
            <w:tcW w:w="1417" w:type="dxa"/>
            <w:noWrap w:val="0"/>
            <w:vAlign w:val="center"/>
          </w:tcPr>
          <w:p w14:paraId="7A0D6FCD">
            <w:pPr>
              <w:pStyle w:val="30"/>
              <w:bidi w:val="0"/>
              <w:rPr>
                <w:rFonts w:hint="default" w:ascii="Times New Roman" w:hAnsi="Times New Roman"/>
                <w:color w:val="auto"/>
                <w:lang w:val="en-US" w:eastAsia="zh-CN"/>
              </w:rPr>
            </w:pPr>
            <w:r>
              <w:rPr>
                <w:rFonts w:hint="eastAsia"/>
                <w:color w:val="auto"/>
                <w:lang w:val="en-US" w:eastAsia="zh-CN"/>
              </w:rPr>
              <w:t>废切削液及污泥</w:t>
            </w:r>
          </w:p>
        </w:tc>
        <w:tc>
          <w:tcPr>
            <w:tcW w:w="1701" w:type="dxa"/>
            <w:noWrap w:val="0"/>
            <w:vAlign w:val="center"/>
          </w:tcPr>
          <w:p w14:paraId="3DB624E7">
            <w:pPr>
              <w:pStyle w:val="30"/>
              <w:bidi w:val="0"/>
              <w:rPr>
                <w:rFonts w:hint="default" w:ascii="Times New Roman" w:hAnsi="Times New Roman"/>
                <w:color w:val="auto"/>
                <w:lang w:val="en-US" w:eastAsia="zh-CN"/>
              </w:rPr>
            </w:pPr>
            <w:r>
              <w:rPr>
                <w:rFonts w:hint="eastAsia"/>
                <w:color w:val="auto"/>
                <w:lang w:val="en-US" w:eastAsia="zh-CN"/>
              </w:rPr>
              <w:t>/</w:t>
            </w:r>
          </w:p>
        </w:tc>
        <w:tc>
          <w:tcPr>
            <w:tcW w:w="1276" w:type="dxa"/>
            <w:noWrap w:val="0"/>
            <w:vAlign w:val="center"/>
          </w:tcPr>
          <w:p w14:paraId="7F183234">
            <w:pPr>
              <w:pStyle w:val="30"/>
              <w:bidi w:val="0"/>
              <w:rPr>
                <w:rFonts w:hint="default" w:ascii="Times New Roman" w:hAnsi="Times New Roman"/>
                <w:color w:val="auto"/>
                <w:lang w:val="en-US" w:eastAsia="zh-CN"/>
              </w:rPr>
            </w:pPr>
            <w:r>
              <w:rPr>
                <w:rFonts w:hint="eastAsia"/>
                <w:color w:val="auto"/>
                <w:lang w:val="en-US" w:eastAsia="zh-CN"/>
              </w:rPr>
              <w:t>/</w:t>
            </w:r>
          </w:p>
        </w:tc>
        <w:tc>
          <w:tcPr>
            <w:tcW w:w="1701" w:type="dxa"/>
            <w:noWrap w:val="0"/>
            <w:vAlign w:val="center"/>
          </w:tcPr>
          <w:p w14:paraId="59373083">
            <w:pPr>
              <w:pStyle w:val="30"/>
              <w:bidi w:val="0"/>
              <w:rPr>
                <w:rFonts w:hint="default" w:ascii="Times New Roman" w:hAnsi="Times New Roman"/>
                <w:color w:val="auto"/>
                <w:lang w:val="en-US" w:eastAsia="zh-CN"/>
              </w:rPr>
            </w:pPr>
            <w:r>
              <w:rPr>
                <w:rFonts w:hint="eastAsia"/>
                <w:color w:val="auto"/>
                <w:lang w:val="en-US" w:eastAsia="zh-CN"/>
              </w:rPr>
              <w:t>/</w:t>
            </w:r>
          </w:p>
        </w:tc>
        <w:tc>
          <w:tcPr>
            <w:tcW w:w="1559" w:type="dxa"/>
            <w:noWrap w:val="0"/>
            <w:vAlign w:val="center"/>
          </w:tcPr>
          <w:p w14:paraId="768BF925">
            <w:pPr>
              <w:pStyle w:val="30"/>
              <w:bidi w:val="0"/>
              <w:rPr>
                <w:rFonts w:hint="default" w:ascii="Times New Roman" w:hAnsi="Times New Roman"/>
                <w:color w:val="auto"/>
                <w:lang w:val="en-US" w:eastAsia="zh-CN"/>
              </w:rPr>
            </w:pPr>
            <w:r>
              <w:rPr>
                <w:rFonts w:hint="eastAsia" w:cs="Times New Roman"/>
                <w:color w:val="auto"/>
                <w:sz w:val="21"/>
                <w:szCs w:val="22"/>
                <w:highlight w:val="none"/>
                <w:lang w:val="en-US" w:eastAsia="zh-CN"/>
              </w:rPr>
              <w:t>0.1t/a</w:t>
            </w:r>
          </w:p>
        </w:tc>
        <w:tc>
          <w:tcPr>
            <w:tcW w:w="1578" w:type="dxa"/>
            <w:noWrap w:val="0"/>
            <w:vAlign w:val="center"/>
          </w:tcPr>
          <w:p w14:paraId="7B6FCBAF">
            <w:pPr>
              <w:pStyle w:val="30"/>
              <w:bidi w:val="0"/>
              <w:rPr>
                <w:rFonts w:hint="default" w:ascii="Times New Roman" w:hAnsi="Times New Roman"/>
                <w:color w:val="auto"/>
                <w:lang w:val="en-US" w:eastAsia="zh-CN"/>
              </w:rPr>
            </w:pPr>
            <w:r>
              <w:rPr>
                <w:rFonts w:hint="eastAsia"/>
                <w:color w:val="auto"/>
                <w:lang w:val="en-US" w:eastAsia="zh-CN"/>
              </w:rPr>
              <w:t>/</w:t>
            </w:r>
          </w:p>
        </w:tc>
        <w:tc>
          <w:tcPr>
            <w:tcW w:w="1695" w:type="dxa"/>
            <w:shd w:val="clear" w:color="auto" w:fill="auto"/>
            <w:noWrap w:val="0"/>
            <w:vAlign w:val="center"/>
          </w:tcPr>
          <w:p w14:paraId="7237D284">
            <w:pPr>
              <w:pStyle w:val="30"/>
              <w:bidi w:val="0"/>
              <w:rPr>
                <w:rFonts w:hint="default" w:ascii="Times New Roman" w:hAnsi="Times New Roman"/>
                <w:color w:val="auto"/>
                <w:lang w:val="en-US" w:eastAsia="zh-CN"/>
              </w:rPr>
            </w:pPr>
            <w:r>
              <w:rPr>
                <w:rFonts w:hint="eastAsia" w:cs="Times New Roman"/>
                <w:color w:val="auto"/>
                <w:sz w:val="21"/>
                <w:szCs w:val="22"/>
                <w:highlight w:val="none"/>
                <w:lang w:val="en-US" w:eastAsia="zh-CN"/>
              </w:rPr>
              <w:t>+0.1t/a</w:t>
            </w:r>
          </w:p>
        </w:tc>
      </w:tr>
      <w:tr w14:paraId="2A79D1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7B37397F">
            <w:pPr>
              <w:pStyle w:val="30"/>
              <w:bidi w:val="0"/>
              <w:rPr>
                <w:rFonts w:ascii="Times New Roman" w:hAnsi="Times New Roman"/>
                <w:color w:val="auto"/>
              </w:rPr>
            </w:pPr>
          </w:p>
        </w:tc>
        <w:tc>
          <w:tcPr>
            <w:tcW w:w="1417" w:type="dxa"/>
            <w:noWrap w:val="0"/>
            <w:vAlign w:val="center"/>
          </w:tcPr>
          <w:p w14:paraId="653323C4">
            <w:pPr>
              <w:pStyle w:val="30"/>
              <w:bidi w:val="0"/>
              <w:rPr>
                <w:rFonts w:hint="default" w:ascii="Times New Roman" w:hAnsi="Times New Roman"/>
                <w:color w:val="auto"/>
                <w:lang w:val="en-US" w:eastAsia="zh-CN"/>
              </w:rPr>
            </w:pPr>
            <w:r>
              <w:rPr>
                <w:rFonts w:hint="eastAsia" w:cs="Times New Roman"/>
                <w:color w:val="auto"/>
                <w:kern w:val="0"/>
                <w:sz w:val="21"/>
                <w:szCs w:val="20"/>
                <w:highlight w:val="none"/>
                <w:lang w:val="en-US" w:eastAsia="zh-CN" w:bidi="ar-SA"/>
              </w:rPr>
              <w:t>废除油剂</w:t>
            </w:r>
          </w:p>
        </w:tc>
        <w:tc>
          <w:tcPr>
            <w:tcW w:w="1701" w:type="dxa"/>
            <w:noWrap w:val="0"/>
            <w:vAlign w:val="center"/>
          </w:tcPr>
          <w:p w14:paraId="73902E80">
            <w:pPr>
              <w:pStyle w:val="30"/>
              <w:bidi w:val="0"/>
              <w:rPr>
                <w:rFonts w:hint="default" w:ascii="Times New Roman" w:hAnsi="Times New Roman"/>
                <w:color w:val="auto"/>
                <w:lang w:val="en-US" w:eastAsia="zh-CN"/>
              </w:rPr>
            </w:pPr>
            <w:r>
              <w:rPr>
                <w:rFonts w:hint="eastAsia"/>
                <w:color w:val="auto"/>
                <w:lang w:val="en-US" w:eastAsia="zh-CN"/>
              </w:rPr>
              <w:t>/</w:t>
            </w:r>
          </w:p>
        </w:tc>
        <w:tc>
          <w:tcPr>
            <w:tcW w:w="1276" w:type="dxa"/>
            <w:noWrap w:val="0"/>
            <w:vAlign w:val="center"/>
          </w:tcPr>
          <w:p w14:paraId="4B96A6B9">
            <w:pPr>
              <w:pStyle w:val="30"/>
              <w:bidi w:val="0"/>
              <w:rPr>
                <w:rFonts w:hint="default" w:ascii="Times New Roman" w:hAnsi="Times New Roman"/>
                <w:color w:val="auto"/>
                <w:lang w:val="en-US" w:eastAsia="zh-CN"/>
              </w:rPr>
            </w:pPr>
            <w:r>
              <w:rPr>
                <w:rFonts w:hint="eastAsia"/>
                <w:color w:val="auto"/>
                <w:lang w:val="en-US" w:eastAsia="zh-CN"/>
              </w:rPr>
              <w:t>/</w:t>
            </w:r>
          </w:p>
        </w:tc>
        <w:tc>
          <w:tcPr>
            <w:tcW w:w="1701" w:type="dxa"/>
            <w:noWrap w:val="0"/>
            <w:vAlign w:val="center"/>
          </w:tcPr>
          <w:p w14:paraId="064AFE79">
            <w:pPr>
              <w:pStyle w:val="30"/>
              <w:bidi w:val="0"/>
              <w:rPr>
                <w:rFonts w:hint="default" w:ascii="Times New Roman" w:hAnsi="Times New Roman"/>
                <w:color w:val="auto"/>
                <w:lang w:val="en-US" w:eastAsia="zh-CN"/>
              </w:rPr>
            </w:pPr>
            <w:r>
              <w:rPr>
                <w:rFonts w:hint="eastAsia"/>
                <w:color w:val="auto"/>
                <w:lang w:val="en-US" w:eastAsia="zh-CN"/>
              </w:rPr>
              <w:t>/</w:t>
            </w:r>
          </w:p>
        </w:tc>
        <w:tc>
          <w:tcPr>
            <w:tcW w:w="1559" w:type="dxa"/>
            <w:noWrap w:val="0"/>
            <w:vAlign w:val="center"/>
          </w:tcPr>
          <w:p w14:paraId="43DEEB7B">
            <w:pPr>
              <w:pStyle w:val="30"/>
              <w:bidi w:val="0"/>
              <w:rPr>
                <w:rFonts w:hint="default" w:ascii="Times New Roman" w:hAnsi="Times New Roman"/>
                <w:color w:val="auto"/>
                <w:lang w:val="en-US" w:eastAsia="zh-CN"/>
              </w:rPr>
            </w:pPr>
            <w:r>
              <w:rPr>
                <w:rFonts w:hint="eastAsia" w:cs="Times New Roman"/>
                <w:color w:val="auto"/>
                <w:sz w:val="21"/>
                <w:szCs w:val="22"/>
                <w:highlight w:val="none"/>
                <w:lang w:val="en-US" w:eastAsia="zh-CN"/>
              </w:rPr>
              <w:t>1.2t/a</w:t>
            </w:r>
          </w:p>
        </w:tc>
        <w:tc>
          <w:tcPr>
            <w:tcW w:w="1578" w:type="dxa"/>
            <w:noWrap w:val="0"/>
            <w:vAlign w:val="center"/>
          </w:tcPr>
          <w:p w14:paraId="4F761867">
            <w:pPr>
              <w:pStyle w:val="30"/>
              <w:bidi w:val="0"/>
              <w:rPr>
                <w:rFonts w:hint="default" w:ascii="Times New Roman" w:hAnsi="Times New Roman"/>
                <w:color w:val="auto"/>
                <w:lang w:val="en-US" w:eastAsia="zh-CN"/>
              </w:rPr>
            </w:pPr>
            <w:r>
              <w:rPr>
                <w:rFonts w:hint="eastAsia"/>
                <w:color w:val="auto"/>
                <w:lang w:val="en-US" w:eastAsia="zh-CN"/>
              </w:rPr>
              <w:t>/</w:t>
            </w:r>
          </w:p>
        </w:tc>
        <w:tc>
          <w:tcPr>
            <w:tcW w:w="1695" w:type="dxa"/>
            <w:shd w:val="clear" w:color="auto" w:fill="auto"/>
            <w:noWrap w:val="0"/>
            <w:vAlign w:val="center"/>
          </w:tcPr>
          <w:p w14:paraId="011B7661">
            <w:pPr>
              <w:pStyle w:val="30"/>
              <w:bidi w:val="0"/>
              <w:rPr>
                <w:rFonts w:hint="default" w:ascii="Times New Roman" w:hAnsi="Times New Roman"/>
                <w:color w:val="auto"/>
                <w:lang w:val="en-US" w:eastAsia="zh-CN"/>
              </w:rPr>
            </w:pPr>
            <w:r>
              <w:rPr>
                <w:rFonts w:hint="eastAsia" w:cs="Times New Roman"/>
                <w:color w:val="auto"/>
                <w:sz w:val="21"/>
                <w:szCs w:val="22"/>
                <w:highlight w:val="none"/>
                <w:lang w:val="en-US" w:eastAsia="zh-CN"/>
              </w:rPr>
              <w:t>+1.2t/a</w:t>
            </w:r>
          </w:p>
        </w:tc>
      </w:tr>
      <w:tr w14:paraId="28F899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88" w:type="dxa"/>
            <w:vMerge w:val="continue"/>
            <w:noWrap w:val="0"/>
            <w:vAlign w:val="center"/>
          </w:tcPr>
          <w:p w14:paraId="42ED8779">
            <w:pPr>
              <w:pStyle w:val="30"/>
              <w:bidi w:val="0"/>
              <w:rPr>
                <w:rFonts w:ascii="Times New Roman" w:hAnsi="Times New Roman"/>
                <w:color w:val="auto"/>
              </w:rPr>
            </w:pPr>
          </w:p>
        </w:tc>
        <w:tc>
          <w:tcPr>
            <w:tcW w:w="1417" w:type="dxa"/>
            <w:noWrap w:val="0"/>
            <w:vAlign w:val="center"/>
          </w:tcPr>
          <w:p w14:paraId="10B1C493">
            <w:pPr>
              <w:pStyle w:val="30"/>
              <w:bidi w:val="0"/>
              <w:rPr>
                <w:rFonts w:hint="eastAsia"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废机油</w:t>
            </w:r>
          </w:p>
        </w:tc>
        <w:tc>
          <w:tcPr>
            <w:tcW w:w="1701" w:type="dxa"/>
            <w:noWrap w:val="0"/>
            <w:vAlign w:val="center"/>
          </w:tcPr>
          <w:p w14:paraId="4D0E399A">
            <w:pPr>
              <w:pStyle w:val="30"/>
              <w:bidi w:val="0"/>
              <w:rPr>
                <w:rFonts w:hint="default"/>
                <w:color w:val="auto"/>
                <w:lang w:val="en-US" w:eastAsia="zh-CN"/>
              </w:rPr>
            </w:pPr>
            <w:r>
              <w:rPr>
                <w:rFonts w:hint="eastAsia"/>
                <w:color w:val="auto"/>
                <w:lang w:val="en-US" w:eastAsia="zh-CN"/>
              </w:rPr>
              <w:t>/</w:t>
            </w:r>
          </w:p>
        </w:tc>
        <w:tc>
          <w:tcPr>
            <w:tcW w:w="1276" w:type="dxa"/>
            <w:noWrap w:val="0"/>
            <w:vAlign w:val="center"/>
          </w:tcPr>
          <w:p w14:paraId="730FD15E">
            <w:pPr>
              <w:pStyle w:val="30"/>
              <w:bidi w:val="0"/>
              <w:rPr>
                <w:rFonts w:hint="default"/>
                <w:color w:val="auto"/>
                <w:lang w:val="en-US" w:eastAsia="zh-CN"/>
              </w:rPr>
            </w:pPr>
            <w:r>
              <w:rPr>
                <w:rFonts w:hint="eastAsia"/>
                <w:color w:val="auto"/>
                <w:lang w:val="en-US" w:eastAsia="zh-CN"/>
              </w:rPr>
              <w:t>/</w:t>
            </w:r>
          </w:p>
        </w:tc>
        <w:tc>
          <w:tcPr>
            <w:tcW w:w="1701" w:type="dxa"/>
            <w:noWrap w:val="0"/>
            <w:vAlign w:val="center"/>
          </w:tcPr>
          <w:p w14:paraId="4D542158">
            <w:pPr>
              <w:pStyle w:val="30"/>
              <w:bidi w:val="0"/>
              <w:rPr>
                <w:rFonts w:hint="default"/>
                <w:color w:val="auto"/>
                <w:lang w:val="en-US" w:eastAsia="zh-CN"/>
              </w:rPr>
            </w:pPr>
            <w:r>
              <w:rPr>
                <w:rFonts w:hint="eastAsia"/>
                <w:color w:val="auto"/>
                <w:lang w:val="en-US" w:eastAsia="zh-CN"/>
              </w:rPr>
              <w:t>/</w:t>
            </w:r>
          </w:p>
        </w:tc>
        <w:tc>
          <w:tcPr>
            <w:tcW w:w="1559" w:type="dxa"/>
            <w:noWrap w:val="0"/>
            <w:vAlign w:val="center"/>
          </w:tcPr>
          <w:p w14:paraId="351F6E53">
            <w:pPr>
              <w:pStyle w:val="30"/>
              <w:bidi w:val="0"/>
              <w:rPr>
                <w:rFonts w:hint="default" w:cs="Times New Roman"/>
                <w:color w:val="auto"/>
                <w:sz w:val="21"/>
                <w:szCs w:val="22"/>
                <w:highlight w:val="none"/>
                <w:lang w:val="en-US" w:eastAsia="zh-CN"/>
              </w:rPr>
            </w:pPr>
            <w:r>
              <w:rPr>
                <w:rFonts w:hint="eastAsia" w:cs="Times New Roman"/>
                <w:color w:val="auto"/>
                <w:sz w:val="21"/>
                <w:szCs w:val="22"/>
                <w:highlight w:val="none"/>
                <w:lang w:val="en-US" w:eastAsia="zh-CN"/>
              </w:rPr>
              <w:t>0.05t/a</w:t>
            </w:r>
          </w:p>
        </w:tc>
        <w:tc>
          <w:tcPr>
            <w:tcW w:w="1578" w:type="dxa"/>
            <w:noWrap w:val="0"/>
            <w:vAlign w:val="center"/>
          </w:tcPr>
          <w:p w14:paraId="1C0EB844">
            <w:pPr>
              <w:pStyle w:val="30"/>
              <w:bidi w:val="0"/>
              <w:rPr>
                <w:rFonts w:hint="default"/>
                <w:color w:val="auto"/>
                <w:lang w:val="en-US" w:eastAsia="zh-CN"/>
              </w:rPr>
            </w:pPr>
            <w:r>
              <w:rPr>
                <w:rFonts w:hint="eastAsia"/>
                <w:color w:val="auto"/>
                <w:lang w:val="en-US" w:eastAsia="zh-CN"/>
              </w:rPr>
              <w:t>/</w:t>
            </w:r>
          </w:p>
        </w:tc>
        <w:tc>
          <w:tcPr>
            <w:tcW w:w="1695" w:type="dxa"/>
            <w:shd w:val="clear" w:color="auto" w:fill="auto"/>
            <w:noWrap w:val="0"/>
            <w:vAlign w:val="center"/>
          </w:tcPr>
          <w:p w14:paraId="2B129F22">
            <w:pPr>
              <w:pStyle w:val="30"/>
              <w:bidi w:val="0"/>
              <w:rPr>
                <w:rFonts w:hint="default" w:ascii="Times New Roman" w:hAnsi="Times New Roman"/>
                <w:color w:val="auto"/>
                <w:lang w:val="en-US" w:eastAsia="zh-CN"/>
              </w:rPr>
            </w:pPr>
            <w:r>
              <w:rPr>
                <w:rFonts w:hint="eastAsia" w:cs="Times New Roman"/>
                <w:color w:val="auto"/>
                <w:sz w:val="21"/>
                <w:szCs w:val="22"/>
                <w:highlight w:val="none"/>
                <w:lang w:val="en-US" w:eastAsia="zh-CN"/>
              </w:rPr>
              <w:t>+0.05t/a</w:t>
            </w:r>
          </w:p>
        </w:tc>
      </w:tr>
    </w:tbl>
    <w:p w14:paraId="43F15294">
      <w:pPr>
        <w:bidi w:val="0"/>
        <w:jc w:val="center"/>
        <w:outlineLvl w:val="9"/>
        <w:rPr>
          <w:rFonts w:hint="eastAsia" w:ascii="Times New Roman" w:hAnsi="Times New Roman"/>
          <w:color w:val="auto"/>
        </w:rPr>
      </w:pPr>
    </w:p>
    <w:p w14:paraId="44726708">
      <w:pPr>
        <w:rPr>
          <w:rFonts w:ascii="Times New Roman" w:hAnsi="Times New Roman"/>
          <w:snapToGrid w:val="0"/>
          <w:color w:val="auto"/>
          <w:spacing w:val="-6"/>
          <w:kern w:val="21"/>
          <w:szCs w:val="21"/>
        </w:rPr>
        <w:sectPr>
          <w:footerReference r:id="rId7" w:type="default"/>
          <w:pgSz w:w="16838" w:h="11906" w:orient="landscape"/>
          <w:pgMar w:top="1474" w:right="1701" w:bottom="1474" w:left="1701" w:header="851" w:footer="851" w:gutter="0"/>
          <w:pgBorders>
            <w:top w:val="none" w:sz="0" w:space="0"/>
            <w:left w:val="none" w:sz="0" w:space="0"/>
            <w:bottom w:val="none" w:sz="0" w:space="0"/>
            <w:right w:val="none" w:sz="0" w:space="0"/>
          </w:pgBorders>
          <w:pgNumType w:fmt="decimal"/>
          <w:cols w:space="720" w:num="1"/>
          <w:docGrid w:linePitch="312" w:charSpace="0"/>
        </w:sectPr>
      </w:pPr>
      <w:r>
        <w:rPr>
          <w:rFonts w:ascii="Times New Roman" w:hAnsi="Times New Roman"/>
          <w:snapToGrid w:val="0"/>
          <w:color w:val="auto"/>
          <w:kern w:val="21"/>
          <w:szCs w:val="21"/>
        </w:rPr>
        <w:t>注：</w:t>
      </w:r>
      <w:r>
        <w:rPr>
          <w:rFonts w:ascii="Times New Roman" w:hAnsi="Times New Roman"/>
          <w:snapToGrid w:val="0"/>
          <w:color w:val="auto"/>
          <w:spacing w:val="-16"/>
          <w:kern w:val="21"/>
          <w:szCs w:val="21"/>
        </w:rPr>
        <w:fldChar w:fldCharType="begin"/>
      </w:r>
      <w:r>
        <w:rPr>
          <w:rFonts w:ascii="Times New Roman" w:hAnsi="Times New Roman"/>
          <w:snapToGrid w:val="0"/>
          <w:color w:val="auto"/>
          <w:spacing w:val="-16"/>
          <w:kern w:val="21"/>
          <w:szCs w:val="21"/>
        </w:rPr>
        <w:instrText xml:space="preserve"> = 6 \* GB3 \* MERGEFORMAT </w:instrText>
      </w:r>
      <w:r>
        <w:rPr>
          <w:rFonts w:ascii="Times New Roman" w:hAnsi="Times New Roman"/>
          <w:snapToGrid w:val="0"/>
          <w:color w:val="auto"/>
          <w:spacing w:val="-16"/>
          <w:kern w:val="21"/>
          <w:szCs w:val="21"/>
        </w:rPr>
        <w:fldChar w:fldCharType="separate"/>
      </w:r>
      <w:r>
        <w:rPr>
          <w:rFonts w:hint="eastAsia" w:ascii="Times New Roman" w:hAnsi="Times New Roman"/>
          <w:color w:val="auto"/>
          <w:szCs w:val="21"/>
        </w:rPr>
        <w:t>⑥</w:t>
      </w:r>
      <w:r>
        <w:rPr>
          <w:rFonts w:ascii="Times New Roman" w:hAnsi="Times New Roman"/>
          <w:snapToGrid w:val="0"/>
          <w:color w:val="auto"/>
          <w:spacing w:val="-16"/>
          <w:kern w:val="21"/>
          <w:szCs w:val="21"/>
        </w:rPr>
        <w:fldChar w:fldCharType="end"/>
      </w:r>
      <w:r>
        <w:rPr>
          <w:rFonts w:ascii="Times New Roman" w:hAnsi="Times New Roman"/>
          <w:snapToGrid w:val="0"/>
          <w:color w:val="auto"/>
          <w:spacing w:val="-1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1 \* GB3 \* MERGEFORMAT </w:instrText>
      </w:r>
      <w:r>
        <w:rPr>
          <w:rFonts w:ascii="Times New Roman" w:hAnsi="Times New Roman"/>
          <w:snapToGrid w:val="0"/>
          <w:color w:val="auto"/>
          <w:spacing w:val="-6"/>
          <w:kern w:val="21"/>
          <w:szCs w:val="21"/>
        </w:rPr>
        <w:fldChar w:fldCharType="separate"/>
      </w:r>
      <w:r>
        <w:rPr>
          <w:rFonts w:hint="eastAsia" w:ascii="Times New Roman" w:hAnsi="Times New Roman"/>
          <w:color w:val="auto"/>
          <w:szCs w:val="21"/>
        </w:rPr>
        <w:t>①</w:t>
      </w:r>
      <w:r>
        <w:rPr>
          <w:rFonts w:ascii="Times New Roman" w:hAnsi="Times New Roman"/>
          <w:snapToGrid w:val="0"/>
          <w:color w:val="auto"/>
          <w:spacing w:val="-6"/>
          <w:kern w:val="21"/>
          <w:szCs w:val="21"/>
        </w:rPr>
        <w:fldChar w:fldCharType="end"/>
      </w:r>
      <w:r>
        <w:rPr>
          <w:rFonts w:ascii="Times New Roman" w:hAnsi="Times New Roman"/>
          <w:snapToGrid w:val="0"/>
          <w:color w:val="auto"/>
          <w:spacing w:val="-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3 \* GB3 \* MERGEFORMAT </w:instrText>
      </w:r>
      <w:r>
        <w:rPr>
          <w:rFonts w:ascii="Times New Roman" w:hAnsi="Times New Roman"/>
          <w:snapToGrid w:val="0"/>
          <w:color w:val="auto"/>
          <w:spacing w:val="-6"/>
          <w:kern w:val="21"/>
          <w:szCs w:val="21"/>
        </w:rPr>
        <w:fldChar w:fldCharType="separate"/>
      </w:r>
      <w:r>
        <w:rPr>
          <w:rFonts w:hint="eastAsia" w:ascii="Times New Roman" w:hAnsi="Times New Roman"/>
          <w:color w:val="auto"/>
          <w:szCs w:val="21"/>
        </w:rPr>
        <w:t>③</w:t>
      </w:r>
      <w:r>
        <w:rPr>
          <w:rFonts w:ascii="Times New Roman" w:hAnsi="Times New Roman"/>
          <w:snapToGrid w:val="0"/>
          <w:color w:val="auto"/>
          <w:spacing w:val="-6"/>
          <w:kern w:val="21"/>
          <w:szCs w:val="21"/>
        </w:rPr>
        <w:fldChar w:fldCharType="end"/>
      </w:r>
      <w:r>
        <w:rPr>
          <w:rFonts w:ascii="Times New Roman" w:hAnsi="Times New Roman"/>
          <w:snapToGrid w:val="0"/>
          <w:color w:val="auto"/>
          <w:spacing w:val="-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4 \* GB3 \* MERGEFORMAT </w:instrText>
      </w:r>
      <w:r>
        <w:rPr>
          <w:rFonts w:ascii="Times New Roman" w:hAnsi="Times New Roman"/>
          <w:snapToGrid w:val="0"/>
          <w:color w:val="auto"/>
          <w:spacing w:val="-6"/>
          <w:kern w:val="21"/>
          <w:szCs w:val="21"/>
        </w:rPr>
        <w:fldChar w:fldCharType="separate"/>
      </w:r>
      <w:r>
        <w:rPr>
          <w:rFonts w:hint="eastAsia" w:ascii="Times New Roman" w:hAnsi="Times New Roman"/>
          <w:color w:val="auto"/>
          <w:szCs w:val="21"/>
        </w:rPr>
        <w:t>④</w:t>
      </w:r>
      <w:r>
        <w:rPr>
          <w:rFonts w:ascii="Times New Roman" w:hAnsi="Times New Roman"/>
          <w:snapToGrid w:val="0"/>
          <w:color w:val="auto"/>
          <w:spacing w:val="-6"/>
          <w:kern w:val="21"/>
          <w:szCs w:val="21"/>
        </w:rPr>
        <w:fldChar w:fldCharType="end"/>
      </w:r>
      <w:r>
        <w:rPr>
          <w:rFonts w:ascii="Times New Roman" w:hAnsi="Times New Roman"/>
          <w:snapToGrid w:val="0"/>
          <w:color w:val="auto"/>
          <w:spacing w:val="-6"/>
          <w:kern w:val="21"/>
          <w:szCs w:val="21"/>
        </w:rPr>
        <w:t>-</w:t>
      </w:r>
      <w:r>
        <w:rPr>
          <w:rFonts w:ascii="Times New Roman" w:hAnsi="Times New Roman"/>
          <w:snapToGrid w:val="0"/>
          <w:color w:val="auto"/>
          <w:spacing w:val="-16"/>
          <w:kern w:val="21"/>
          <w:szCs w:val="21"/>
        </w:rPr>
        <w:fldChar w:fldCharType="begin"/>
      </w:r>
      <w:r>
        <w:rPr>
          <w:rFonts w:ascii="Times New Roman" w:hAnsi="Times New Roman"/>
          <w:snapToGrid w:val="0"/>
          <w:color w:val="auto"/>
          <w:spacing w:val="-16"/>
          <w:kern w:val="21"/>
          <w:szCs w:val="21"/>
        </w:rPr>
        <w:instrText xml:space="preserve"> = 5 \* GB3 \* MERGEFORMAT </w:instrText>
      </w:r>
      <w:r>
        <w:rPr>
          <w:rFonts w:ascii="Times New Roman" w:hAnsi="Times New Roman"/>
          <w:snapToGrid w:val="0"/>
          <w:color w:val="auto"/>
          <w:spacing w:val="-16"/>
          <w:kern w:val="21"/>
          <w:szCs w:val="21"/>
        </w:rPr>
        <w:fldChar w:fldCharType="separate"/>
      </w:r>
      <w:r>
        <w:rPr>
          <w:rFonts w:hint="eastAsia" w:ascii="Times New Roman" w:hAnsi="Times New Roman"/>
          <w:color w:val="auto"/>
          <w:szCs w:val="21"/>
        </w:rPr>
        <w:t>⑤</w:t>
      </w:r>
      <w:r>
        <w:rPr>
          <w:rFonts w:ascii="Times New Roman" w:hAnsi="Times New Roman"/>
          <w:snapToGrid w:val="0"/>
          <w:color w:val="auto"/>
          <w:spacing w:val="-16"/>
          <w:kern w:val="21"/>
          <w:szCs w:val="21"/>
        </w:rPr>
        <w:fldChar w:fldCharType="end"/>
      </w:r>
      <w:r>
        <w:rPr>
          <w:rFonts w:ascii="Times New Roman" w:hAnsi="Times New Roman"/>
          <w:snapToGrid w:val="0"/>
          <w:color w:val="auto"/>
          <w:spacing w:val="-1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7 \* GB3 \* MERGEFORMAT </w:instrText>
      </w:r>
      <w:r>
        <w:rPr>
          <w:rFonts w:ascii="Times New Roman" w:hAnsi="Times New Roman"/>
          <w:snapToGrid w:val="0"/>
          <w:color w:val="auto"/>
          <w:spacing w:val="-6"/>
          <w:kern w:val="21"/>
          <w:szCs w:val="21"/>
        </w:rPr>
        <w:fldChar w:fldCharType="separate"/>
      </w:r>
      <w:r>
        <w:rPr>
          <w:rFonts w:hint="eastAsia" w:ascii="Times New Roman" w:hAnsi="Times New Roman"/>
          <w:color w:val="auto"/>
          <w:szCs w:val="21"/>
        </w:rPr>
        <w:t>⑦</w:t>
      </w:r>
      <w:r>
        <w:rPr>
          <w:rFonts w:ascii="Times New Roman" w:hAnsi="Times New Roman"/>
          <w:snapToGrid w:val="0"/>
          <w:color w:val="auto"/>
          <w:spacing w:val="-6"/>
          <w:kern w:val="21"/>
          <w:szCs w:val="21"/>
        </w:rPr>
        <w:fldChar w:fldCharType="end"/>
      </w:r>
      <w:r>
        <w:rPr>
          <w:rFonts w:ascii="Times New Roman" w:hAnsi="Times New Roman"/>
          <w:snapToGrid w:val="0"/>
          <w:color w:val="auto"/>
          <w:spacing w:val="-6"/>
          <w:kern w:val="21"/>
          <w:szCs w:val="21"/>
        </w:rPr>
        <w:t>=</w:t>
      </w:r>
      <w:r>
        <w:rPr>
          <w:rFonts w:ascii="Times New Roman" w:hAnsi="Times New Roman"/>
          <w:snapToGrid w:val="0"/>
          <w:color w:val="auto"/>
          <w:spacing w:val="-16"/>
          <w:kern w:val="21"/>
          <w:szCs w:val="21"/>
        </w:rPr>
        <w:fldChar w:fldCharType="begin"/>
      </w:r>
      <w:r>
        <w:rPr>
          <w:rFonts w:ascii="Times New Roman" w:hAnsi="Times New Roman"/>
          <w:snapToGrid w:val="0"/>
          <w:color w:val="auto"/>
          <w:spacing w:val="-16"/>
          <w:kern w:val="21"/>
          <w:szCs w:val="21"/>
        </w:rPr>
        <w:instrText xml:space="preserve"> = 6 \* GB3 \* MERGEFORMAT </w:instrText>
      </w:r>
      <w:r>
        <w:rPr>
          <w:rFonts w:ascii="Times New Roman" w:hAnsi="Times New Roman"/>
          <w:snapToGrid w:val="0"/>
          <w:color w:val="auto"/>
          <w:spacing w:val="-16"/>
          <w:kern w:val="21"/>
          <w:szCs w:val="21"/>
        </w:rPr>
        <w:fldChar w:fldCharType="separate"/>
      </w:r>
      <w:r>
        <w:rPr>
          <w:rFonts w:hint="eastAsia" w:ascii="Times New Roman" w:hAnsi="Times New Roman"/>
          <w:color w:val="auto"/>
          <w:szCs w:val="21"/>
        </w:rPr>
        <w:t>⑥</w:t>
      </w:r>
      <w:r>
        <w:rPr>
          <w:rFonts w:ascii="Times New Roman" w:hAnsi="Times New Roman"/>
          <w:snapToGrid w:val="0"/>
          <w:color w:val="auto"/>
          <w:spacing w:val="-16"/>
          <w:kern w:val="21"/>
          <w:szCs w:val="21"/>
        </w:rPr>
        <w:fldChar w:fldCharType="end"/>
      </w:r>
      <w:r>
        <w:rPr>
          <w:rFonts w:ascii="Times New Roman" w:hAnsi="Times New Roman"/>
          <w:snapToGrid w:val="0"/>
          <w:color w:val="auto"/>
          <w:spacing w:val="-16"/>
          <w:kern w:val="21"/>
          <w:szCs w:val="21"/>
        </w:rPr>
        <w:t>-</w:t>
      </w:r>
      <w:r>
        <w:rPr>
          <w:rFonts w:ascii="Times New Roman" w:hAnsi="Times New Roman"/>
          <w:snapToGrid w:val="0"/>
          <w:color w:val="auto"/>
          <w:spacing w:val="-6"/>
          <w:kern w:val="21"/>
          <w:szCs w:val="21"/>
        </w:rPr>
        <w:fldChar w:fldCharType="begin"/>
      </w:r>
      <w:r>
        <w:rPr>
          <w:rFonts w:ascii="Times New Roman" w:hAnsi="Times New Roman"/>
          <w:snapToGrid w:val="0"/>
          <w:color w:val="auto"/>
          <w:spacing w:val="-6"/>
          <w:kern w:val="21"/>
          <w:szCs w:val="21"/>
        </w:rPr>
        <w:instrText xml:space="preserve"> = 1 \* GB3 \* MERGEFORMAT </w:instrText>
      </w:r>
      <w:r>
        <w:rPr>
          <w:rFonts w:ascii="Times New Roman" w:hAnsi="Times New Roman"/>
          <w:snapToGrid w:val="0"/>
          <w:color w:val="auto"/>
          <w:spacing w:val="-6"/>
          <w:kern w:val="21"/>
          <w:szCs w:val="21"/>
        </w:rPr>
        <w:fldChar w:fldCharType="separate"/>
      </w:r>
      <w:r>
        <w:rPr>
          <w:rFonts w:hint="eastAsia" w:ascii="Times New Roman" w:hAnsi="Times New Roman"/>
          <w:color w:val="auto"/>
          <w:szCs w:val="21"/>
        </w:rPr>
        <w:t>①</w:t>
      </w:r>
      <w:r>
        <w:rPr>
          <w:rFonts w:ascii="Times New Roman" w:hAnsi="Times New Roman"/>
          <w:snapToGrid w:val="0"/>
          <w:color w:val="auto"/>
          <w:spacing w:val="-6"/>
          <w:kern w:val="21"/>
          <w:szCs w:val="21"/>
        </w:rPr>
        <w:fldChar w:fldCharType="end"/>
      </w:r>
    </w:p>
    <w:p w14:paraId="6F4309C0">
      <w:pPr>
        <w:pStyle w:val="32"/>
        <w:bidi w:val="0"/>
        <w:outlineLvl w:val="0"/>
        <w:rPr>
          <w:rFonts w:hint="eastAsia" w:ascii="Times New Roman" w:hAnsi="Times New Roman"/>
          <w:color w:val="auto"/>
          <w:lang w:val="en-US" w:eastAsia="zh-CN"/>
        </w:rPr>
      </w:pPr>
      <w:bookmarkStart w:id="124" w:name="_Toc21052"/>
      <w:bookmarkStart w:id="125" w:name="_Toc14990"/>
      <w:r>
        <w:rPr>
          <w:rFonts w:hint="eastAsia" w:ascii="Times New Roman" w:hAnsi="Times New Roman"/>
          <w:color w:val="auto"/>
          <w:lang w:val="en-US" w:eastAsia="zh-CN"/>
        </w:rPr>
        <w:t>附件</w:t>
      </w:r>
      <w:r>
        <w:rPr>
          <w:rFonts w:hint="eastAsia"/>
          <w:color w:val="auto"/>
          <w:lang w:val="en-US" w:eastAsia="zh-CN"/>
        </w:rPr>
        <w:t>七</w:t>
      </w:r>
      <w:r>
        <w:rPr>
          <w:rFonts w:hint="eastAsia" w:ascii="Times New Roman" w:hAnsi="Times New Roman"/>
          <w:color w:val="auto"/>
          <w:lang w:val="en-US" w:eastAsia="zh-CN"/>
        </w:rPr>
        <w:t>：</w:t>
      </w:r>
      <w:bookmarkEnd w:id="124"/>
      <w:r>
        <w:rPr>
          <w:rFonts w:hint="eastAsia"/>
          <w:color w:val="auto"/>
          <w:lang w:val="en-US" w:eastAsia="zh-CN"/>
        </w:rPr>
        <w:t>关于环评文件未涉及国家秘密、商业秘密等内容的说明</w:t>
      </w:r>
      <w:bookmarkEnd w:id="125"/>
    </w:p>
    <w:p w14:paraId="5A278A07">
      <w:pPr>
        <w:pStyle w:val="32"/>
        <w:bidi w:val="0"/>
        <w:rPr>
          <w:rFonts w:hint="default" w:ascii="Times New Roman" w:hAnsi="Times New Roman"/>
          <w:color w:val="auto"/>
          <w:lang w:val="en-US" w:eastAsia="zh-CN"/>
        </w:rPr>
        <w:sectPr>
          <w:pgSz w:w="11906" w:h="16838"/>
          <w:pgMar w:top="1701" w:right="1474" w:bottom="1701" w:left="1474"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color w:val="auto"/>
          <w:lang w:val="en-US" w:eastAsia="zh-CN"/>
        </w:rPr>
        <w:drawing>
          <wp:inline distT="0" distB="0" distL="114300" distR="114300">
            <wp:extent cx="5687060" cy="8042275"/>
            <wp:effectExtent l="0" t="0" r="8890" b="15875"/>
            <wp:docPr id="209" name="图片 209" descr="环评提供材料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环评提供材料_06"/>
                    <pic:cNvPicPr>
                      <a:picLocks noChangeAspect="1"/>
                    </pic:cNvPicPr>
                  </pic:nvPicPr>
                  <pic:blipFill>
                    <a:blip r:embed="rId32"/>
                    <a:stretch>
                      <a:fillRect/>
                    </a:stretch>
                  </pic:blipFill>
                  <pic:spPr>
                    <a:xfrm>
                      <a:off x="0" y="0"/>
                      <a:ext cx="5687060" cy="8042275"/>
                    </a:xfrm>
                    <a:prstGeom prst="rect">
                      <a:avLst/>
                    </a:prstGeom>
                  </pic:spPr>
                </pic:pic>
              </a:graphicData>
            </a:graphic>
          </wp:inline>
        </w:drawing>
      </w:r>
    </w:p>
    <w:p w14:paraId="42256DE8">
      <w:pPr>
        <w:pStyle w:val="32"/>
        <w:bidi w:val="0"/>
        <w:outlineLvl w:val="0"/>
        <w:rPr>
          <w:rFonts w:hint="eastAsia" w:ascii="Times New Roman" w:hAnsi="Times New Roman"/>
          <w:color w:val="auto"/>
          <w:lang w:val="en-US" w:eastAsia="zh-CN"/>
        </w:rPr>
      </w:pPr>
      <w:bookmarkStart w:id="126" w:name="_Toc19176"/>
      <w:bookmarkStart w:id="127" w:name="_Toc19275"/>
      <w:r>
        <w:rPr>
          <w:rFonts w:hint="eastAsia" w:ascii="Times New Roman" w:hAnsi="Times New Roman"/>
          <w:color w:val="auto"/>
          <w:lang w:val="en-US" w:eastAsia="zh-CN"/>
        </w:rPr>
        <w:t>附件</w:t>
      </w:r>
      <w:r>
        <w:rPr>
          <w:rFonts w:hint="eastAsia"/>
          <w:color w:val="auto"/>
          <w:lang w:val="en-US" w:eastAsia="zh-CN"/>
        </w:rPr>
        <w:t>八</w:t>
      </w:r>
      <w:r>
        <w:rPr>
          <w:rFonts w:hint="eastAsia" w:ascii="Times New Roman" w:hAnsi="Times New Roman"/>
          <w:color w:val="auto"/>
          <w:lang w:val="en-US" w:eastAsia="zh-CN"/>
        </w:rPr>
        <w:t>：审批申请报告</w:t>
      </w:r>
      <w:bookmarkEnd w:id="126"/>
      <w:bookmarkEnd w:id="127"/>
    </w:p>
    <w:p w14:paraId="7EBA2754">
      <w:pPr>
        <w:pStyle w:val="32"/>
        <w:bidi w:val="0"/>
        <w:rPr>
          <w:rFonts w:hint="default" w:ascii="Times New Roman" w:hAnsi="Times New Roman"/>
          <w:color w:val="auto"/>
          <w:lang w:val="en-US" w:eastAsia="zh-CN"/>
        </w:rPr>
        <w:sectPr>
          <w:pgSz w:w="11906" w:h="16838"/>
          <w:pgMar w:top="1701" w:right="1474" w:bottom="1701" w:left="1474"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color w:val="auto"/>
          <w:lang w:val="en-US" w:eastAsia="zh-CN"/>
        </w:rPr>
        <w:drawing>
          <wp:inline distT="0" distB="0" distL="114300" distR="114300">
            <wp:extent cx="5687060" cy="8042275"/>
            <wp:effectExtent l="0" t="0" r="8890" b="15875"/>
            <wp:docPr id="199" name="图片 199" descr="环评提供材料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环评提供材料_05"/>
                    <pic:cNvPicPr>
                      <a:picLocks noChangeAspect="1"/>
                    </pic:cNvPicPr>
                  </pic:nvPicPr>
                  <pic:blipFill>
                    <a:blip r:embed="rId33"/>
                    <a:stretch>
                      <a:fillRect/>
                    </a:stretch>
                  </pic:blipFill>
                  <pic:spPr>
                    <a:xfrm>
                      <a:off x="0" y="0"/>
                      <a:ext cx="5687060" cy="8042275"/>
                    </a:xfrm>
                    <a:prstGeom prst="rect">
                      <a:avLst/>
                    </a:prstGeom>
                  </pic:spPr>
                </pic:pic>
              </a:graphicData>
            </a:graphic>
          </wp:inline>
        </w:drawing>
      </w:r>
    </w:p>
    <w:p w14:paraId="1FA41807">
      <w:pPr>
        <w:pStyle w:val="32"/>
        <w:bidi w:val="0"/>
        <w:outlineLvl w:val="0"/>
        <w:rPr>
          <w:rFonts w:hint="eastAsia" w:ascii="Times New Roman" w:hAnsi="Times New Roman"/>
          <w:color w:val="auto"/>
          <w:lang w:val="en-US" w:eastAsia="zh-CN"/>
        </w:rPr>
      </w:pPr>
      <w:bookmarkStart w:id="128" w:name="_Toc23053"/>
      <w:bookmarkStart w:id="129" w:name="_Toc8314"/>
      <w:r>
        <w:rPr>
          <w:rFonts w:hint="eastAsia" w:ascii="Times New Roman" w:hAnsi="Times New Roman"/>
          <w:color w:val="auto"/>
          <w:lang w:val="en-US" w:eastAsia="zh-CN"/>
        </w:rPr>
        <w:t>附件</w:t>
      </w:r>
      <w:r>
        <w:rPr>
          <w:rFonts w:hint="eastAsia"/>
          <w:color w:val="auto"/>
          <w:lang w:val="en-US" w:eastAsia="zh-CN"/>
        </w:rPr>
        <w:t>九</w:t>
      </w:r>
      <w:r>
        <w:rPr>
          <w:rFonts w:hint="eastAsia" w:ascii="Times New Roman" w:hAnsi="Times New Roman"/>
          <w:color w:val="auto"/>
          <w:lang w:val="en-US" w:eastAsia="zh-CN"/>
        </w:rPr>
        <w:t>：申请环评批复报告</w:t>
      </w:r>
      <w:bookmarkEnd w:id="128"/>
      <w:bookmarkEnd w:id="129"/>
    </w:p>
    <w:p w14:paraId="27AFC37E">
      <w:pPr>
        <w:pStyle w:val="32"/>
        <w:bidi w:val="0"/>
        <w:rPr>
          <w:rFonts w:hint="default" w:ascii="Times New Roman" w:hAnsi="Times New Roman"/>
          <w:color w:val="auto"/>
          <w:lang w:val="en-US" w:eastAsia="zh-CN"/>
        </w:rPr>
        <w:sectPr>
          <w:pgSz w:w="11906" w:h="16838"/>
          <w:pgMar w:top="1701" w:right="1474" w:bottom="1701" w:left="1474"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color w:val="auto"/>
          <w:lang w:val="en-US" w:eastAsia="zh-CN"/>
        </w:rPr>
        <w:drawing>
          <wp:inline distT="0" distB="0" distL="114300" distR="114300">
            <wp:extent cx="5687060" cy="8042275"/>
            <wp:effectExtent l="0" t="0" r="8890" b="15875"/>
            <wp:docPr id="194" name="图片 194" descr="环评提供材料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环评提供材料_04"/>
                    <pic:cNvPicPr>
                      <a:picLocks noChangeAspect="1"/>
                    </pic:cNvPicPr>
                  </pic:nvPicPr>
                  <pic:blipFill>
                    <a:blip r:embed="rId34"/>
                    <a:stretch>
                      <a:fillRect/>
                    </a:stretch>
                  </pic:blipFill>
                  <pic:spPr>
                    <a:xfrm>
                      <a:off x="0" y="0"/>
                      <a:ext cx="5687060" cy="8042275"/>
                    </a:xfrm>
                    <a:prstGeom prst="rect">
                      <a:avLst/>
                    </a:prstGeom>
                  </pic:spPr>
                </pic:pic>
              </a:graphicData>
            </a:graphic>
          </wp:inline>
        </w:drawing>
      </w:r>
    </w:p>
    <w:p w14:paraId="5F159E56">
      <w:pPr>
        <w:pStyle w:val="32"/>
        <w:bidi w:val="0"/>
        <w:outlineLvl w:val="0"/>
        <w:rPr>
          <w:rFonts w:hint="eastAsia" w:ascii="Times New Roman" w:hAnsi="Times New Roman"/>
          <w:color w:val="auto"/>
          <w:lang w:val="en-US" w:eastAsia="zh-CN"/>
        </w:rPr>
      </w:pPr>
      <w:bookmarkStart w:id="130" w:name="_Toc25799"/>
      <w:bookmarkStart w:id="131" w:name="_Toc26737"/>
      <w:r>
        <w:rPr>
          <w:rFonts w:hint="eastAsia"/>
          <w:color w:val="auto"/>
          <w:lang w:val="en-US" w:eastAsia="zh-CN"/>
        </w:rPr>
        <w:t>附件十：</w:t>
      </w:r>
      <w:bookmarkEnd w:id="130"/>
      <w:r>
        <w:rPr>
          <w:rFonts w:hint="eastAsia" w:ascii="Times New Roman" w:hAnsi="Times New Roman"/>
          <w:color w:val="auto"/>
          <w:lang w:val="en-US" w:eastAsia="zh-CN"/>
        </w:rPr>
        <w:t>关于环评文件公开文本删除涉密内容依据和说明</w:t>
      </w:r>
      <w:bookmarkEnd w:id="131"/>
    </w:p>
    <w:p w14:paraId="73418C91">
      <w:pPr>
        <w:pStyle w:val="32"/>
        <w:bidi w:val="0"/>
        <w:outlineLvl w:val="0"/>
        <w:rPr>
          <w:rFonts w:hint="eastAsia" w:ascii="Times New Roman" w:hAnsi="Times New Roman"/>
          <w:color w:val="auto"/>
          <w:lang w:val="en-US" w:eastAsia="zh-CN"/>
        </w:rPr>
        <w:sectPr>
          <w:pgSz w:w="11906" w:h="16838"/>
          <w:pgMar w:top="1701" w:right="1474" w:bottom="1701" w:left="1474" w:header="851" w:footer="851" w:gutter="0"/>
          <w:pgBorders>
            <w:top w:val="none" w:sz="0" w:space="0"/>
            <w:left w:val="none" w:sz="0" w:space="0"/>
            <w:bottom w:val="none" w:sz="0" w:space="0"/>
            <w:right w:val="none" w:sz="0" w:space="0"/>
          </w:pgBorders>
          <w:pgNumType w:fmt="decimal"/>
          <w:cols w:space="720" w:num="1"/>
          <w:docGrid w:linePitch="312" w:charSpace="0"/>
        </w:sectPr>
      </w:pPr>
      <w:r>
        <w:rPr>
          <w:rFonts w:hint="eastAsia" w:ascii="Times New Roman" w:hAnsi="Times New Roman"/>
          <w:color w:val="auto"/>
          <w:lang w:val="en-US" w:eastAsia="zh-CN"/>
        </w:rPr>
        <w:drawing>
          <wp:inline distT="0" distB="0" distL="114300" distR="114300">
            <wp:extent cx="5687060" cy="8042275"/>
            <wp:effectExtent l="0" t="0" r="8890" b="15875"/>
            <wp:docPr id="149" name="图片 149" descr="环评提供材料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环评提供材料_01"/>
                    <pic:cNvPicPr>
                      <a:picLocks noChangeAspect="1"/>
                    </pic:cNvPicPr>
                  </pic:nvPicPr>
                  <pic:blipFill>
                    <a:blip r:embed="rId35"/>
                    <a:stretch>
                      <a:fillRect/>
                    </a:stretch>
                  </pic:blipFill>
                  <pic:spPr>
                    <a:xfrm>
                      <a:off x="0" y="0"/>
                      <a:ext cx="5687060" cy="8042275"/>
                    </a:xfrm>
                    <a:prstGeom prst="rect">
                      <a:avLst/>
                    </a:prstGeom>
                  </pic:spPr>
                </pic:pic>
              </a:graphicData>
            </a:graphic>
          </wp:inline>
        </w:drawing>
      </w:r>
      <w:r>
        <w:rPr>
          <w:rFonts w:hint="eastAsia" w:ascii="Times New Roman" w:hAnsi="Times New Roman"/>
          <w:color w:val="auto"/>
          <w:lang w:val="en-US" w:eastAsia="zh-CN"/>
        </w:rPr>
        <w:drawing>
          <wp:inline distT="0" distB="0" distL="114300" distR="114300">
            <wp:extent cx="5687060" cy="8042275"/>
            <wp:effectExtent l="0" t="0" r="8890" b="15875"/>
            <wp:docPr id="184" name="图片 184" descr="环评提供材料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descr="环评提供材料_02"/>
                    <pic:cNvPicPr>
                      <a:picLocks noChangeAspect="1"/>
                    </pic:cNvPicPr>
                  </pic:nvPicPr>
                  <pic:blipFill>
                    <a:blip r:embed="rId36"/>
                    <a:stretch>
                      <a:fillRect/>
                    </a:stretch>
                  </pic:blipFill>
                  <pic:spPr>
                    <a:xfrm>
                      <a:off x="0" y="0"/>
                      <a:ext cx="5687060" cy="8042275"/>
                    </a:xfrm>
                    <a:prstGeom prst="rect">
                      <a:avLst/>
                    </a:prstGeom>
                  </pic:spPr>
                </pic:pic>
              </a:graphicData>
            </a:graphic>
          </wp:inline>
        </w:drawing>
      </w:r>
    </w:p>
    <w:p w14:paraId="46426F3B">
      <w:pPr>
        <w:pStyle w:val="32"/>
        <w:bidi w:val="0"/>
        <w:outlineLvl w:val="0"/>
        <w:rPr>
          <w:rFonts w:hint="eastAsia" w:ascii="Times New Roman" w:hAnsi="Times New Roman"/>
          <w:color w:val="auto"/>
          <w:lang w:val="en-US" w:eastAsia="zh-CN"/>
        </w:rPr>
      </w:pPr>
      <w:bookmarkStart w:id="132" w:name="_Toc10914"/>
      <w:bookmarkStart w:id="133" w:name="_Toc12002"/>
      <w:r>
        <w:rPr>
          <w:rFonts w:hint="eastAsia" w:ascii="Times New Roman" w:hAnsi="Times New Roman"/>
          <w:color w:val="auto"/>
          <w:lang w:val="en-US" w:eastAsia="zh-CN"/>
        </w:rPr>
        <w:t>附件</w:t>
      </w:r>
      <w:r>
        <w:rPr>
          <w:rFonts w:hint="eastAsia"/>
          <w:color w:val="auto"/>
          <w:lang w:val="en-US" w:eastAsia="zh-CN"/>
        </w:rPr>
        <w:t>十一</w:t>
      </w:r>
      <w:r>
        <w:rPr>
          <w:rFonts w:hint="eastAsia" w:ascii="Times New Roman" w:hAnsi="Times New Roman"/>
          <w:color w:val="auto"/>
          <w:lang w:val="en-US" w:eastAsia="zh-CN"/>
        </w:rPr>
        <w:t>：关于主要污染物排污权指标的承诺函</w:t>
      </w:r>
      <w:bookmarkEnd w:id="132"/>
      <w:bookmarkEnd w:id="133"/>
    </w:p>
    <w:p w14:paraId="3B35E615">
      <w:pPr>
        <w:pStyle w:val="32"/>
        <w:bidi w:val="0"/>
        <w:rPr>
          <w:rFonts w:hint="default" w:ascii="Times New Roman" w:hAnsi="Times New Roman"/>
          <w:color w:val="auto"/>
          <w:lang w:val="en-US" w:eastAsia="zh-CN"/>
        </w:rPr>
      </w:pPr>
    </w:p>
    <w:p w14:paraId="0C09B2B0">
      <w:pPr>
        <w:rPr>
          <w:rFonts w:hint="default" w:ascii="Times New Roman" w:hAnsi="Times New Roman"/>
          <w:color w:val="auto"/>
          <w:lang w:val="en-US" w:eastAsia="zh-CN"/>
        </w:rPr>
      </w:pPr>
      <w:bookmarkStart w:id="134" w:name="_Toc31109"/>
      <w:bookmarkStart w:id="135" w:name="_Toc32522"/>
      <w:r>
        <w:rPr>
          <w:rFonts w:hint="eastAsia" w:ascii="Times New Roman" w:hAnsi="Times New Roman"/>
          <w:color w:val="auto"/>
          <w:lang w:val="en-US" w:eastAsia="zh-CN"/>
        </w:rPr>
        <w:drawing>
          <wp:inline distT="0" distB="0" distL="114300" distR="114300">
            <wp:extent cx="5669915" cy="8017510"/>
            <wp:effectExtent l="0" t="0" r="6985" b="2540"/>
            <wp:docPr id="115" name="图片 115" descr="承诺函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承诺函_01"/>
                    <pic:cNvPicPr>
                      <a:picLocks noChangeAspect="1"/>
                    </pic:cNvPicPr>
                  </pic:nvPicPr>
                  <pic:blipFill>
                    <a:blip r:embed="rId37"/>
                    <a:stretch>
                      <a:fillRect/>
                    </a:stretch>
                  </pic:blipFill>
                  <pic:spPr>
                    <a:xfrm>
                      <a:off x="0" y="0"/>
                      <a:ext cx="5669915" cy="8017510"/>
                    </a:xfrm>
                    <a:prstGeom prst="rect">
                      <a:avLst/>
                    </a:prstGeom>
                  </pic:spPr>
                </pic:pic>
              </a:graphicData>
            </a:graphic>
          </wp:inline>
        </w:drawing>
      </w:r>
      <w:bookmarkEnd w:id="134"/>
      <w:bookmarkEnd w:id="135"/>
    </w:p>
    <w:sectPr>
      <w:footerReference r:id="rId8" w:type="default"/>
      <w:pgSz w:w="11906" w:h="16838"/>
      <w:pgMar w:top="1701" w:right="1474" w:bottom="1701" w:left="1474"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8FC02A-DBFF-4782-8470-E6D9459853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A163FCE-4C8F-4E80-8612-F109DFEDE6EC}"/>
  </w:font>
  <w:font w:name="方正仿宋_GB2312">
    <w:panose1 w:val="02000000000000000000"/>
    <w:charset w:val="86"/>
    <w:family w:val="auto"/>
    <w:pitch w:val="default"/>
    <w:sig w:usb0="A00002BF" w:usb1="184F6CFA" w:usb2="00000012" w:usb3="00000000" w:csb0="00040001" w:csb1="00000000"/>
    <w:embedRegular r:id="rId3" w:fontKey="{0D728DBF-333A-463A-B2C5-D8A9DADEB02F}"/>
  </w:font>
  <w:font w:name="仿宋">
    <w:panose1 w:val="02010609060101010101"/>
    <w:charset w:val="86"/>
    <w:family w:val="auto"/>
    <w:pitch w:val="default"/>
    <w:sig w:usb0="800002BF" w:usb1="38CF7CFA" w:usb2="00000016" w:usb3="00000000" w:csb0="00040001" w:csb1="00000000"/>
    <w:embedRegular r:id="rId4" w:fontKey="{917B16E4-F980-4D45-9A15-8688FC0F6405}"/>
  </w:font>
  <w:font w:name="Tahoma">
    <w:panose1 w:val="020B0604030504040204"/>
    <w:charset w:val="00"/>
    <w:family w:val="auto"/>
    <w:pitch w:val="default"/>
    <w:sig w:usb0="E1002EFF" w:usb1="C000605B" w:usb2="00000029" w:usb3="00000000" w:csb0="200101FF" w:csb1="20280000"/>
  </w:font>
  <w:font w:name="方正楷体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embedRegular r:id="rId5" w:fontKey="{968A473D-432C-4A89-AFA8-F520AABD2958}"/>
  </w:font>
  <w:font w:name="方正楷体_GB2312">
    <w:panose1 w:val="02000000000000000000"/>
    <w:charset w:val="86"/>
    <w:family w:val="auto"/>
    <w:pitch w:val="default"/>
    <w:sig w:usb0="A00002BF" w:usb1="184F6CFA" w:usb2="00000012" w:usb3="00000000" w:csb0="00040001" w:csb1="00000000"/>
    <w:embedRegular r:id="rId6" w:fontKey="{2DED3F02-25FE-4AC8-825C-29697656A8F7}"/>
  </w:font>
  <w:font w:name="华文仿宋">
    <w:panose1 w:val="02010600040101010101"/>
    <w:charset w:val="86"/>
    <w:family w:val="auto"/>
    <w:pitch w:val="default"/>
    <w:sig w:usb0="00000287" w:usb1="080F0000" w:usb2="00000000" w:usb3="00000000" w:csb0="0004009F" w:csb1="DFD70000"/>
    <w:embedRegular r:id="rId7" w:fontKey="{DA9821B3-0F3C-4333-B407-01AC02ADBE79}"/>
  </w:font>
  <w:font w:name="微软雅黑">
    <w:panose1 w:val="020B0503020204020204"/>
    <w:charset w:val="86"/>
    <w:family w:val="auto"/>
    <w:pitch w:val="default"/>
    <w:sig w:usb0="80000287" w:usb1="2ACF3C50" w:usb2="00000016" w:usb3="00000000" w:csb0="0004001F" w:csb1="00000000"/>
    <w:embedRegular r:id="rId8" w:fontKey="{5F1387AC-10C8-4323-ABDA-0877381F0592}"/>
  </w:font>
  <w:font w:name="Segoe UI Emoji">
    <w:panose1 w:val="020B0502040204020203"/>
    <w:charset w:val="00"/>
    <w:family w:val="auto"/>
    <w:pitch w:val="default"/>
    <w:sig w:usb0="00000001" w:usb1="02000000" w:usb2="08000000" w:usb3="00000000" w:csb0="00000001" w:csb1="00000000"/>
    <w:embedRegular r:id="rId9" w:fontKey="{C01E0860-5C56-4BE5-ADD5-C33C1CB66A7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0AB04">
    <w:pPr>
      <w:tabs>
        <w:tab w:val="center" w:pos="4153"/>
        <w:tab w:val="right" w:pos="8306"/>
      </w:tabs>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E1173">
    <w:pPr>
      <w:tabs>
        <w:tab w:val="center" w:pos="4153"/>
        <w:tab w:val="right" w:pos="8306"/>
      </w:tabs>
      <w:ind w:right="360" w:firstLine="360"/>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1" name="文本框 3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ECB4F">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yzoPQ0AgAAZQ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8s6D0NAIAAGUEAAAOAAAAAAAAAAEAIAAAAB8BAABkcnMvZTJvRG9jLnhtbFBL&#10;BQYAAAAABgAGAFkBAADFBQAAAAA=&#10;">
              <v:fill on="f" focussize="0,0"/>
              <v:stroke on="f" weight="0.5pt"/>
              <v:imagedata o:title=""/>
              <o:lock v:ext="edit" aspectratio="f"/>
              <v:textbox inset="0mm,0mm,0mm,0mm" style="mso-fit-shape-to-text:t;">
                <w:txbxContent>
                  <w:p w14:paraId="4B3ECB4F">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B8E80">
    <w:pPr>
      <w:tabs>
        <w:tab w:val="center" w:pos="4153"/>
        <w:tab w:val="right" w:pos="8306"/>
      </w:tabs>
      <w:ind w:right="360" w:firstLine="36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2" name="文本框 3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34F7A">
                          <w:pPr>
                            <w:pStyle w:val="1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coo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fTK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AcXKKNAIAAGUEAAAOAAAAAAAAAAEAIAAAAB8BAABkcnMvZTJvRG9jLnhtbFBL&#10;BQYAAAAABgAGAFkBAADFBQAAAAA=&#10;">
              <v:fill on="f" focussize="0,0"/>
              <v:stroke on="f" weight="0.5pt"/>
              <v:imagedata o:title=""/>
              <o:lock v:ext="edit" aspectratio="f"/>
              <v:textbox inset="0mm,0mm,0mm,0mm" style="mso-fit-shape-to-text:t;">
                <w:txbxContent>
                  <w:p w14:paraId="40434F7A">
                    <w:pPr>
                      <w:pStyle w:val="1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640CB">
    <w:pPr>
      <w:tabs>
        <w:tab w:val="center" w:pos="4153"/>
        <w:tab w:val="right" w:pos="8306"/>
      </w:tabs>
      <w:ind w:right="360" w:firstLine="360"/>
      <w:jc w:val="cente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3" name="文本框 3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7F6C59">
                          <w:pPr>
                            <w:pStyle w:val="13"/>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N7BY0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ppRoplDyy4/v&#10;l5+/L7++kXgIiWrr54jcWcSG5p1p0DjDucdhZN4UTsUvOBH4IfD5KrBoAuHx0mwym6VwcfiGDfCT&#10;p+vW+fBeGEWikVGHCrbCstPWhy50CInZtNlUUrZVlJrUGb2Zvk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rzewWNAIAAGUEAAAOAAAAAAAAAAEAIAAAAB8BAABkcnMvZTJvRG9jLnhtbFBL&#10;BQYAAAAABgAGAFkBAADFBQAAAAA=&#10;">
              <v:fill on="f" focussize="0,0"/>
              <v:stroke on="f" weight="0.5pt"/>
              <v:imagedata o:title=""/>
              <o:lock v:ext="edit" aspectratio="f"/>
              <v:textbox inset="0mm,0mm,0mm,0mm" style="mso-fit-shape-to-text:t;">
                <w:txbxContent>
                  <w:p w14:paraId="307F6C59">
                    <w:pPr>
                      <w:pStyle w:val="13"/>
                    </w:pPr>
                    <w:r>
                      <w:fldChar w:fldCharType="begin"/>
                    </w:r>
                    <w:r>
                      <w:instrText xml:space="preserve"> PAGE  \* MERGEFORMAT </w:instrText>
                    </w:r>
                    <w:r>
                      <w:fldChar w:fldCharType="separate"/>
                    </w:r>
                    <w:r>
                      <w:t>100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42FBD">
    <w:pPr>
      <w:spacing w:line="176" w:lineRule="auto"/>
      <w:ind w:left="46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5" name="文本框 3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C797FF">
                          <w:pPr>
                            <w:pStyle w:val="13"/>
                          </w:pPr>
                          <w:r>
                            <w:fldChar w:fldCharType="begin"/>
                          </w:r>
                          <w:r>
                            <w:instrText xml:space="preserve"> PAGE  \* MERGEFORMAT </w:instrText>
                          </w:r>
                          <w:r>
                            <w:fldChar w:fldCharType="separate"/>
                          </w:r>
                          <w:r>
                            <w:t>192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NISes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TSEnrNAIAAGUEAAAOAAAAAAAAAAEAIAAAAB8BAABkcnMvZTJvRG9jLnhtbFBL&#10;BQYAAAAABgAGAFkBAADFBQAAAAA=&#10;">
              <v:fill on="f" focussize="0,0"/>
              <v:stroke on="f" weight="0.5pt"/>
              <v:imagedata o:title=""/>
              <o:lock v:ext="edit" aspectratio="f"/>
              <v:textbox inset="0mm,0mm,0mm,0mm" style="mso-fit-shape-to-text:t;">
                <w:txbxContent>
                  <w:p w14:paraId="4BC797FF">
                    <w:pPr>
                      <w:pStyle w:val="13"/>
                    </w:pPr>
                    <w:r>
                      <w:fldChar w:fldCharType="begin"/>
                    </w:r>
                    <w:r>
                      <w:instrText xml:space="preserve"> PAGE  \* MERGEFORMAT </w:instrText>
                    </w:r>
                    <w:r>
                      <w:fldChar w:fldCharType="separate"/>
                    </w:r>
                    <w:r>
                      <w:t>192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CB5C0">
    <w:pPr>
      <w:pBdr>
        <w:bottom w:val="none" w:color="auto" w:sz="0" w:space="1"/>
      </w:pBdr>
      <w:tabs>
        <w:tab w:val="center" w:pos="4153"/>
        <w:tab w:val="right"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xYmRmNDlkOWUzMDMzNDI1MzEzYjAyMTUyOWZmMjYifQ=="/>
  </w:docVars>
  <w:rsids>
    <w:rsidRoot w:val="00172A2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05531"/>
    <w:rsid w:val="0011760F"/>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9411C"/>
    <w:rsid w:val="001A1B35"/>
    <w:rsid w:val="001A48A2"/>
    <w:rsid w:val="001A5739"/>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0914"/>
    <w:rsid w:val="003A4BF3"/>
    <w:rsid w:val="003B420D"/>
    <w:rsid w:val="003C6C16"/>
    <w:rsid w:val="003D794D"/>
    <w:rsid w:val="003E2476"/>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254D"/>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D3B01"/>
    <w:rsid w:val="006E12FF"/>
    <w:rsid w:val="006E607E"/>
    <w:rsid w:val="00706C5D"/>
    <w:rsid w:val="00732922"/>
    <w:rsid w:val="0073501E"/>
    <w:rsid w:val="0075162E"/>
    <w:rsid w:val="00754034"/>
    <w:rsid w:val="00756556"/>
    <w:rsid w:val="007618C4"/>
    <w:rsid w:val="00764991"/>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804C7"/>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16BE5"/>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95CDD"/>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026"/>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390D"/>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1C84"/>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08714A"/>
    <w:rsid w:val="010A0CFD"/>
    <w:rsid w:val="0118690F"/>
    <w:rsid w:val="01290F7E"/>
    <w:rsid w:val="01527EDF"/>
    <w:rsid w:val="01541EA9"/>
    <w:rsid w:val="015500B5"/>
    <w:rsid w:val="0155760E"/>
    <w:rsid w:val="015D1E09"/>
    <w:rsid w:val="016679EC"/>
    <w:rsid w:val="01884755"/>
    <w:rsid w:val="018C0765"/>
    <w:rsid w:val="01A44959"/>
    <w:rsid w:val="01AC5842"/>
    <w:rsid w:val="01C24F2E"/>
    <w:rsid w:val="01C71CB0"/>
    <w:rsid w:val="01F125D8"/>
    <w:rsid w:val="02145195"/>
    <w:rsid w:val="0216351E"/>
    <w:rsid w:val="02551A35"/>
    <w:rsid w:val="02646330"/>
    <w:rsid w:val="02697903"/>
    <w:rsid w:val="02881895"/>
    <w:rsid w:val="02BE185D"/>
    <w:rsid w:val="02C32E43"/>
    <w:rsid w:val="02CF68EF"/>
    <w:rsid w:val="02F76C95"/>
    <w:rsid w:val="02F96569"/>
    <w:rsid w:val="031E2AE9"/>
    <w:rsid w:val="033C5294"/>
    <w:rsid w:val="0364199E"/>
    <w:rsid w:val="0370464D"/>
    <w:rsid w:val="0373341C"/>
    <w:rsid w:val="037D6F84"/>
    <w:rsid w:val="038721C4"/>
    <w:rsid w:val="03B60333"/>
    <w:rsid w:val="03D251BA"/>
    <w:rsid w:val="03DC46AE"/>
    <w:rsid w:val="03EA7B21"/>
    <w:rsid w:val="043B1FC0"/>
    <w:rsid w:val="044B0BB3"/>
    <w:rsid w:val="044C1398"/>
    <w:rsid w:val="0461636B"/>
    <w:rsid w:val="04682844"/>
    <w:rsid w:val="046E6DDE"/>
    <w:rsid w:val="04712C49"/>
    <w:rsid w:val="049D76C3"/>
    <w:rsid w:val="04E83035"/>
    <w:rsid w:val="04F25C61"/>
    <w:rsid w:val="04FE63B4"/>
    <w:rsid w:val="050D4546"/>
    <w:rsid w:val="05177476"/>
    <w:rsid w:val="05213482"/>
    <w:rsid w:val="053412CC"/>
    <w:rsid w:val="05344A90"/>
    <w:rsid w:val="05474F81"/>
    <w:rsid w:val="05503AC8"/>
    <w:rsid w:val="055F2A5D"/>
    <w:rsid w:val="056145E3"/>
    <w:rsid w:val="058A5E9A"/>
    <w:rsid w:val="05A54A82"/>
    <w:rsid w:val="05BC52FA"/>
    <w:rsid w:val="05C6038C"/>
    <w:rsid w:val="05D94A30"/>
    <w:rsid w:val="05F83EAE"/>
    <w:rsid w:val="05FF1DB1"/>
    <w:rsid w:val="061D4F87"/>
    <w:rsid w:val="062F7F91"/>
    <w:rsid w:val="063E7D85"/>
    <w:rsid w:val="06652463"/>
    <w:rsid w:val="067A137F"/>
    <w:rsid w:val="069D1A57"/>
    <w:rsid w:val="06C74ECC"/>
    <w:rsid w:val="06D478EA"/>
    <w:rsid w:val="06D66EBD"/>
    <w:rsid w:val="06FD08ED"/>
    <w:rsid w:val="06FE6B3F"/>
    <w:rsid w:val="07043A2A"/>
    <w:rsid w:val="070E3A60"/>
    <w:rsid w:val="07233FD7"/>
    <w:rsid w:val="07293586"/>
    <w:rsid w:val="07295285"/>
    <w:rsid w:val="072C024D"/>
    <w:rsid w:val="07462294"/>
    <w:rsid w:val="07537A15"/>
    <w:rsid w:val="07636392"/>
    <w:rsid w:val="076D3A81"/>
    <w:rsid w:val="076E3F95"/>
    <w:rsid w:val="07770C56"/>
    <w:rsid w:val="077A3CEC"/>
    <w:rsid w:val="07AC2CFF"/>
    <w:rsid w:val="0808579C"/>
    <w:rsid w:val="081163FE"/>
    <w:rsid w:val="081303C8"/>
    <w:rsid w:val="08163A15"/>
    <w:rsid w:val="08177753"/>
    <w:rsid w:val="08626E41"/>
    <w:rsid w:val="08632D6D"/>
    <w:rsid w:val="086717E6"/>
    <w:rsid w:val="087370B9"/>
    <w:rsid w:val="088017D6"/>
    <w:rsid w:val="08E81855"/>
    <w:rsid w:val="08F1198C"/>
    <w:rsid w:val="090774C5"/>
    <w:rsid w:val="092217DD"/>
    <w:rsid w:val="09257A2D"/>
    <w:rsid w:val="092F0220"/>
    <w:rsid w:val="092F6E09"/>
    <w:rsid w:val="09385494"/>
    <w:rsid w:val="093A7294"/>
    <w:rsid w:val="09455BA6"/>
    <w:rsid w:val="09544BDC"/>
    <w:rsid w:val="09674FE6"/>
    <w:rsid w:val="099D32E7"/>
    <w:rsid w:val="09B01C47"/>
    <w:rsid w:val="09B84143"/>
    <w:rsid w:val="09BE13E7"/>
    <w:rsid w:val="09C946A8"/>
    <w:rsid w:val="09D861CB"/>
    <w:rsid w:val="09D973F0"/>
    <w:rsid w:val="09EB2C7F"/>
    <w:rsid w:val="0A2437B4"/>
    <w:rsid w:val="0A263993"/>
    <w:rsid w:val="0A2D3AC2"/>
    <w:rsid w:val="0A387E33"/>
    <w:rsid w:val="0A3C34DB"/>
    <w:rsid w:val="0A3D5C6E"/>
    <w:rsid w:val="0A40121D"/>
    <w:rsid w:val="0A5F5791"/>
    <w:rsid w:val="0A6E0A8F"/>
    <w:rsid w:val="0A735F3E"/>
    <w:rsid w:val="0A8C5F5E"/>
    <w:rsid w:val="0A9B28F7"/>
    <w:rsid w:val="0AA755DF"/>
    <w:rsid w:val="0AAE2864"/>
    <w:rsid w:val="0AD53D7C"/>
    <w:rsid w:val="0AE421FF"/>
    <w:rsid w:val="0AE53B72"/>
    <w:rsid w:val="0B0141C3"/>
    <w:rsid w:val="0B120D44"/>
    <w:rsid w:val="0B202452"/>
    <w:rsid w:val="0B26282C"/>
    <w:rsid w:val="0B48482D"/>
    <w:rsid w:val="0B8A2D17"/>
    <w:rsid w:val="0B8B471A"/>
    <w:rsid w:val="0B9D034A"/>
    <w:rsid w:val="0BD27BF6"/>
    <w:rsid w:val="0BDE2087"/>
    <w:rsid w:val="0BEF27AA"/>
    <w:rsid w:val="0C0A1AE2"/>
    <w:rsid w:val="0C115D59"/>
    <w:rsid w:val="0C210BDA"/>
    <w:rsid w:val="0C2634E6"/>
    <w:rsid w:val="0C324657"/>
    <w:rsid w:val="0C3721AC"/>
    <w:rsid w:val="0C3B3C7D"/>
    <w:rsid w:val="0C5403D6"/>
    <w:rsid w:val="0C5406B2"/>
    <w:rsid w:val="0C5B40EC"/>
    <w:rsid w:val="0CAB2EAE"/>
    <w:rsid w:val="0CC17C52"/>
    <w:rsid w:val="0CC84B3D"/>
    <w:rsid w:val="0CCE0D62"/>
    <w:rsid w:val="0CE20E37"/>
    <w:rsid w:val="0CE60609"/>
    <w:rsid w:val="0CEB1914"/>
    <w:rsid w:val="0CFC0DCB"/>
    <w:rsid w:val="0D2A4B0B"/>
    <w:rsid w:val="0D4E3C51"/>
    <w:rsid w:val="0D50069F"/>
    <w:rsid w:val="0D5011C2"/>
    <w:rsid w:val="0D53546C"/>
    <w:rsid w:val="0D621C7D"/>
    <w:rsid w:val="0D6F0E5F"/>
    <w:rsid w:val="0D760448"/>
    <w:rsid w:val="0D9E7F0C"/>
    <w:rsid w:val="0DA846D9"/>
    <w:rsid w:val="0DE93AD9"/>
    <w:rsid w:val="0E265B08"/>
    <w:rsid w:val="0E2D4DCF"/>
    <w:rsid w:val="0E4D1C6D"/>
    <w:rsid w:val="0E672CFC"/>
    <w:rsid w:val="0E73034D"/>
    <w:rsid w:val="0E793118"/>
    <w:rsid w:val="0E8042DE"/>
    <w:rsid w:val="0E813BB2"/>
    <w:rsid w:val="0E9A3896"/>
    <w:rsid w:val="0E9F5C3D"/>
    <w:rsid w:val="0EC56195"/>
    <w:rsid w:val="0EC7484A"/>
    <w:rsid w:val="0EF3685E"/>
    <w:rsid w:val="0F00541F"/>
    <w:rsid w:val="0F13775A"/>
    <w:rsid w:val="0F262586"/>
    <w:rsid w:val="0F423341"/>
    <w:rsid w:val="0F4E1CE6"/>
    <w:rsid w:val="0F503CB0"/>
    <w:rsid w:val="0F5F45FE"/>
    <w:rsid w:val="0F71669D"/>
    <w:rsid w:val="0F855EAB"/>
    <w:rsid w:val="0F866B20"/>
    <w:rsid w:val="0F8C5F99"/>
    <w:rsid w:val="0F8E579E"/>
    <w:rsid w:val="0F9A112B"/>
    <w:rsid w:val="0F9F0794"/>
    <w:rsid w:val="0FAB7138"/>
    <w:rsid w:val="0FBC1346"/>
    <w:rsid w:val="0FBD7286"/>
    <w:rsid w:val="0FC4081E"/>
    <w:rsid w:val="0FC4644C"/>
    <w:rsid w:val="0FEB5C97"/>
    <w:rsid w:val="0FED7751"/>
    <w:rsid w:val="10072452"/>
    <w:rsid w:val="10160A22"/>
    <w:rsid w:val="1019235F"/>
    <w:rsid w:val="101A42BE"/>
    <w:rsid w:val="10240C99"/>
    <w:rsid w:val="103B3E4D"/>
    <w:rsid w:val="103F6C17"/>
    <w:rsid w:val="104A13A0"/>
    <w:rsid w:val="10533A25"/>
    <w:rsid w:val="1064474E"/>
    <w:rsid w:val="106A52EE"/>
    <w:rsid w:val="106D2F64"/>
    <w:rsid w:val="106D5F34"/>
    <w:rsid w:val="10741C20"/>
    <w:rsid w:val="1074577C"/>
    <w:rsid w:val="10753CD1"/>
    <w:rsid w:val="107D70C9"/>
    <w:rsid w:val="10A06571"/>
    <w:rsid w:val="10B63710"/>
    <w:rsid w:val="10B918F8"/>
    <w:rsid w:val="10F10820"/>
    <w:rsid w:val="1101791C"/>
    <w:rsid w:val="110D797F"/>
    <w:rsid w:val="111C2F7A"/>
    <w:rsid w:val="11205904"/>
    <w:rsid w:val="113737E0"/>
    <w:rsid w:val="114039B5"/>
    <w:rsid w:val="11665CA1"/>
    <w:rsid w:val="116B48D8"/>
    <w:rsid w:val="11965BD1"/>
    <w:rsid w:val="11B81FE1"/>
    <w:rsid w:val="11F43E80"/>
    <w:rsid w:val="12134735"/>
    <w:rsid w:val="121D39C0"/>
    <w:rsid w:val="124B69B1"/>
    <w:rsid w:val="12543AB7"/>
    <w:rsid w:val="12555A81"/>
    <w:rsid w:val="128C62C5"/>
    <w:rsid w:val="12905384"/>
    <w:rsid w:val="12B07746"/>
    <w:rsid w:val="12BF4959"/>
    <w:rsid w:val="12DA3760"/>
    <w:rsid w:val="12EB3CF0"/>
    <w:rsid w:val="131214CB"/>
    <w:rsid w:val="13124349"/>
    <w:rsid w:val="1319085D"/>
    <w:rsid w:val="13313DF9"/>
    <w:rsid w:val="13781D8D"/>
    <w:rsid w:val="138008DC"/>
    <w:rsid w:val="13877EBC"/>
    <w:rsid w:val="13951726"/>
    <w:rsid w:val="139C2A90"/>
    <w:rsid w:val="13CF315F"/>
    <w:rsid w:val="13FF7A53"/>
    <w:rsid w:val="140C03C2"/>
    <w:rsid w:val="14347589"/>
    <w:rsid w:val="14396509"/>
    <w:rsid w:val="1449256E"/>
    <w:rsid w:val="146B50E8"/>
    <w:rsid w:val="14922675"/>
    <w:rsid w:val="14943C5A"/>
    <w:rsid w:val="14BC5944"/>
    <w:rsid w:val="14CF38C9"/>
    <w:rsid w:val="14D013EF"/>
    <w:rsid w:val="14D64C58"/>
    <w:rsid w:val="14DD2C3C"/>
    <w:rsid w:val="15082937"/>
    <w:rsid w:val="1518152A"/>
    <w:rsid w:val="151B73C5"/>
    <w:rsid w:val="152E34D7"/>
    <w:rsid w:val="153148F2"/>
    <w:rsid w:val="15391A5F"/>
    <w:rsid w:val="154F4A0A"/>
    <w:rsid w:val="1561039F"/>
    <w:rsid w:val="15853F88"/>
    <w:rsid w:val="15875F52"/>
    <w:rsid w:val="15A24B3A"/>
    <w:rsid w:val="15A77A54"/>
    <w:rsid w:val="15C55FA9"/>
    <w:rsid w:val="15D66ED9"/>
    <w:rsid w:val="16087E1D"/>
    <w:rsid w:val="163D2AB4"/>
    <w:rsid w:val="1656474A"/>
    <w:rsid w:val="167E55A7"/>
    <w:rsid w:val="16A86180"/>
    <w:rsid w:val="16AE5760"/>
    <w:rsid w:val="16FC0247"/>
    <w:rsid w:val="171406D5"/>
    <w:rsid w:val="17171557"/>
    <w:rsid w:val="171C091C"/>
    <w:rsid w:val="1721308A"/>
    <w:rsid w:val="17253C74"/>
    <w:rsid w:val="172779EC"/>
    <w:rsid w:val="173348D1"/>
    <w:rsid w:val="17394A28"/>
    <w:rsid w:val="17701D14"/>
    <w:rsid w:val="17732C32"/>
    <w:rsid w:val="17735226"/>
    <w:rsid w:val="17846A61"/>
    <w:rsid w:val="17976BD3"/>
    <w:rsid w:val="17A417A4"/>
    <w:rsid w:val="17AA23CB"/>
    <w:rsid w:val="17AE5B0B"/>
    <w:rsid w:val="17B943BD"/>
    <w:rsid w:val="17D53D50"/>
    <w:rsid w:val="1821268E"/>
    <w:rsid w:val="182A472E"/>
    <w:rsid w:val="184B2F40"/>
    <w:rsid w:val="18554574"/>
    <w:rsid w:val="18770500"/>
    <w:rsid w:val="187C4525"/>
    <w:rsid w:val="187D363C"/>
    <w:rsid w:val="18802F86"/>
    <w:rsid w:val="18860BB9"/>
    <w:rsid w:val="18997E67"/>
    <w:rsid w:val="189C7F66"/>
    <w:rsid w:val="189F624C"/>
    <w:rsid w:val="190653E0"/>
    <w:rsid w:val="190B6E9A"/>
    <w:rsid w:val="1912797C"/>
    <w:rsid w:val="192A5572"/>
    <w:rsid w:val="193A152D"/>
    <w:rsid w:val="19563CED"/>
    <w:rsid w:val="195C53DD"/>
    <w:rsid w:val="195D65DB"/>
    <w:rsid w:val="196115E4"/>
    <w:rsid w:val="19717B4A"/>
    <w:rsid w:val="19855C98"/>
    <w:rsid w:val="198C421C"/>
    <w:rsid w:val="1999682B"/>
    <w:rsid w:val="19CF7EC7"/>
    <w:rsid w:val="19EC4C52"/>
    <w:rsid w:val="1A1C66C0"/>
    <w:rsid w:val="1A2C70C8"/>
    <w:rsid w:val="1A312930"/>
    <w:rsid w:val="1A42393B"/>
    <w:rsid w:val="1A5B64D3"/>
    <w:rsid w:val="1A5E2203"/>
    <w:rsid w:val="1A607D8E"/>
    <w:rsid w:val="1A613215"/>
    <w:rsid w:val="1A6413BA"/>
    <w:rsid w:val="1A7F31EF"/>
    <w:rsid w:val="1A9A6727"/>
    <w:rsid w:val="1AA93651"/>
    <w:rsid w:val="1AA938E9"/>
    <w:rsid w:val="1AAD45DE"/>
    <w:rsid w:val="1AB75F10"/>
    <w:rsid w:val="1AC62E25"/>
    <w:rsid w:val="1AF438F3"/>
    <w:rsid w:val="1AFF2A2E"/>
    <w:rsid w:val="1B00409B"/>
    <w:rsid w:val="1B046F80"/>
    <w:rsid w:val="1B1F4637"/>
    <w:rsid w:val="1B2D4EBC"/>
    <w:rsid w:val="1B3267B5"/>
    <w:rsid w:val="1B40161D"/>
    <w:rsid w:val="1B441859"/>
    <w:rsid w:val="1B5C578B"/>
    <w:rsid w:val="1B6606B1"/>
    <w:rsid w:val="1B680005"/>
    <w:rsid w:val="1B9907D4"/>
    <w:rsid w:val="1BA73870"/>
    <w:rsid w:val="1BC318A6"/>
    <w:rsid w:val="1BDE77DA"/>
    <w:rsid w:val="1BFC074B"/>
    <w:rsid w:val="1C1D2DE3"/>
    <w:rsid w:val="1C4A7CD9"/>
    <w:rsid w:val="1C5E7925"/>
    <w:rsid w:val="1C640D9B"/>
    <w:rsid w:val="1C6C6997"/>
    <w:rsid w:val="1CAD6BBD"/>
    <w:rsid w:val="1CEE74A2"/>
    <w:rsid w:val="1CFD070F"/>
    <w:rsid w:val="1CFE203E"/>
    <w:rsid w:val="1CFE6CA0"/>
    <w:rsid w:val="1D01132A"/>
    <w:rsid w:val="1D077978"/>
    <w:rsid w:val="1D081FED"/>
    <w:rsid w:val="1D1B2998"/>
    <w:rsid w:val="1D2074D8"/>
    <w:rsid w:val="1D3F35B6"/>
    <w:rsid w:val="1D50240B"/>
    <w:rsid w:val="1D504EEA"/>
    <w:rsid w:val="1D5F6196"/>
    <w:rsid w:val="1D6132A5"/>
    <w:rsid w:val="1D6A0633"/>
    <w:rsid w:val="1D8E56D5"/>
    <w:rsid w:val="1D9A259A"/>
    <w:rsid w:val="1D9E0129"/>
    <w:rsid w:val="1DBB0E8E"/>
    <w:rsid w:val="1E032835"/>
    <w:rsid w:val="1E122A78"/>
    <w:rsid w:val="1E253DA2"/>
    <w:rsid w:val="1E391C84"/>
    <w:rsid w:val="1E452F24"/>
    <w:rsid w:val="1E7A43DA"/>
    <w:rsid w:val="1E875215"/>
    <w:rsid w:val="1ECC70CB"/>
    <w:rsid w:val="1ECF4148"/>
    <w:rsid w:val="1EDC730E"/>
    <w:rsid w:val="1EF06916"/>
    <w:rsid w:val="1F0071E4"/>
    <w:rsid w:val="1F073974"/>
    <w:rsid w:val="1F0D3824"/>
    <w:rsid w:val="1F1E3599"/>
    <w:rsid w:val="1F417171"/>
    <w:rsid w:val="1F552C1D"/>
    <w:rsid w:val="1F5A0233"/>
    <w:rsid w:val="1F6368EB"/>
    <w:rsid w:val="1F78690B"/>
    <w:rsid w:val="1FAD5C0F"/>
    <w:rsid w:val="1FB45114"/>
    <w:rsid w:val="1FDB3132"/>
    <w:rsid w:val="1FE741BD"/>
    <w:rsid w:val="1FE7539E"/>
    <w:rsid w:val="1FEA77EA"/>
    <w:rsid w:val="202A60A1"/>
    <w:rsid w:val="203C17F2"/>
    <w:rsid w:val="204A64FA"/>
    <w:rsid w:val="204B07E7"/>
    <w:rsid w:val="204C2272"/>
    <w:rsid w:val="204F4AE7"/>
    <w:rsid w:val="2062104A"/>
    <w:rsid w:val="20671BE0"/>
    <w:rsid w:val="2080016D"/>
    <w:rsid w:val="20963CB8"/>
    <w:rsid w:val="20A81A1B"/>
    <w:rsid w:val="20B07FB6"/>
    <w:rsid w:val="20B646FB"/>
    <w:rsid w:val="20C04A0E"/>
    <w:rsid w:val="20CB6FEE"/>
    <w:rsid w:val="20D52DA9"/>
    <w:rsid w:val="20E140A6"/>
    <w:rsid w:val="20FF72E4"/>
    <w:rsid w:val="21020B82"/>
    <w:rsid w:val="2116462E"/>
    <w:rsid w:val="21224C83"/>
    <w:rsid w:val="212251A4"/>
    <w:rsid w:val="213B74B1"/>
    <w:rsid w:val="215A2310"/>
    <w:rsid w:val="217010C5"/>
    <w:rsid w:val="217F21D3"/>
    <w:rsid w:val="21893C3E"/>
    <w:rsid w:val="218B0B78"/>
    <w:rsid w:val="21AA093E"/>
    <w:rsid w:val="21BF17F5"/>
    <w:rsid w:val="21DE318A"/>
    <w:rsid w:val="21EF5B80"/>
    <w:rsid w:val="21FE57EE"/>
    <w:rsid w:val="22106E07"/>
    <w:rsid w:val="222313B6"/>
    <w:rsid w:val="2236087F"/>
    <w:rsid w:val="223E3B2E"/>
    <w:rsid w:val="22576990"/>
    <w:rsid w:val="22837AA1"/>
    <w:rsid w:val="22883309"/>
    <w:rsid w:val="22AC0867"/>
    <w:rsid w:val="22C1078F"/>
    <w:rsid w:val="22D4731C"/>
    <w:rsid w:val="22D53A2C"/>
    <w:rsid w:val="22DD5403"/>
    <w:rsid w:val="22E32420"/>
    <w:rsid w:val="22E9024C"/>
    <w:rsid w:val="22EA5D72"/>
    <w:rsid w:val="22F47480"/>
    <w:rsid w:val="22F84EEE"/>
    <w:rsid w:val="23052EF9"/>
    <w:rsid w:val="231F4E1A"/>
    <w:rsid w:val="236B5E7C"/>
    <w:rsid w:val="237202B0"/>
    <w:rsid w:val="2399311E"/>
    <w:rsid w:val="23C070E9"/>
    <w:rsid w:val="23C13E08"/>
    <w:rsid w:val="23C23769"/>
    <w:rsid w:val="23C549CF"/>
    <w:rsid w:val="23DE1C48"/>
    <w:rsid w:val="23E07E45"/>
    <w:rsid w:val="23E5235B"/>
    <w:rsid w:val="23E67AE2"/>
    <w:rsid w:val="23E80E96"/>
    <w:rsid w:val="23F21382"/>
    <w:rsid w:val="240210CD"/>
    <w:rsid w:val="240370EB"/>
    <w:rsid w:val="24135347"/>
    <w:rsid w:val="242D72D3"/>
    <w:rsid w:val="243509DA"/>
    <w:rsid w:val="2435126F"/>
    <w:rsid w:val="24365268"/>
    <w:rsid w:val="243F3E9B"/>
    <w:rsid w:val="24401886"/>
    <w:rsid w:val="248A5117"/>
    <w:rsid w:val="248F6A55"/>
    <w:rsid w:val="248F710D"/>
    <w:rsid w:val="24927561"/>
    <w:rsid w:val="24AB04CD"/>
    <w:rsid w:val="24AB1F88"/>
    <w:rsid w:val="24BF09F7"/>
    <w:rsid w:val="24F12AAA"/>
    <w:rsid w:val="24F20F0E"/>
    <w:rsid w:val="2507256D"/>
    <w:rsid w:val="252B1E3D"/>
    <w:rsid w:val="252D53FE"/>
    <w:rsid w:val="252E644C"/>
    <w:rsid w:val="259049AF"/>
    <w:rsid w:val="259D0E7A"/>
    <w:rsid w:val="25A14E0E"/>
    <w:rsid w:val="25EC2D81"/>
    <w:rsid w:val="26127ABA"/>
    <w:rsid w:val="26387870"/>
    <w:rsid w:val="263C2AD9"/>
    <w:rsid w:val="264B4CE9"/>
    <w:rsid w:val="265861DF"/>
    <w:rsid w:val="265C30A7"/>
    <w:rsid w:val="268B2061"/>
    <w:rsid w:val="269E3A6B"/>
    <w:rsid w:val="26A86D7E"/>
    <w:rsid w:val="26B17987"/>
    <w:rsid w:val="26B47F89"/>
    <w:rsid w:val="26D353B8"/>
    <w:rsid w:val="26DB643D"/>
    <w:rsid w:val="2754511E"/>
    <w:rsid w:val="277057A2"/>
    <w:rsid w:val="277D7CD3"/>
    <w:rsid w:val="279462AC"/>
    <w:rsid w:val="27A47FDD"/>
    <w:rsid w:val="27BE451B"/>
    <w:rsid w:val="28060C67"/>
    <w:rsid w:val="28461C9C"/>
    <w:rsid w:val="28485A15"/>
    <w:rsid w:val="284878A1"/>
    <w:rsid w:val="28491F2D"/>
    <w:rsid w:val="284F3E71"/>
    <w:rsid w:val="286D7229"/>
    <w:rsid w:val="28773C04"/>
    <w:rsid w:val="287D6D7E"/>
    <w:rsid w:val="28A95D87"/>
    <w:rsid w:val="28CE5A0A"/>
    <w:rsid w:val="28E026ED"/>
    <w:rsid w:val="28FB3492"/>
    <w:rsid w:val="29206EB8"/>
    <w:rsid w:val="29373393"/>
    <w:rsid w:val="294778BF"/>
    <w:rsid w:val="294A6DC7"/>
    <w:rsid w:val="29543F45"/>
    <w:rsid w:val="29595666"/>
    <w:rsid w:val="295E3016"/>
    <w:rsid w:val="295E358B"/>
    <w:rsid w:val="2975752D"/>
    <w:rsid w:val="297840D8"/>
    <w:rsid w:val="29874881"/>
    <w:rsid w:val="29A504DF"/>
    <w:rsid w:val="29CF181E"/>
    <w:rsid w:val="29E325E0"/>
    <w:rsid w:val="29E32856"/>
    <w:rsid w:val="29F95349"/>
    <w:rsid w:val="2A17081E"/>
    <w:rsid w:val="2A1D1D28"/>
    <w:rsid w:val="2A297180"/>
    <w:rsid w:val="2A342FBE"/>
    <w:rsid w:val="2A452503"/>
    <w:rsid w:val="2A467D32"/>
    <w:rsid w:val="2A9E4B48"/>
    <w:rsid w:val="2AA96A88"/>
    <w:rsid w:val="2AAC10E7"/>
    <w:rsid w:val="2AAF16FA"/>
    <w:rsid w:val="2ABC4E3A"/>
    <w:rsid w:val="2AD51A9F"/>
    <w:rsid w:val="2AF54CBC"/>
    <w:rsid w:val="2B013C59"/>
    <w:rsid w:val="2B243569"/>
    <w:rsid w:val="2B482518"/>
    <w:rsid w:val="2B801021"/>
    <w:rsid w:val="2B887ACA"/>
    <w:rsid w:val="2B916D8B"/>
    <w:rsid w:val="2BA936A8"/>
    <w:rsid w:val="2BC90C1A"/>
    <w:rsid w:val="2C1724E2"/>
    <w:rsid w:val="2C315A5A"/>
    <w:rsid w:val="2C3D3684"/>
    <w:rsid w:val="2C4B1C25"/>
    <w:rsid w:val="2C542665"/>
    <w:rsid w:val="2C5D1C85"/>
    <w:rsid w:val="2C603C2B"/>
    <w:rsid w:val="2C7548FE"/>
    <w:rsid w:val="2C80491C"/>
    <w:rsid w:val="2CB00693"/>
    <w:rsid w:val="2CB25B52"/>
    <w:rsid w:val="2CBC739B"/>
    <w:rsid w:val="2CDE6947"/>
    <w:rsid w:val="2D031F0A"/>
    <w:rsid w:val="2D0B0DBF"/>
    <w:rsid w:val="2D142369"/>
    <w:rsid w:val="2D1609A2"/>
    <w:rsid w:val="2D1E0AF2"/>
    <w:rsid w:val="2D915768"/>
    <w:rsid w:val="2D9E56F5"/>
    <w:rsid w:val="2DA36015"/>
    <w:rsid w:val="2DB26C84"/>
    <w:rsid w:val="2DBA2FCF"/>
    <w:rsid w:val="2DC01BA9"/>
    <w:rsid w:val="2DDD0FD4"/>
    <w:rsid w:val="2DEB68B1"/>
    <w:rsid w:val="2DFA397D"/>
    <w:rsid w:val="2E053A60"/>
    <w:rsid w:val="2E0E359B"/>
    <w:rsid w:val="2E1B14D5"/>
    <w:rsid w:val="2E255EB0"/>
    <w:rsid w:val="2E667F96"/>
    <w:rsid w:val="2E776710"/>
    <w:rsid w:val="2E8226AB"/>
    <w:rsid w:val="2E84005D"/>
    <w:rsid w:val="2E8C4181"/>
    <w:rsid w:val="2E9A064C"/>
    <w:rsid w:val="2EEE32D9"/>
    <w:rsid w:val="2F0E5872"/>
    <w:rsid w:val="2F5A7DDB"/>
    <w:rsid w:val="2F656EAC"/>
    <w:rsid w:val="2F697D76"/>
    <w:rsid w:val="2F7467BD"/>
    <w:rsid w:val="2F9B29CB"/>
    <w:rsid w:val="2FA271C8"/>
    <w:rsid w:val="2FAB53CF"/>
    <w:rsid w:val="2FB25651"/>
    <w:rsid w:val="2FB63264"/>
    <w:rsid w:val="2FD065E6"/>
    <w:rsid w:val="2FD91648"/>
    <w:rsid w:val="2FD96870"/>
    <w:rsid w:val="2FEA5603"/>
    <w:rsid w:val="30007DD7"/>
    <w:rsid w:val="302D31F5"/>
    <w:rsid w:val="30580BC9"/>
    <w:rsid w:val="30634F75"/>
    <w:rsid w:val="3075279F"/>
    <w:rsid w:val="3091782D"/>
    <w:rsid w:val="30BF3162"/>
    <w:rsid w:val="30D84D1A"/>
    <w:rsid w:val="30E24E48"/>
    <w:rsid w:val="30EE2ED1"/>
    <w:rsid w:val="311E2ED7"/>
    <w:rsid w:val="312F7772"/>
    <w:rsid w:val="313B4368"/>
    <w:rsid w:val="315619EE"/>
    <w:rsid w:val="31572824"/>
    <w:rsid w:val="315C449C"/>
    <w:rsid w:val="31712CAC"/>
    <w:rsid w:val="317E11B5"/>
    <w:rsid w:val="318E4EAF"/>
    <w:rsid w:val="31B82709"/>
    <w:rsid w:val="31D05482"/>
    <w:rsid w:val="31EA6D55"/>
    <w:rsid w:val="31EC5663"/>
    <w:rsid w:val="320A7897"/>
    <w:rsid w:val="32221084"/>
    <w:rsid w:val="32242AD2"/>
    <w:rsid w:val="32400B34"/>
    <w:rsid w:val="32566E81"/>
    <w:rsid w:val="325944FC"/>
    <w:rsid w:val="32680679"/>
    <w:rsid w:val="32892343"/>
    <w:rsid w:val="329E6876"/>
    <w:rsid w:val="32A773E6"/>
    <w:rsid w:val="32B7030D"/>
    <w:rsid w:val="32D3237F"/>
    <w:rsid w:val="32D4231F"/>
    <w:rsid w:val="32DB0C08"/>
    <w:rsid w:val="33134E71"/>
    <w:rsid w:val="331717EE"/>
    <w:rsid w:val="33200A88"/>
    <w:rsid w:val="333015F2"/>
    <w:rsid w:val="334501D3"/>
    <w:rsid w:val="334B6320"/>
    <w:rsid w:val="3358512B"/>
    <w:rsid w:val="336F39EE"/>
    <w:rsid w:val="33716EF1"/>
    <w:rsid w:val="337323F4"/>
    <w:rsid w:val="33A8579C"/>
    <w:rsid w:val="33C330C9"/>
    <w:rsid w:val="33D934D4"/>
    <w:rsid w:val="33FE2F6A"/>
    <w:rsid w:val="33FE78CF"/>
    <w:rsid w:val="340E07E5"/>
    <w:rsid w:val="34173357"/>
    <w:rsid w:val="34235BF7"/>
    <w:rsid w:val="342B1B77"/>
    <w:rsid w:val="343018AE"/>
    <w:rsid w:val="34452D8A"/>
    <w:rsid w:val="345B6AD0"/>
    <w:rsid w:val="34842877"/>
    <w:rsid w:val="349D07DC"/>
    <w:rsid w:val="34B44C1C"/>
    <w:rsid w:val="35131158"/>
    <w:rsid w:val="35303AB8"/>
    <w:rsid w:val="354B46BF"/>
    <w:rsid w:val="354E2190"/>
    <w:rsid w:val="358C5FA8"/>
    <w:rsid w:val="35941EE7"/>
    <w:rsid w:val="359758E5"/>
    <w:rsid w:val="35C15DF1"/>
    <w:rsid w:val="35D5640E"/>
    <w:rsid w:val="35D85514"/>
    <w:rsid w:val="35D95EFE"/>
    <w:rsid w:val="35FE0BA4"/>
    <w:rsid w:val="36074A7F"/>
    <w:rsid w:val="3609309B"/>
    <w:rsid w:val="36167037"/>
    <w:rsid w:val="36410618"/>
    <w:rsid w:val="36570560"/>
    <w:rsid w:val="3670428D"/>
    <w:rsid w:val="36736296"/>
    <w:rsid w:val="368C1801"/>
    <w:rsid w:val="368D18BF"/>
    <w:rsid w:val="36904273"/>
    <w:rsid w:val="36923549"/>
    <w:rsid w:val="369A0A23"/>
    <w:rsid w:val="36B75FBF"/>
    <w:rsid w:val="36BD0C45"/>
    <w:rsid w:val="36BD137C"/>
    <w:rsid w:val="36CA1CEB"/>
    <w:rsid w:val="373139FF"/>
    <w:rsid w:val="373553B6"/>
    <w:rsid w:val="373D426B"/>
    <w:rsid w:val="37425D25"/>
    <w:rsid w:val="375872F6"/>
    <w:rsid w:val="37873738"/>
    <w:rsid w:val="37A34D2D"/>
    <w:rsid w:val="37AE5168"/>
    <w:rsid w:val="37C11F1E"/>
    <w:rsid w:val="37D45CDA"/>
    <w:rsid w:val="37E00298"/>
    <w:rsid w:val="38080EB6"/>
    <w:rsid w:val="382D2531"/>
    <w:rsid w:val="382F0057"/>
    <w:rsid w:val="38575800"/>
    <w:rsid w:val="38947FBD"/>
    <w:rsid w:val="38B302F9"/>
    <w:rsid w:val="38B30C88"/>
    <w:rsid w:val="38C20ECB"/>
    <w:rsid w:val="38F12CD3"/>
    <w:rsid w:val="38F44393"/>
    <w:rsid w:val="38F94775"/>
    <w:rsid w:val="38FA1BB8"/>
    <w:rsid w:val="38FD63A7"/>
    <w:rsid w:val="39035DD8"/>
    <w:rsid w:val="392971ED"/>
    <w:rsid w:val="393241A9"/>
    <w:rsid w:val="39325651"/>
    <w:rsid w:val="39935037"/>
    <w:rsid w:val="399B2A3B"/>
    <w:rsid w:val="39CD5BD5"/>
    <w:rsid w:val="39D54C2E"/>
    <w:rsid w:val="39E45F74"/>
    <w:rsid w:val="39E80D0A"/>
    <w:rsid w:val="3A2E433E"/>
    <w:rsid w:val="3A305611"/>
    <w:rsid w:val="3A6B3342"/>
    <w:rsid w:val="3A872856"/>
    <w:rsid w:val="3A8C1C1D"/>
    <w:rsid w:val="3A977CF4"/>
    <w:rsid w:val="3AB21AFF"/>
    <w:rsid w:val="3AB962FE"/>
    <w:rsid w:val="3AE07D2F"/>
    <w:rsid w:val="3AFC57B7"/>
    <w:rsid w:val="3B013DDA"/>
    <w:rsid w:val="3B0825B6"/>
    <w:rsid w:val="3B3763D1"/>
    <w:rsid w:val="3B616481"/>
    <w:rsid w:val="3B822B94"/>
    <w:rsid w:val="3B9823B7"/>
    <w:rsid w:val="3B9832B1"/>
    <w:rsid w:val="3BB93BC1"/>
    <w:rsid w:val="3BCC3E0F"/>
    <w:rsid w:val="3C0B058F"/>
    <w:rsid w:val="3C135F1D"/>
    <w:rsid w:val="3C1C6307"/>
    <w:rsid w:val="3C243C4B"/>
    <w:rsid w:val="3C2F6E1E"/>
    <w:rsid w:val="3C4A2D55"/>
    <w:rsid w:val="3C4C3631"/>
    <w:rsid w:val="3C4F64BA"/>
    <w:rsid w:val="3C713708"/>
    <w:rsid w:val="3C8D7564"/>
    <w:rsid w:val="3C9506A5"/>
    <w:rsid w:val="3CB45B7B"/>
    <w:rsid w:val="3CC263CE"/>
    <w:rsid w:val="3CDA245A"/>
    <w:rsid w:val="3CEE0ECF"/>
    <w:rsid w:val="3CF92A9A"/>
    <w:rsid w:val="3D0173C5"/>
    <w:rsid w:val="3D143113"/>
    <w:rsid w:val="3D1E06B7"/>
    <w:rsid w:val="3D6733DE"/>
    <w:rsid w:val="3D842BF3"/>
    <w:rsid w:val="3D850719"/>
    <w:rsid w:val="3DB25DD9"/>
    <w:rsid w:val="3E2D6890"/>
    <w:rsid w:val="3E5717B7"/>
    <w:rsid w:val="3EDA0523"/>
    <w:rsid w:val="3EF63D5B"/>
    <w:rsid w:val="3F326B8A"/>
    <w:rsid w:val="3F536D21"/>
    <w:rsid w:val="3F5C7C20"/>
    <w:rsid w:val="3F60690C"/>
    <w:rsid w:val="3F9827B4"/>
    <w:rsid w:val="3F982986"/>
    <w:rsid w:val="3FB157F6"/>
    <w:rsid w:val="40155D85"/>
    <w:rsid w:val="401A6E91"/>
    <w:rsid w:val="406843DE"/>
    <w:rsid w:val="406970E7"/>
    <w:rsid w:val="407A6407"/>
    <w:rsid w:val="407F0F94"/>
    <w:rsid w:val="40F167F2"/>
    <w:rsid w:val="40F70F22"/>
    <w:rsid w:val="410024A8"/>
    <w:rsid w:val="410A340F"/>
    <w:rsid w:val="412160C9"/>
    <w:rsid w:val="412D5350"/>
    <w:rsid w:val="412E1B74"/>
    <w:rsid w:val="413E57AF"/>
    <w:rsid w:val="416C0117"/>
    <w:rsid w:val="417D0976"/>
    <w:rsid w:val="417D5F77"/>
    <w:rsid w:val="418D4040"/>
    <w:rsid w:val="41CC6917"/>
    <w:rsid w:val="41D10249"/>
    <w:rsid w:val="41E7318A"/>
    <w:rsid w:val="4200449D"/>
    <w:rsid w:val="42167A80"/>
    <w:rsid w:val="423A3BCC"/>
    <w:rsid w:val="42483B6E"/>
    <w:rsid w:val="424E57D2"/>
    <w:rsid w:val="425F073A"/>
    <w:rsid w:val="42B00A30"/>
    <w:rsid w:val="42B26C49"/>
    <w:rsid w:val="43194A98"/>
    <w:rsid w:val="43295156"/>
    <w:rsid w:val="433A6FE6"/>
    <w:rsid w:val="43480868"/>
    <w:rsid w:val="4350713C"/>
    <w:rsid w:val="435412BA"/>
    <w:rsid w:val="436653E0"/>
    <w:rsid w:val="436842E5"/>
    <w:rsid w:val="436C622D"/>
    <w:rsid w:val="438B57CB"/>
    <w:rsid w:val="43C4431A"/>
    <w:rsid w:val="43E21956"/>
    <w:rsid w:val="43EF6442"/>
    <w:rsid w:val="43F06270"/>
    <w:rsid w:val="441D78FE"/>
    <w:rsid w:val="44372F0F"/>
    <w:rsid w:val="443C5828"/>
    <w:rsid w:val="443F7A85"/>
    <w:rsid w:val="444E121C"/>
    <w:rsid w:val="44522AFA"/>
    <w:rsid w:val="445A135F"/>
    <w:rsid w:val="44896D41"/>
    <w:rsid w:val="44955F98"/>
    <w:rsid w:val="44B951CC"/>
    <w:rsid w:val="44C91833"/>
    <w:rsid w:val="44CD14E0"/>
    <w:rsid w:val="44F20B0B"/>
    <w:rsid w:val="44FA5851"/>
    <w:rsid w:val="450308A1"/>
    <w:rsid w:val="45252301"/>
    <w:rsid w:val="452C596A"/>
    <w:rsid w:val="452E1696"/>
    <w:rsid w:val="452E5F4C"/>
    <w:rsid w:val="45612018"/>
    <w:rsid w:val="456D26F5"/>
    <w:rsid w:val="457A3A0A"/>
    <w:rsid w:val="458760FD"/>
    <w:rsid w:val="458946E9"/>
    <w:rsid w:val="4596779F"/>
    <w:rsid w:val="459D696F"/>
    <w:rsid w:val="45A47C0E"/>
    <w:rsid w:val="45B55914"/>
    <w:rsid w:val="45C10D0F"/>
    <w:rsid w:val="45EF52CA"/>
    <w:rsid w:val="462C02CC"/>
    <w:rsid w:val="462F56C6"/>
    <w:rsid w:val="463B050F"/>
    <w:rsid w:val="464E67A0"/>
    <w:rsid w:val="46535859"/>
    <w:rsid w:val="46577FD6"/>
    <w:rsid w:val="4678706D"/>
    <w:rsid w:val="469173FD"/>
    <w:rsid w:val="469464ED"/>
    <w:rsid w:val="469E3536"/>
    <w:rsid w:val="46AF0597"/>
    <w:rsid w:val="46CE3131"/>
    <w:rsid w:val="46D955A7"/>
    <w:rsid w:val="46DC75FC"/>
    <w:rsid w:val="46E5026C"/>
    <w:rsid w:val="46F9201D"/>
    <w:rsid w:val="47084895"/>
    <w:rsid w:val="47133957"/>
    <w:rsid w:val="47150BB4"/>
    <w:rsid w:val="472114CA"/>
    <w:rsid w:val="4723347D"/>
    <w:rsid w:val="47373E8E"/>
    <w:rsid w:val="47454704"/>
    <w:rsid w:val="475C3BE2"/>
    <w:rsid w:val="475F2731"/>
    <w:rsid w:val="476615BC"/>
    <w:rsid w:val="476A2ECC"/>
    <w:rsid w:val="47785CF0"/>
    <w:rsid w:val="47816C3A"/>
    <w:rsid w:val="47947973"/>
    <w:rsid w:val="47A07E0C"/>
    <w:rsid w:val="47A8634D"/>
    <w:rsid w:val="47C06F1E"/>
    <w:rsid w:val="47F054D8"/>
    <w:rsid w:val="48127FEB"/>
    <w:rsid w:val="48276283"/>
    <w:rsid w:val="4828582E"/>
    <w:rsid w:val="4830797A"/>
    <w:rsid w:val="484E3524"/>
    <w:rsid w:val="4860165D"/>
    <w:rsid w:val="48621D83"/>
    <w:rsid w:val="4870272E"/>
    <w:rsid w:val="48747A31"/>
    <w:rsid w:val="487D22FF"/>
    <w:rsid w:val="488543BA"/>
    <w:rsid w:val="489E3D34"/>
    <w:rsid w:val="48CA3030"/>
    <w:rsid w:val="48CB55FA"/>
    <w:rsid w:val="48D95DC8"/>
    <w:rsid w:val="48EC13B2"/>
    <w:rsid w:val="48F826E7"/>
    <w:rsid w:val="48FA39A3"/>
    <w:rsid w:val="490B6F37"/>
    <w:rsid w:val="490F3A25"/>
    <w:rsid w:val="49203F9B"/>
    <w:rsid w:val="492B6619"/>
    <w:rsid w:val="492E5F64"/>
    <w:rsid w:val="49374FBE"/>
    <w:rsid w:val="49376D1A"/>
    <w:rsid w:val="49383BB4"/>
    <w:rsid w:val="493F3E51"/>
    <w:rsid w:val="49403578"/>
    <w:rsid w:val="498C473C"/>
    <w:rsid w:val="49A87C69"/>
    <w:rsid w:val="49DC7715"/>
    <w:rsid w:val="4A023139"/>
    <w:rsid w:val="4A0D41AE"/>
    <w:rsid w:val="4A2A68D0"/>
    <w:rsid w:val="4A2D478B"/>
    <w:rsid w:val="4A391054"/>
    <w:rsid w:val="4A6D1F00"/>
    <w:rsid w:val="4A7A50E4"/>
    <w:rsid w:val="4A7B576F"/>
    <w:rsid w:val="4A9E4B3A"/>
    <w:rsid w:val="4ADA0BDD"/>
    <w:rsid w:val="4AF07B1A"/>
    <w:rsid w:val="4AF561A9"/>
    <w:rsid w:val="4AF7270C"/>
    <w:rsid w:val="4B054C48"/>
    <w:rsid w:val="4B0709C0"/>
    <w:rsid w:val="4B0E1D4E"/>
    <w:rsid w:val="4B2772B4"/>
    <w:rsid w:val="4B2E2689"/>
    <w:rsid w:val="4B6B1EF9"/>
    <w:rsid w:val="4B756D85"/>
    <w:rsid w:val="4B9318F2"/>
    <w:rsid w:val="4BBC17AA"/>
    <w:rsid w:val="4BBC5C4E"/>
    <w:rsid w:val="4C00458F"/>
    <w:rsid w:val="4C0C69D1"/>
    <w:rsid w:val="4C215AB1"/>
    <w:rsid w:val="4C322340"/>
    <w:rsid w:val="4C3A7A30"/>
    <w:rsid w:val="4C4A0649"/>
    <w:rsid w:val="4C5F7E0E"/>
    <w:rsid w:val="4C651B64"/>
    <w:rsid w:val="4C682916"/>
    <w:rsid w:val="4C6E4D74"/>
    <w:rsid w:val="4C7E5ECA"/>
    <w:rsid w:val="4C876AA5"/>
    <w:rsid w:val="4C9B37AC"/>
    <w:rsid w:val="4CAB14ED"/>
    <w:rsid w:val="4CAC1808"/>
    <w:rsid w:val="4CC21042"/>
    <w:rsid w:val="4CFE45B4"/>
    <w:rsid w:val="4D077EEE"/>
    <w:rsid w:val="4D0E00FB"/>
    <w:rsid w:val="4D176606"/>
    <w:rsid w:val="4D1D67F6"/>
    <w:rsid w:val="4D265A75"/>
    <w:rsid w:val="4D2A4B22"/>
    <w:rsid w:val="4D2C0BB1"/>
    <w:rsid w:val="4D3F49F0"/>
    <w:rsid w:val="4D746B23"/>
    <w:rsid w:val="4DB86AE6"/>
    <w:rsid w:val="4DD76D6F"/>
    <w:rsid w:val="4DEC4FB0"/>
    <w:rsid w:val="4DFC51E7"/>
    <w:rsid w:val="4E0062C6"/>
    <w:rsid w:val="4E075D8A"/>
    <w:rsid w:val="4E5B57DC"/>
    <w:rsid w:val="4E65437B"/>
    <w:rsid w:val="4E8B044C"/>
    <w:rsid w:val="4E913741"/>
    <w:rsid w:val="4E914A93"/>
    <w:rsid w:val="4E916F1E"/>
    <w:rsid w:val="4EB32690"/>
    <w:rsid w:val="4EC00FAD"/>
    <w:rsid w:val="4EC63D8E"/>
    <w:rsid w:val="4EDB38E7"/>
    <w:rsid w:val="4EEA322C"/>
    <w:rsid w:val="4F165675"/>
    <w:rsid w:val="4F2953A8"/>
    <w:rsid w:val="4F344880"/>
    <w:rsid w:val="4F534F16"/>
    <w:rsid w:val="4F6050C6"/>
    <w:rsid w:val="4F7D74A2"/>
    <w:rsid w:val="4F7E1699"/>
    <w:rsid w:val="4F9843DC"/>
    <w:rsid w:val="4FAA62A5"/>
    <w:rsid w:val="4FAE6A0C"/>
    <w:rsid w:val="4FC62A8C"/>
    <w:rsid w:val="4FDD5DBB"/>
    <w:rsid w:val="4FE20F0D"/>
    <w:rsid w:val="4FE51552"/>
    <w:rsid w:val="4FEF697B"/>
    <w:rsid w:val="50092FA9"/>
    <w:rsid w:val="501D030A"/>
    <w:rsid w:val="502344EE"/>
    <w:rsid w:val="50504C4B"/>
    <w:rsid w:val="50546455"/>
    <w:rsid w:val="505622BB"/>
    <w:rsid w:val="505F63E3"/>
    <w:rsid w:val="50895061"/>
    <w:rsid w:val="509C6E7C"/>
    <w:rsid w:val="50B03BC6"/>
    <w:rsid w:val="50C644A7"/>
    <w:rsid w:val="50F230E7"/>
    <w:rsid w:val="511641BA"/>
    <w:rsid w:val="514069D9"/>
    <w:rsid w:val="51614721"/>
    <w:rsid w:val="5162104E"/>
    <w:rsid w:val="516737F4"/>
    <w:rsid w:val="51B579BE"/>
    <w:rsid w:val="520076D4"/>
    <w:rsid w:val="52195BA8"/>
    <w:rsid w:val="521A4637"/>
    <w:rsid w:val="521C7446"/>
    <w:rsid w:val="521E05D9"/>
    <w:rsid w:val="5224454D"/>
    <w:rsid w:val="52376968"/>
    <w:rsid w:val="52644E71"/>
    <w:rsid w:val="52676552"/>
    <w:rsid w:val="526806C6"/>
    <w:rsid w:val="527A5F1B"/>
    <w:rsid w:val="52967C7B"/>
    <w:rsid w:val="5315148A"/>
    <w:rsid w:val="53210083"/>
    <w:rsid w:val="533C1349"/>
    <w:rsid w:val="533D25FA"/>
    <w:rsid w:val="535104CC"/>
    <w:rsid w:val="53537FC2"/>
    <w:rsid w:val="536B13F7"/>
    <w:rsid w:val="537F7B4C"/>
    <w:rsid w:val="539B3EAD"/>
    <w:rsid w:val="53A039CC"/>
    <w:rsid w:val="53A1505A"/>
    <w:rsid w:val="53C77C7D"/>
    <w:rsid w:val="53D146C7"/>
    <w:rsid w:val="53FC12DE"/>
    <w:rsid w:val="54063E08"/>
    <w:rsid w:val="54112699"/>
    <w:rsid w:val="541A5096"/>
    <w:rsid w:val="54212AF2"/>
    <w:rsid w:val="542720D3"/>
    <w:rsid w:val="5433798A"/>
    <w:rsid w:val="543437E8"/>
    <w:rsid w:val="54462559"/>
    <w:rsid w:val="547215A0"/>
    <w:rsid w:val="54C33BA9"/>
    <w:rsid w:val="54DE0AD5"/>
    <w:rsid w:val="54E81862"/>
    <w:rsid w:val="54F73313"/>
    <w:rsid w:val="54F80955"/>
    <w:rsid w:val="54F93EBC"/>
    <w:rsid w:val="54FE1085"/>
    <w:rsid w:val="55067F3A"/>
    <w:rsid w:val="55260388"/>
    <w:rsid w:val="552F123F"/>
    <w:rsid w:val="553474BB"/>
    <w:rsid w:val="55365402"/>
    <w:rsid w:val="555170A7"/>
    <w:rsid w:val="55727022"/>
    <w:rsid w:val="557A1216"/>
    <w:rsid w:val="5587536D"/>
    <w:rsid w:val="559B174B"/>
    <w:rsid w:val="559D3DE2"/>
    <w:rsid w:val="55B577AC"/>
    <w:rsid w:val="55CE0CF4"/>
    <w:rsid w:val="55D3606E"/>
    <w:rsid w:val="55E621CB"/>
    <w:rsid w:val="55E92A2C"/>
    <w:rsid w:val="55FD3BFE"/>
    <w:rsid w:val="56080E34"/>
    <w:rsid w:val="561A3C9D"/>
    <w:rsid w:val="56226C88"/>
    <w:rsid w:val="56325B45"/>
    <w:rsid w:val="56546007"/>
    <w:rsid w:val="56644F18"/>
    <w:rsid w:val="5667614F"/>
    <w:rsid w:val="56833B9F"/>
    <w:rsid w:val="568D0913"/>
    <w:rsid w:val="569E585C"/>
    <w:rsid w:val="56A43BB5"/>
    <w:rsid w:val="56B22A9C"/>
    <w:rsid w:val="56BC2FA6"/>
    <w:rsid w:val="572C4547"/>
    <w:rsid w:val="57326672"/>
    <w:rsid w:val="57376AD1"/>
    <w:rsid w:val="573A7234"/>
    <w:rsid w:val="57554542"/>
    <w:rsid w:val="578A6DE2"/>
    <w:rsid w:val="57932B88"/>
    <w:rsid w:val="57A31A70"/>
    <w:rsid w:val="57B72A76"/>
    <w:rsid w:val="57B8376D"/>
    <w:rsid w:val="57C3426C"/>
    <w:rsid w:val="57C83DDD"/>
    <w:rsid w:val="57CE1F93"/>
    <w:rsid w:val="57DE484E"/>
    <w:rsid w:val="58174B5C"/>
    <w:rsid w:val="581E6DFA"/>
    <w:rsid w:val="582C4D88"/>
    <w:rsid w:val="588743D1"/>
    <w:rsid w:val="5887701A"/>
    <w:rsid w:val="58AC2CFB"/>
    <w:rsid w:val="58C6010C"/>
    <w:rsid w:val="58D47DF5"/>
    <w:rsid w:val="58E35421"/>
    <w:rsid w:val="590D4982"/>
    <w:rsid w:val="590F193D"/>
    <w:rsid w:val="5926603E"/>
    <w:rsid w:val="592A78FC"/>
    <w:rsid w:val="59347E15"/>
    <w:rsid w:val="5944329C"/>
    <w:rsid w:val="594B0611"/>
    <w:rsid w:val="59592D2E"/>
    <w:rsid w:val="59617E35"/>
    <w:rsid w:val="5976568E"/>
    <w:rsid w:val="59A73A9A"/>
    <w:rsid w:val="59C0439F"/>
    <w:rsid w:val="59CB08E4"/>
    <w:rsid w:val="5A0F163F"/>
    <w:rsid w:val="5A132EDD"/>
    <w:rsid w:val="5A1E277B"/>
    <w:rsid w:val="5A64609F"/>
    <w:rsid w:val="5A866D10"/>
    <w:rsid w:val="5A8C07FB"/>
    <w:rsid w:val="5A93401E"/>
    <w:rsid w:val="5A941E1F"/>
    <w:rsid w:val="5A986165"/>
    <w:rsid w:val="5ABA7BFC"/>
    <w:rsid w:val="5ABE2233"/>
    <w:rsid w:val="5AD36B10"/>
    <w:rsid w:val="5AEA6805"/>
    <w:rsid w:val="5B117AFF"/>
    <w:rsid w:val="5B252ECE"/>
    <w:rsid w:val="5B3D5C55"/>
    <w:rsid w:val="5B410DC4"/>
    <w:rsid w:val="5B466B83"/>
    <w:rsid w:val="5B4C0421"/>
    <w:rsid w:val="5B5C3FBB"/>
    <w:rsid w:val="5BA37FC2"/>
    <w:rsid w:val="5BB24978"/>
    <w:rsid w:val="5BDF5D95"/>
    <w:rsid w:val="5BF62AB6"/>
    <w:rsid w:val="5BFE7528"/>
    <w:rsid w:val="5C1D0043"/>
    <w:rsid w:val="5C2A2760"/>
    <w:rsid w:val="5C311D40"/>
    <w:rsid w:val="5C3B671B"/>
    <w:rsid w:val="5C612FD5"/>
    <w:rsid w:val="5C8E7EC3"/>
    <w:rsid w:val="5C97561B"/>
    <w:rsid w:val="5C9B41FC"/>
    <w:rsid w:val="5C9C0433"/>
    <w:rsid w:val="5CC74453"/>
    <w:rsid w:val="5CE62796"/>
    <w:rsid w:val="5CF75A42"/>
    <w:rsid w:val="5D0C49FD"/>
    <w:rsid w:val="5D2418A5"/>
    <w:rsid w:val="5D6A35D0"/>
    <w:rsid w:val="5DD15589"/>
    <w:rsid w:val="5DEB4749"/>
    <w:rsid w:val="5DFD637E"/>
    <w:rsid w:val="5E10039E"/>
    <w:rsid w:val="5E2467F1"/>
    <w:rsid w:val="5E40232F"/>
    <w:rsid w:val="5E412C61"/>
    <w:rsid w:val="5E540FCF"/>
    <w:rsid w:val="5E622685"/>
    <w:rsid w:val="5E7F7490"/>
    <w:rsid w:val="5E8C325E"/>
    <w:rsid w:val="5EA43E37"/>
    <w:rsid w:val="5EAA7B89"/>
    <w:rsid w:val="5EF776BC"/>
    <w:rsid w:val="5EF86946"/>
    <w:rsid w:val="5F1A2B43"/>
    <w:rsid w:val="5F4B4C7B"/>
    <w:rsid w:val="5F4C7FB8"/>
    <w:rsid w:val="5F531FCE"/>
    <w:rsid w:val="5F5C5FB8"/>
    <w:rsid w:val="5F61293D"/>
    <w:rsid w:val="5F8422B8"/>
    <w:rsid w:val="5F854DD5"/>
    <w:rsid w:val="5F97635E"/>
    <w:rsid w:val="5FB52C88"/>
    <w:rsid w:val="5FB54A36"/>
    <w:rsid w:val="5FB837BB"/>
    <w:rsid w:val="5FD305DD"/>
    <w:rsid w:val="5FF124DC"/>
    <w:rsid w:val="5FF754B7"/>
    <w:rsid w:val="60030525"/>
    <w:rsid w:val="601C6962"/>
    <w:rsid w:val="60206354"/>
    <w:rsid w:val="603923CB"/>
    <w:rsid w:val="60620F67"/>
    <w:rsid w:val="60693CE0"/>
    <w:rsid w:val="607D0952"/>
    <w:rsid w:val="607E588E"/>
    <w:rsid w:val="60C03058"/>
    <w:rsid w:val="60CC405A"/>
    <w:rsid w:val="60E05AE3"/>
    <w:rsid w:val="60F1342B"/>
    <w:rsid w:val="61665FE8"/>
    <w:rsid w:val="617C3A5E"/>
    <w:rsid w:val="61877B8B"/>
    <w:rsid w:val="61973485"/>
    <w:rsid w:val="61AB60F1"/>
    <w:rsid w:val="61AD2D44"/>
    <w:rsid w:val="61DE683B"/>
    <w:rsid w:val="61E215D8"/>
    <w:rsid w:val="62046881"/>
    <w:rsid w:val="62105B23"/>
    <w:rsid w:val="621A0401"/>
    <w:rsid w:val="621B3775"/>
    <w:rsid w:val="62231469"/>
    <w:rsid w:val="62255429"/>
    <w:rsid w:val="622E70A1"/>
    <w:rsid w:val="62314E00"/>
    <w:rsid w:val="623161EC"/>
    <w:rsid w:val="62364782"/>
    <w:rsid w:val="623B3444"/>
    <w:rsid w:val="624900B1"/>
    <w:rsid w:val="625A33E9"/>
    <w:rsid w:val="629E2771"/>
    <w:rsid w:val="62B92A90"/>
    <w:rsid w:val="62D578C9"/>
    <w:rsid w:val="62FE04A2"/>
    <w:rsid w:val="63043D0B"/>
    <w:rsid w:val="63133F4E"/>
    <w:rsid w:val="631A5562"/>
    <w:rsid w:val="63202106"/>
    <w:rsid w:val="63332842"/>
    <w:rsid w:val="634405AB"/>
    <w:rsid w:val="63660F98"/>
    <w:rsid w:val="6394356A"/>
    <w:rsid w:val="639642B2"/>
    <w:rsid w:val="63C61B2C"/>
    <w:rsid w:val="63C94F54"/>
    <w:rsid w:val="63D40BE9"/>
    <w:rsid w:val="63F91396"/>
    <w:rsid w:val="63FF6723"/>
    <w:rsid w:val="64102431"/>
    <w:rsid w:val="642D7FAE"/>
    <w:rsid w:val="6438290C"/>
    <w:rsid w:val="645837C4"/>
    <w:rsid w:val="646122F9"/>
    <w:rsid w:val="6464026A"/>
    <w:rsid w:val="646F08D5"/>
    <w:rsid w:val="648E467A"/>
    <w:rsid w:val="64A02AF8"/>
    <w:rsid w:val="64A34A06"/>
    <w:rsid w:val="64A5243A"/>
    <w:rsid w:val="64B41760"/>
    <w:rsid w:val="64EB0FD9"/>
    <w:rsid w:val="64F531DE"/>
    <w:rsid w:val="64F81422"/>
    <w:rsid w:val="64FD13AB"/>
    <w:rsid w:val="65071890"/>
    <w:rsid w:val="651641C9"/>
    <w:rsid w:val="651B7C8F"/>
    <w:rsid w:val="65373578"/>
    <w:rsid w:val="65582843"/>
    <w:rsid w:val="65D03017"/>
    <w:rsid w:val="65FF5165"/>
    <w:rsid w:val="66000BE8"/>
    <w:rsid w:val="662F770B"/>
    <w:rsid w:val="665705F5"/>
    <w:rsid w:val="66703465"/>
    <w:rsid w:val="66814C28"/>
    <w:rsid w:val="66993944"/>
    <w:rsid w:val="669D5738"/>
    <w:rsid w:val="66AD2B19"/>
    <w:rsid w:val="66BE6020"/>
    <w:rsid w:val="67102128"/>
    <w:rsid w:val="671F124A"/>
    <w:rsid w:val="6729598A"/>
    <w:rsid w:val="672E6623"/>
    <w:rsid w:val="677A33C6"/>
    <w:rsid w:val="677E6D41"/>
    <w:rsid w:val="67CA4DF7"/>
    <w:rsid w:val="67DD4B2A"/>
    <w:rsid w:val="67DF6D0B"/>
    <w:rsid w:val="680447AD"/>
    <w:rsid w:val="680F42D2"/>
    <w:rsid w:val="681F6961"/>
    <w:rsid w:val="68395ABA"/>
    <w:rsid w:val="684D75AC"/>
    <w:rsid w:val="685D1CC6"/>
    <w:rsid w:val="68610A2F"/>
    <w:rsid w:val="6863170B"/>
    <w:rsid w:val="688020CA"/>
    <w:rsid w:val="68805514"/>
    <w:rsid w:val="6885769C"/>
    <w:rsid w:val="68935695"/>
    <w:rsid w:val="68AF699E"/>
    <w:rsid w:val="68B25FB7"/>
    <w:rsid w:val="68C331B9"/>
    <w:rsid w:val="69006820"/>
    <w:rsid w:val="691E53FA"/>
    <w:rsid w:val="69316E2F"/>
    <w:rsid w:val="694E2071"/>
    <w:rsid w:val="6972273D"/>
    <w:rsid w:val="69766163"/>
    <w:rsid w:val="697A3B33"/>
    <w:rsid w:val="6994390F"/>
    <w:rsid w:val="69A2427D"/>
    <w:rsid w:val="69A73642"/>
    <w:rsid w:val="69CB581E"/>
    <w:rsid w:val="69D44760"/>
    <w:rsid w:val="69DB189F"/>
    <w:rsid w:val="69DF2405"/>
    <w:rsid w:val="6A2107F6"/>
    <w:rsid w:val="6A39656C"/>
    <w:rsid w:val="6A507835"/>
    <w:rsid w:val="6A520EC7"/>
    <w:rsid w:val="6A570BC4"/>
    <w:rsid w:val="6A5C442C"/>
    <w:rsid w:val="6A774B85"/>
    <w:rsid w:val="6A78793A"/>
    <w:rsid w:val="6AC7760B"/>
    <w:rsid w:val="6AD42D58"/>
    <w:rsid w:val="6AED1528"/>
    <w:rsid w:val="6AF87E20"/>
    <w:rsid w:val="6B022971"/>
    <w:rsid w:val="6B0F26C2"/>
    <w:rsid w:val="6B2B454C"/>
    <w:rsid w:val="6B322639"/>
    <w:rsid w:val="6B43739A"/>
    <w:rsid w:val="6B581098"/>
    <w:rsid w:val="6B6537B4"/>
    <w:rsid w:val="6B680BAF"/>
    <w:rsid w:val="6B741BC2"/>
    <w:rsid w:val="6B804333"/>
    <w:rsid w:val="6B8A4FC9"/>
    <w:rsid w:val="6B911907"/>
    <w:rsid w:val="6BB64010"/>
    <w:rsid w:val="6BC062BF"/>
    <w:rsid w:val="6BD44D33"/>
    <w:rsid w:val="6BD91AAD"/>
    <w:rsid w:val="6BE0108D"/>
    <w:rsid w:val="6BEF0C80"/>
    <w:rsid w:val="6BFB6DB8"/>
    <w:rsid w:val="6C050161"/>
    <w:rsid w:val="6C223454"/>
    <w:rsid w:val="6C511D45"/>
    <w:rsid w:val="6C5C00D6"/>
    <w:rsid w:val="6C636C38"/>
    <w:rsid w:val="6C7D068A"/>
    <w:rsid w:val="6C81461E"/>
    <w:rsid w:val="6C8519DA"/>
    <w:rsid w:val="6C903958"/>
    <w:rsid w:val="6C966FB6"/>
    <w:rsid w:val="6CB95B66"/>
    <w:rsid w:val="6CC16966"/>
    <w:rsid w:val="6CC51093"/>
    <w:rsid w:val="6CD00A8F"/>
    <w:rsid w:val="6CE64481"/>
    <w:rsid w:val="6CFA128D"/>
    <w:rsid w:val="6D0843F7"/>
    <w:rsid w:val="6D1234C8"/>
    <w:rsid w:val="6D3005DF"/>
    <w:rsid w:val="6D390A55"/>
    <w:rsid w:val="6D9E4D5C"/>
    <w:rsid w:val="6DB34098"/>
    <w:rsid w:val="6DB545B6"/>
    <w:rsid w:val="6DBA2755"/>
    <w:rsid w:val="6DBE0F5A"/>
    <w:rsid w:val="6DC661A2"/>
    <w:rsid w:val="6DE02FB4"/>
    <w:rsid w:val="6E0E1190"/>
    <w:rsid w:val="6E0E7291"/>
    <w:rsid w:val="6E1B63AC"/>
    <w:rsid w:val="6E250FD9"/>
    <w:rsid w:val="6E491E80"/>
    <w:rsid w:val="6E514CED"/>
    <w:rsid w:val="6E712470"/>
    <w:rsid w:val="6E753D0F"/>
    <w:rsid w:val="6E853DBE"/>
    <w:rsid w:val="6EAE593E"/>
    <w:rsid w:val="6EB563D5"/>
    <w:rsid w:val="6EB74327"/>
    <w:rsid w:val="6EBE3907"/>
    <w:rsid w:val="6ED053E9"/>
    <w:rsid w:val="6ED92677"/>
    <w:rsid w:val="6EDB0195"/>
    <w:rsid w:val="6EF94940"/>
    <w:rsid w:val="6F225983"/>
    <w:rsid w:val="6F250CF6"/>
    <w:rsid w:val="6F435239"/>
    <w:rsid w:val="6F6D491A"/>
    <w:rsid w:val="6F8A37EA"/>
    <w:rsid w:val="6F8B6E2B"/>
    <w:rsid w:val="6F9B0863"/>
    <w:rsid w:val="6FA263F1"/>
    <w:rsid w:val="6FFC5590"/>
    <w:rsid w:val="6FFD045F"/>
    <w:rsid w:val="702B05FF"/>
    <w:rsid w:val="702D068A"/>
    <w:rsid w:val="70651B61"/>
    <w:rsid w:val="706D1DD0"/>
    <w:rsid w:val="70700C31"/>
    <w:rsid w:val="70856B87"/>
    <w:rsid w:val="70AA17C4"/>
    <w:rsid w:val="70B54896"/>
    <w:rsid w:val="70CE694A"/>
    <w:rsid w:val="70D527EE"/>
    <w:rsid w:val="70F7175E"/>
    <w:rsid w:val="711F0263"/>
    <w:rsid w:val="713E2ADE"/>
    <w:rsid w:val="715B5300"/>
    <w:rsid w:val="71847D99"/>
    <w:rsid w:val="719417C0"/>
    <w:rsid w:val="71BE5882"/>
    <w:rsid w:val="71C34D91"/>
    <w:rsid w:val="71D27F8A"/>
    <w:rsid w:val="72062ED0"/>
    <w:rsid w:val="72310434"/>
    <w:rsid w:val="723B55F8"/>
    <w:rsid w:val="723F26E7"/>
    <w:rsid w:val="72553024"/>
    <w:rsid w:val="72803E9E"/>
    <w:rsid w:val="729839CF"/>
    <w:rsid w:val="72A02D9E"/>
    <w:rsid w:val="72A746B3"/>
    <w:rsid w:val="72B51240"/>
    <w:rsid w:val="72CB6B25"/>
    <w:rsid w:val="72EE6B5E"/>
    <w:rsid w:val="73103A23"/>
    <w:rsid w:val="73122968"/>
    <w:rsid w:val="731F5D5E"/>
    <w:rsid w:val="733E234E"/>
    <w:rsid w:val="735E4456"/>
    <w:rsid w:val="73601B58"/>
    <w:rsid w:val="73661E78"/>
    <w:rsid w:val="73BA4C48"/>
    <w:rsid w:val="73C51AD5"/>
    <w:rsid w:val="73CC536D"/>
    <w:rsid w:val="73D47E32"/>
    <w:rsid w:val="73FF07E0"/>
    <w:rsid w:val="74054864"/>
    <w:rsid w:val="741E793C"/>
    <w:rsid w:val="74336496"/>
    <w:rsid w:val="743E1047"/>
    <w:rsid w:val="74561EEC"/>
    <w:rsid w:val="745B3D7D"/>
    <w:rsid w:val="745E3944"/>
    <w:rsid w:val="74655091"/>
    <w:rsid w:val="74823B06"/>
    <w:rsid w:val="7496678D"/>
    <w:rsid w:val="749C0FAE"/>
    <w:rsid w:val="74C02E7E"/>
    <w:rsid w:val="74DF66C8"/>
    <w:rsid w:val="74E12CBB"/>
    <w:rsid w:val="74E360FC"/>
    <w:rsid w:val="750A4C07"/>
    <w:rsid w:val="750D185B"/>
    <w:rsid w:val="751F49D4"/>
    <w:rsid w:val="752D1CFC"/>
    <w:rsid w:val="756B5E6B"/>
    <w:rsid w:val="7573566B"/>
    <w:rsid w:val="75864A53"/>
    <w:rsid w:val="759527DF"/>
    <w:rsid w:val="75A90742"/>
    <w:rsid w:val="75BC1701"/>
    <w:rsid w:val="75FD47E4"/>
    <w:rsid w:val="760A0D32"/>
    <w:rsid w:val="761248D7"/>
    <w:rsid w:val="76165729"/>
    <w:rsid w:val="761C7166"/>
    <w:rsid w:val="7635099D"/>
    <w:rsid w:val="7657019E"/>
    <w:rsid w:val="76592168"/>
    <w:rsid w:val="766A7ED1"/>
    <w:rsid w:val="7671125F"/>
    <w:rsid w:val="76760624"/>
    <w:rsid w:val="76820AEE"/>
    <w:rsid w:val="769B6E27"/>
    <w:rsid w:val="76A35CBA"/>
    <w:rsid w:val="76AE24B4"/>
    <w:rsid w:val="76BF37DB"/>
    <w:rsid w:val="76CE356D"/>
    <w:rsid w:val="771930B1"/>
    <w:rsid w:val="772A44A0"/>
    <w:rsid w:val="776F52B5"/>
    <w:rsid w:val="77737259"/>
    <w:rsid w:val="77762421"/>
    <w:rsid w:val="778D18BF"/>
    <w:rsid w:val="779571D0"/>
    <w:rsid w:val="77A45665"/>
    <w:rsid w:val="77A967D7"/>
    <w:rsid w:val="77B21B30"/>
    <w:rsid w:val="77B56B1F"/>
    <w:rsid w:val="77EB561F"/>
    <w:rsid w:val="77F54AD9"/>
    <w:rsid w:val="780F09F4"/>
    <w:rsid w:val="78753AC2"/>
    <w:rsid w:val="789E20B4"/>
    <w:rsid w:val="78A90480"/>
    <w:rsid w:val="78CB48EE"/>
    <w:rsid w:val="78F148D9"/>
    <w:rsid w:val="79094BEA"/>
    <w:rsid w:val="7938079C"/>
    <w:rsid w:val="79820617"/>
    <w:rsid w:val="798C693F"/>
    <w:rsid w:val="79986B03"/>
    <w:rsid w:val="79A76158"/>
    <w:rsid w:val="79C913B2"/>
    <w:rsid w:val="79DD5887"/>
    <w:rsid w:val="7A13262E"/>
    <w:rsid w:val="7A206D05"/>
    <w:rsid w:val="7A364017"/>
    <w:rsid w:val="7A6D1D3E"/>
    <w:rsid w:val="7A8265E1"/>
    <w:rsid w:val="7A963FF2"/>
    <w:rsid w:val="7AA12E2B"/>
    <w:rsid w:val="7AE71DB9"/>
    <w:rsid w:val="7B1E74DC"/>
    <w:rsid w:val="7B292109"/>
    <w:rsid w:val="7B337419"/>
    <w:rsid w:val="7B59055D"/>
    <w:rsid w:val="7B59489F"/>
    <w:rsid w:val="7B686D42"/>
    <w:rsid w:val="7B841746"/>
    <w:rsid w:val="7B8732D3"/>
    <w:rsid w:val="7B9D2AF7"/>
    <w:rsid w:val="7B9D6653"/>
    <w:rsid w:val="7BA20772"/>
    <w:rsid w:val="7BB25EEA"/>
    <w:rsid w:val="7BCB4C0D"/>
    <w:rsid w:val="7BD00A19"/>
    <w:rsid w:val="7BD24E35"/>
    <w:rsid w:val="7BD77DB7"/>
    <w:rsid w:val="7BFD120D"/>
    <w:rsid w:val="7C0105B4"/>
    <w:rsid w:val="7C1A1591"/>
    <w:rsid w:val="7C207337"/>
    <w:rsid w:val="7C222636"/>
    <w:rsid w:val="7C296D4D"/>
    <w:rsid w:val="7C4B4301"/>
    <w:rsid w:val="7C66113B"/>
    <w:rsid w:val="7C6C5AC7"/>
    <w:rsid w:val="7C75137E"/>
    <w:rsid w:val="7CBE2D25"/>
    <w:rsid w:val="7CC13438"/>
    <w:rsid w:val="7CC6544B"/>
    <w:rsid w:val="7CE53111"/>
    <w:rsid w:val="7D0239FF"/>
    <w:rsid w:val="7D0C1CE2"/>
    <w:rsid w:val="7D16032D"/>
    <w:rsid w:val="7D1961AD"/>
    <w:rsid w:val="7D1E15D4"/>
    <w:rsid w:val="7D25730D"/>
    <w:rsid w:val="7D2708A6"/>
    <w:rsid w:val="7D2747F6"/>
    <w:rsid w:val="7D5926DA"/>
    <w:rsid w:val="7D5E40CD"/>
    <w:rsid w:val="7DAA3D4D"/>
    <w:rsid w:val="7DC611BF"/>
    <w:rsid w:val="7DCD56F2"/>
    <w:rsid w:val="7DD65E4C"/>
    <w:rsid w:val="7E106C5D"/>
    <w:rsid w:val="7E130973"/>
    <w:rsid w:val="7E245210"/>
    <w:rsid w:val="7E2453C6"/>
    <w:rsid w:val="7E333908"/>
    <w:rsid w:val="7E364C61"/>
    <w:rsid w:val="7E3E411D"/>
    <w:rsid w:val="7E953F59"/>
    <w:rsid w:val="7E9E0514"/>
    <w:rsid w:val="7EA63A70"/>
    <w:rsid w:val="7EB006E5"/>
    <w:rsid w:val="7EF26CB5"/>
    <w:rsid w:val="7F001CE7"/>
    <w:rsid w:val="7F0D6DD3"/>
    <w:rsid w:val="7F1B26B0"/>
    <w:rsid w:val="7F2630DF"/>
    <w:rsid w:val="7F2635B0"/>
    <w:rsid w:val="7FA838F8"/>
    <w:rsid w:val="7FBA0AE3"/>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semiHidden="0" w:name="heading 2" w:locked="1"/>
    <w:lsdException w:qFormat="1" w:uiPriority="0" w:semiHidden="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semiHidden="0" w:name="toc 2" w:locked="1"/>
    <w:lsdException w:qFormat="1"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unhideWhenUsed="0" w:uiPriority="0" w:semiHidden="0" w:name="annotation reference"/>
    <w:lsdException w:unhideWhenUsed="0" w:uiPriority="0" w:semiHidden="0" w:name="line number" w:locked="1"/>
    <w:lsdException w:unhideWhenUsed="0" w:uiPriority="0" w:semiHidden="0" w:name="page number"/>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iPriority="99"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unhideWhenUsed="0" w:uiPriority="0" w:semiHidden="0" w:name="Date"/>
    <w:lsdException w:qFormat="1" w:unhideWhenUsed="0" w:uiPriority="0" w:semiHidden="0" w:name="Body Text First Indent"/>
    <w:lsdException w:unhideWhenUsed="0" w:uiPriority="0" w:semiHidden="0" w:name="Body Text First Indent 2" w:locked="1"/>
    <w:lsdException w:qFormat="1"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unhideWhenUsed="0" w:uiPriority="0" w:semiHidden="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nhideWhenUsed="0" w:uiPriority="0" w:semiHidden="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unhideWhenUsed/>
    <w:qFormat/>
    <w:locked/>
    <w:uiPriority w:val="0"/>
    <w:pPr>
      <w:keepNext/>
      <w:keepLines/>
      <w:spacing w:beforeLines="0" w:beforeAutospacing="0" w:afterLines="0" w:afterAutospacing="0" w:line="360" w:lineRule="auto"/>
      <w:jc w:val="left"/>
      <w:outlineLvl w:val="1"/>
    </w:pPr>
    <w:rPr>
      <w:rFonts w:ascii="Times New Roman" w:hAnsi="Times New Roman" w:eastAsia="宋体"/>
      <w:sz w:val="28"/>
    </w:rPr>
  </w:style>
  <w:style w:type="paragraph" w:styleId="4">
    <w:name w:val="heading 3"/>
    <w:basedOn w:val="1"/>
    <w:next w:val="5"/>
    <w:unhideWhenUsed/>
    <w:qFormat/>
    <w:locked/>
    <w:uiPriority w:val="0"/>
    <w:pPr>
      <w:keepNext/>
      <w:keepLines/>
      <w:spacing w:beforeLines="0" w:beforeAutospacing="0" w:afterLines="0" w:afterAutospacing="0" w:line="360" w:lineRule="auto"/>
      <w:jc w:val="left"/>
      <w:outlineLvl w:val="2"/>
    </w:pPr>
    <w:rPr>
      <w:rFonts w:ascii="Times New Roman" w:hAnsi="Times New Roman" w:eastAsia="宋体"/>
      <w:b/>
      <w:sz w:val="24"/>
    </w:rPr>
  </w:style>
  <w:style w:type="paragraph" w:styleId="6">
    <w:name w:val="heading 4"/>
    <w:basedOn w:val="1"/>
    <w:next w:val="7"/>
    <w:link w:val="26"/>
    <w:unhideWhenUsed/>
    <w:qFormat/>
    <w:locked/>
    <w:uiPriority w:val="0"/>
    <w:pPr>
      <w:keepNext/>
      <w:keepLines/>
      <w:spacing w:before="280" w:beforeLines="0" w:beforeAutospacing="0" w:after="290" w:afterLines="0" w:afterAutospacing="0" w:line="240" w:lineRule="auto"/>
      <w:jc w:val="center"/>
      <w:outlineLvl w:val="3"/>
    </w:pPr>
    <w:rPr>
      <w:rFonts w:ascii="Times New Roman" w:hAnsi="Times New Roman" w:eastAsia="黑体"/>
      <w:sz w:val="30"/>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5">
    <w:name w:val="正文内容"/>
    <w:basedOn w:val="1"/>
    <w:link w:val="29"/>
    <w:qFormat/>
    <w:uiPriority w:val="0"/>
    <w:pPr>
      <w:spacing w:line="360" w:lineRule="auto"/>
      <w:ind w:firstLine="720" w:firstLineChars="200"/>
    </w:pPr>
    <w:rPr>
      <w:rFonts w:ascii="Times New Roman" w:hAnsi="Times New Roman" w:eastAsia="宋体" w:cs="宋体"/>
      <w:sz w:val="24"/>
    </w:rPr>
  </w:style>
  <w:style w:type="paragraph" w:styleId="7">
    <w:name w:val="Body Text"/>
    <w:basedOn w:val="1"/>
    <w:next w:val="1"/>
    <w:qFormat/>
    <w:uiPriority w:val="0"/>
    <w:pPr>
      <w:widowControl/>
      <w:snapToGrid w:val="0"/>
      <w:spacing w:before="60" w:after="160" w:line="259" w:lineRule="auto"/>
      <w:ind w:right="113"/>
    </w:pPr>
    <w:rPr>
      <w:kern w:val="0"/>
      <w:sz w:val="18"/>
      <w:szCs w:val="20"/>
    </w:rPr>
  </w:style>
  <w:style w:type="paragraph" w:styleId="8">
    <w:name w:val="Note Heading"/>
    <w:basedOn w:val="1"/>
    <w:next w:val="1"/>
    <w:qFormat/>
    <w:locked/>
    <w:uiPriority w:val="0"/>
    <w:pPr>
      <w:widowControl w:val="0"/>
      <w:jc w:val="center"/>
    </w:pPr>
    <w:rPr>
      <w:rFonts w:ascii="Times New Roman" w:hAnsi="Times New Roman" w:cs="Times New Roman"/>
      <w:kern w:val="2"/>
      <w:sz w:val="21"/>
    </w:rPr>
  </w:style>
  <w:style w:type="paragraph" w:styleId="9">
    <w:name w:val="Normal Indent"/>
    <w:basedOn w:val="1"/>
    <w:next w:val="1"/>
    <w:qFormat/>
    <w:locked/>
    <w:uiPriority w:val="0"/>
    <w:pPr>
      <w:wordWrap w:val="0"/>
      <w:overflowPunct w:val="0"/>
      <w:topLinePunct/>
      <w:adjustRightInd w:val="0"/>
      <w:spacing w:line="360" w:lineRule="auto"/>
      <w:ind w:firstLine="420" w:firstLineChars="200"/>
    </w:pPr>
    <w:rPr>
      <w:kern w:val="28"/>
      <w:sz w:val="28"/>
      <w:szCs w:val="22"/>
    </w:rPr>
  </w:style>
  <w:style w:type="paragraph" w:styleId="10">
    <w:name w:val="annotation text"/>
    <w:basedOn w:val="1"/>
    <w:qFormat/>
    <w:uiPriority w:val="0"/>
    <w:pPr>
      <w:jc w:val="left"/>
    </w:pPr>
  </w:style>
  <w:style w:type="paragraph" w:styleId="11">
    <w:name w:val="toc 3"/>
    <w:basedOn w:val="1"/>
    <w:next w:val="1"/>
    <w:qFormat/>
    <w:locked/>
    <w:uiPriority w:val="0"/>
    <w:pPr>
      <w:ind w:left="840" w:leftChars="400"/>
    </w:pPr>
  </w:style>
  <w:style w:type="paragraph" w:styleId="12">
    <w:name w:val="Plain Text"/>
    <w:basedOn w:val="1"/>
    <w:next w:val="1"/>
    <w:qFormat/>
    <w:locked/>
    <w:uiPriority w:val="0"/>
    <w:rPr>
      <w:rFonts w:ascii="宋体" w:hAnsi="Courier New" w:cs="Courier New"/>
      <w:szCs w:val="21"/>
    </w:rPr>
  </w:style>
  <w:style w:type="paragraph" w:styleId="13">
    <w:name w:val="footer"/>
    <w:basedOn w:val="1"/>
    <w:qFormat/>
    <w:uiPriority w:val="0"/>
    <w:pPr>
      <w:tabs>
        <w:tab w:val="center" w:pos="4153"/>
        <w:tab w:val="right" w:pos="8306"/>
      </w:tabs>
      <w:snapToGrid w:val="0"/>
      <w:jc w:val="left"/>
    </w:pPr>
    <w:rPr>
      <w:sz w:val="18"/>
    </w:rPr>
  </w:style>
  <w:style w:type="paragraph" w:styleId="14">
    <w:name w:val="toc 1"/>
    <w:basedOn w:val="1"/>
    <w:next w:val="1"/>
    <w:qFormat/>
    <w:locked/>
    <w:uiPriority w:val="0"/>
  </w:style>
  <w:style w:type="paragraph" w:styleId="15">
    <w:name w:val="List"/>
    <w:basedOn w:val="1"/>
    <w:unhideWhenUsed/>
    <w:qFormat/>
    <w:locked/>
    <w:uiPriority w:val="99"/>
    <w:pPr>
      <w:ind w:left="200" w:hanging="200" w:hangingChars="200"/>
      <w:contextualSpacing/>
    </w:pPr>
  </w:style>
  <w:style w:type="paragraph" w:styleId="16">
    <w:name w:val="toc 2"/>
    <w:basedOn w:val="1"/>
    <w:next w:val="1"/>
    <w:qFormat/>
    <w:locked/>
    <w:uiPriority w:val="0"/>
    <w:pPr>
      <w:ind w:left="420" w:leftChars="200"/>
    </w:p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7"/>
    <w:next w:val="1"/>
    <w:qFormat/>
    <w:uiPriority w:val="0"/>
    <w:pPr>
      <w:ind w:firstLine="420" w:firstLineChars="100"/>
    </w:pPr>
  </w:style>
  <w:style w:type="table" w:styleId="20">
    <w:name w:val="Table Grid"/>
    <w:basedOn w:val="19"/>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locked/>
    <w:uiPriority w:val="0"/>
    <w:rPr>
      <w:b/>
    </w:rPr>
  </w:style>
  <w:style w:type="paragraph" w:customStyle="1" w:styleId="23">
    <w:name w:val="Default"/>
    <w:basedOn w:val="24"/>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24">
    <w:name w:val="纯文本1"/>
    <w:basedOn w:val="1"/>
    <w:next w:val="12"/>
    <w:qFormat/>
    <w:uiPriority w:val="99"/>
    <w:rPr>
      <w:rFonts w:ascii="宋体" w:hAnsi="Courier New" w:eastAsia="宋体" w:cs="黑体"/>
      <w:szCs w:val="21"/>
    </w:rPr>
  </w:style>
  <w:style w:type="paragraph" w:customStyle="1" w:styleId="25">
    <w:name w:val="正文(首行缩进)"/>
    <w:basedOn w:val="1"/>
    <w:qFormat/>
    <w:uiPriority w:val="0"/>
    <w:pPr>
      <w:adjustRightInd w:val="0"/>
      <w:snapToGrid w:val="0"/>
      <w:spacing w:line="360" w:lineRule="auto"/>
      <w:ind w:firstLine="200" w:firstLineChars="200"/>
    </w:pPr>
    <w:rPr>
      <w:snapToGrid w:val="0"/>
      <w:szCs w:val="24"/>
    </w:rPr>
  </w:style>
  <w:style w:type="character" w:customStyle="1" w:styleId="26">
    <w:name w:val="标题 4 Char"/>
    <w:link w:val="6"/>
    <w:qFormat/>
    <w:uiPriority w:val="0"/>
    <w:rPr>
      <w:rFonts w:ascii="Times New Roman" w:hAnsi="Times New Roman" w:eastAsia="黑体"/>
      <w:sz w:val="30"/>
    </w:rPr>
  </w:style>
  <w:style w:type="paragraph" w:customStyle="1" w:styleId="27">
    <w:name w:val="屠彪标题"/>
    <w:basedOn w:val="1"/>
    <w:qFormat/>
    <w:uiPriority w:val="0"/>
    <w:pPr>
      <w:adjustRightInd w:val="0"/>
      <w:snapToGrid w:val="0"/>
      <w:spacing w:before="10" w:beforeLines="18" w:after="10" w:afterLines="18"/>
      <w:jc w:val="center"/>
    </w:pPr>
    <w:rPr>
      <w:rFonts w:ascii="Times New Roman" w:hAnsi="Times New Roman" w:eastAsia="宋体"/>
      <w:b/>
      <w:kern w:val="0"/>
      <w:sz w:val="24"/>
      <w:szCs w:val="20"/>
    </w:rPr>
  </w:style>
  <w:style w:type="character" w:customStyle="1" w:styleId="28">
    <w:name w:val="正文内容 Char"/>
    <w:link w:val="5"/>
    <w:qFormat/>
    <w:uiPriority w:val="0"/>
    <w:rPr>
      <w:rFonts w:ascii="Times New Roman" w:hAnsi="Times New Roman" w:eastAsia="宋体" w:cs="宋体"/>
      <w:sz w:val="24"/>
    </w:rPr>
  </w:style>
  <w:style w:type="character" w:customStyle="1" w:styleId="29">
    <w:name w:val="正文内容 Char1"/>
    <w:link w:val="5"/>
    <w:qFormat/>
    <w:uiPriority w:val="0"/>
    <w:rPr>
      <w:rFonts w:ascii="Times New Roman" w:hAnsi="Times New Roman" w:eastAsia="宋体" w:cs="宋体"/>
      <w:sz w:val="24"/>
    </w:rPr>
  </w:style>
  <w:style w:type="paragraph" w:customStyle="1" w:styleId="30">
    <w:name w:val="彪哥文本"/>
    <w:basedOn w:val="1"/>
    <w:next w:val="1"/>
    <w:link w:val="31"/>
    <w:qFormat/>
    <w:uiPriority w:val="0"/>
    <w:pPr>
      <w:adjustRightInd w:val="0"/>
      <w:snapToGrid w:val="0"/>
      <w:spacing w:before="10" w:beforeLines="18" w:after="10" w:afterLines="18" w:line="240" w:lineRule="auto"/>
      <w:jc w:val="center"/>
    </w:pPr>
    <w:rPr>
      <w:rFonts w:ascii="Times New Roman" w:hAnsi="Times New Roman" w:eastAsia="宋体"/>
      <w:kern w:val="0"/>
      <w:szCs w:val="20"/>
    </w:rPr>
  </w:style>
  <w:style w:type="character" w:customStyle="1" w:styleId="31">
    <w:name w:val="表格 Char"/>
    <w:link w:val="30"/>
    <w:qFormat/>
    <w:locked/>
    <w:uiPriority w:val="0"/>
    <w:rPr>
      <w:rFonts w:ascii="Times New Roman" w:hAnsi="Times New Roman" w:eastAsia="宋体"/>
      <w:sz w:val="21"/>
    </w:rPr>
  </w:style>
  <w:style w:type="paragraph" w:customStyle="1" w:styleId="32">
    <w:name w:val="福建标题"/>
    <w:basedOn w:val="1"/>
    <w:qFormat/>
    <w:uiPriority w:val="0"/>
    <w:pPr>
      <w:spacing w:line="240" w:lineRule="atLeast"/>
      <w:jc w:val="left"/>
    </w:pPr>
    <w:rPr>
      <w:rFonts w:ascii="Times New Roman" w:hAnsi="Times New Roman" w:eastAsia="宋体" w:cs="方正仿宋_GB2312"/>
      <w:b/>
      <w:sz w:val="28"/>
      <w:szCs w:val="36"/>
    </w:rPr>
  </w:style>
  <w:style w:type="paragraph" w:customStyle="1" w:styleId="33">
    <w:name w:val="标题3"/>
    <w:basedOn w:val="1"/>
    <w:qFormat/>
    <w:uiPriority w:val="0"/>
    <w:pPr>
      <w:spacing w:line="360" w:lineRule="auto"/>
      <w:outlineLvl w:val="2"/>
    </w:pPr>
    <w:rPr>
      <w:b/>
      <w:sz w:val="24"/>
    </w:rPr>
  </w:style>
  <w:style w:type="paragraph" w:customStyle="1" w:styleId="34">
    <w:name w:val="表正文"/>
    <w:basedOn w:val="1"/>
    <w:qFormat/>
    <w:uiPriority w:val="0"/>
    <w:pPr>
      <w:widowControl/>
      <w:spacing w:line="360" w:lineRule="auto"/>
      <w:ind w:firstLine="200" w:firstLineChars="200"/>
      <w:jc w:val="left"/>
    </w:pPr>
    <w:rPr>
      <w:sz w:val="24"/>
    </w:rPr>
  </w:style>
  <w:style w:type="paragraph" w:customStyle="1" w:styleId="35">
    <w:name w:val="S正文"/>
    <w:basedOn w:val="1"/>
    <w:qFormat/>
    <w:uiPriority w:val="0"/>
    <w:pPr>
      <w:tabs>
        <w:tab w:val="left" w:pos="3840"/>
      </w:tabs>
      <w:snapToGrid w:val="0"/>
      <w:spacing w:line="360" w:lineRule="auto"/>
      <w:ind w:firstLine="200" w:firstLineChars="200"/>
    </w:pPr>
    <w:rPr>
      <w:rFonts w:ascii="Times New Roman" w:hAnsi="Times New Roman" w:eastAsia="仿宋" w:cs="Times New Roman"/>
      <w:snapToGrid w:val="0"/>
      <w:kern w:val="0"/>
      <w:sz w:val="28"/>
    </w:rPr>
  </w:style>
  <w:style w:type="paragraph" w:customStyle="1" w:styleId="36">
    <w:name w:val="表格标题"/>
    <w:basedOn w:val="1"/>
    <w:next w:val="1"/>
    <w:qFormat/>
    <w:uiPriority w:val="0"/>
    <w:pPr>
      <w:adjustRightInd w:val="0"/>
      <w:snapToGrid w:val="0"/>
      <w:spacing w:line="360" w:lineRule="auto"/>
      <w:jc w:val="center"/>
    </w:pPr>
    <w:rPr>
      <w:rFonts w:ascii="Times New Roman" w:hAnsi="Times New Roman"/>
      <w:b/>
    </w:rPr>
  </w:style>
  <w:style w:type="paragraph" w:customStyle="1" w:styleId="37">
    <w:name w:val="表格文字"/>
    <w:basedOn w:val="1"/>
    <w:qFormat/>
    <w:uiPriority w:val="0"/>
    <w:pPr>
      <w:adjustRightInd w:val="0"/>
      <w:snapToGrid w:val="0"/>
      <w:spacing w:line="240" w:lineRule="auto"/>
      <w:ind w:firstLine="0" w:firstLineChars="0"/>
      <w:jc w:val="center"/>
    </w:pPr>
    <w:rPr>
      <w:sz w:val="21"/>
      <w:szCs w:val="21"/>
    </w:rPr>
  </w:style>
  <w:style w:type="paragraph" w:customStyle="1" w:styleId="38">
    <w:name w:val="图头"/>
    <w:basedOn w:val="1"/>
    <w:qFormat/>
    <w:uiPriority w:val="0"/>
    <w:pPr>
      <w:spacing w:line="240" w:lineRule="auto"/>
      <w:jc w:val="left"/>
    </w:pPr>
    <w:rPr>
      <w:rFonts w:ascii="Calibri" w:hAnsi="Calibri" w:eastAsia="宋体" w:cs="Times New Roman"/>
      <w:b/>
      <w:sz w:val="24"/>
    </w:rPr>
  </w:style>
  <w:style w:type="paragraph" w:customStyle="1" w:styleId="39">
    <w:name w:val="（环评）表头（小四）"/>
    <w:basedOn w:val="1"/>
    <w:qFormat/>
    <w:uiPriority w:val="0"/>
    <w:pPr>
      <w:shd w:val="clear" w:color="auto" w:fill="auto"/>
      <w:spacing w:line="240" w:lineRule="auto"/>
      <w:jc w:val="center"/>
    </w:pPr>
    <w:rPr>
      <w:rFonts w:ascii="宋体" w:hAnsi="宋体" w:eastAsia="宋体" w:cs="宋体"/>
      <w:b/>
      <w:color w:val="000000"/>
      <w:sz w:val="24"/>
      <w:szCs w:val="28"/>
      <w:u w:val="none"/>
      <w:shd w:val="clear" w:color="auto" w:fill="auto"/>
      <w:lang w:val="zh-TW" w:eastAsia="zh-TW" w:bidi="zh-TW"/>
    </w:rPr>
  </w:style>
  <w:style w:type="paragraph" w:customStyle="1" w:styleId="40">
    <w:name w:val="1表格（5宋.）"/>
    <w:basedOn w:val="1"/>
    <w:qFormat/>
    <w:uiPriority w:val="0"/>
    <w:pPr>
      <w:shd w:val="clear" w:color="auto" w:fill="auto"/>
      <w:spacing w:line="240" w:lineRule="auto"/>
      <w:ind w:firstLine="0" w:firstLineChars="0"/>
      <w:jc w:val="center"/>
    </w:pPr>
    <w:rPr>
      <w:rFonts w:ascii="宋体" w:hAnsi="宋体" w:eastAsia="宋体" w:cs="宋体"/>
      <w:color w:val="000000"/>
      <w:sz w:val="21"/>
      <w:szCs w:val="22"/>
      <w:u w:val="none"/>
      <w:shd w:val="clear" w:color="auto" w:fill="auto"/>
      <w:lang w:val="zh-TW" w:eastAsia="zh-TW" w:bidi="zh-TW"/>
    </w:rPr>
  </w:style>
  <w:style w:type="paragraph" w:customStyle="1" w:styleId="41">
    <w:name w:val="表格五号"/>
    <w:next w:val="1"/>
    <w:qFormat/>
    <w:uiPriority w:val="0"/>
    <w:pPr>
      <w:widowControl w:val="0"/>
      <w:adjustRightInd w:val="0"/>
      <w:snapToGrid w:val="0"/>
      <w:jc w:val="center"/>
      <w:textAlignment w:val="center"/>
    </w:pPr>
    <w:rPr>
      <w:rFonts w:ascii="Times New Roman" w:hAnsi="Times New Roman" w:eastAsia="宋体" w:cs="宋体"/>
      <w:bCs/>
      <w:snapToGrid w:val="0"/>
      <w:color w:val="000000"/>
      <w:sz w:val="21"/>
      <w:szCs w:val="21"/>
      <w:lang w:val="en-US" w:eastAsia="zh-CN" w:bidi="ar-SA"/>
    </w:rPr>
  </w:style>
  <w:style w:type="paragraph" w:customStyle="1" w:styleId="42">
    <w:name w:val="表内容"/>
    <w:qFormat/>
    <w:uiPriority w:val="0"/>
    <w:pPr>
      <w:adjustRightInd w:val="0"/>
      <w:jc w:val="center"/>
    </w:pPr>
    <w:rPr>
      <w:rFonts w:ascii="Times New Roman" w:hAnsi="Times New Roman" w:eastAsia="宋体" w:cs="Times New Roman"/>
      <w:kern w:val="2"/>
      <w:sz w:val="21"/>
      <w:szCs w:val="21"/>
      <w:lang w:val="en-US" w:eastAsia="zh-CN" w:bidi="ar-SA"/>
    </w:rPr>
  </w:style>
  <w:style w:type="paragraph" w:customStyle="1" w:styleId="43">
    <w:name w:val="Table Text"/>
    <w:basedOn w:val="1"/>
    <w:semiHidden/>
    <w:qFormat/>
    <w:uiPriority w:val="0"/>
    <w:rPr>
      <w:rFonts w:ascii="宋体" w:hAnsi="宋体" w:eastAsia="宋体" w:cs="宋体"/>
      <w:sz w:val="20"/>
      <w:szCs w:val="20"/>
      <w:lang w:val="en-US" w:eastAsia="en-US" w:bidi="ar-SA"/>
    </w:rPr>
  </w:style>
  <w:style w:type="table" w:customStyle="1" w:styleId="44">
    <w:name w:val="Table Normal"/>
    <w:unhideWhenUsed/>
    <w:qFormat/>
    <w:uiPriority w:val="0"/>
    <w:tblPr>
      <w:tblCellMar>
        <w:top w:w="0" w:type="dxa"/>
        <w:left w:w="0" w:type="dxa"/>
        <w:bottom w:w="0" w:type="dxa"/>
        <w:right w:w="0" w:type="dxa"/>
      </w:tblCellMar>
    </w:tblPr>
  </w:style>
  <w:style w:type="paragraph" w:customStyle="1" w:styleId="45">
    <w:name w:val="111表格"/>
    <w:basedOn w:val="1"/>
    <w:qFormat/>
    <w:uiPriority w:val="0"/>
    <w:pPr>
      <w:autoSpaceDE w:val="0"/>
      <w:autoSpaceDN w:val="0"/>
      <w:adjustRightInd w:val="0"/>
      <w:snapToGrid w:val="0"/>
      <w:spacing w:line="360" w:lineRule="auto"/>
      <w:ind w:firstLine="200" w:firstLineChars="200"/>
    </w:pPr>
    <w:rPr>
      <w:rFonts w:cs="宋体"/>
      <w:kern w:val="0"/>
      <w:szCs w:val="21"/>
    </w:rPr>
  </w:style>
  <w:style w:type="paragraph" w:customStyle="1" w:styleId="46">
    <w:name w:val="表格名称"/>
    <w:basedOn w:val="1"/>
    <w:qFormat/>
    <w:uiPriority w:val="0"/>
    <w:pPr>
      <w:spacing w:line="240" w:lineRule="auto"/>
      <w:ind w:firstLine="0" w:firstLineChars="0"/>
      <w:jc w:val="center"/>
    </w:pPr>
    <w:rPr>
      <w:rFonts w:ascii="Times New Roman" w:hAnsi="Times New Roman" w:eastAsia="宋体"/>
      <w:b/>
      <w:color w:val="auto"/>
      <w:sz w:val="21"/>
      <w:szCs w:val="21"/>
    </w:rPr>
  </w:style>
  <w:style w:type="paragraph" w:customStyle="1" w:styleId="47">
    <w:name w:val="表格字体"/>
    <w:qFormat/>
    <w:uiPriority w:val="0"/>
    <w:pPr>
      <w:bidi w:val="0"/>
      <w:adjustRightInd w:val="0"/>
      <w:snapToGrid w:val="0"/>
      <w:jc w:val="center"/>
    </w:pPr>
    <w:rPr>
      <w:rFonts w:ascii="Times New Roman" w:hAnsi="Times New Roman" w:eastAsia="宋体" w:cs="Times New Roman"/>
      <w:snapToGrid w:val="0"/>
      <w:kern w:val="2"/>
      <w:sz w:val="21"/>
      <w:lang w:val="en-US" w:eastAsia="zh-CN" w:bidi="ar-SA"/>
    </w:rPr>
  </w:style>
  <w:style w:type="paragraph" w:customStyle="1" w:styleId="48">
    <w:name w:val="正文（小四）"/>
    <w:qFormat/>
    <w:uiPriority w:val="0"/>
    <w:pPr>
      <w:spacing w:line="360" w:lineRule="auto"/>
      <w:ind w:firstLine="200" w:firstLineChars="200"/>
      <w:jc w:val="both"/>
    </w:pPr>
    <w:rPr>
      <w:rFonts w:ascii="Times New Roman" w:hAnsi="Times New Roman" w:eastAsia="宋体" w:cs="Times New Roman"/>
      <w:bCs/>
      <w:color w:val="000000"/>
      <w:kern w:val="2"/>
      <w:sz w:val="24"/>
      <w:szCs w:val="32"/>
      <w:lang w:val="en-US" w:eastAsia="zh-CN" w:bidi="ar-SA"/>
    </w:rPr>
  </w:style>
  <w:style w:type="character" w:customStyle="1" w:styleId="49">
    <w:name w:val="标题 1 Char"/>
    <w:link w:val="2"/>
    <w:qFormat/>
    <w:uiPriority w:val="99"/>
    <w:rPr>
      <w:rFonts w:eastAsia="黑体"/>
      <w:b/>
      <w:bCs/>
      <w:color w:val="000000"/>
      <w:kern w:val="44"/>
      <w:sz w:val="30"/>
      <w:szCs w:val="30"/>
    </w:rPr>
  </w:style>
  <w:style w:type="paragraph" w:customStyle="1" w:styleId="50">
    <w:name w:val="样式35"/>
    <w:next w:val="51"/>
    <w:qFormat/>
    <w:uiPriority w:val="99"/>
    <w:pPr>
      <w:widowControl w:val="0"/>
      <w:spacing w:line="312" w:lineRule="auto"/>
      <w:ind w:firstLine="567"/>
      <w:jc w:val="both"/>
    </w:pPr>
    <w:rPr>
      <w:rFonts w:ascii="宋体" w:hAnsi="Times New Roman" w:eastAsia="宋体" w:cs="Times New Roman"/>
      <w:kern w:val="2"/>
      <w:sz w:val="21"/>
      <w:szCs w:val="22"/>
      <w:lang w:val="en-US" w:eastAsia="zh-CN" w:bidi="ar-SA"/>
    </w:rPr>
  </w:style>
  <w:style w:type="paragraph" w:customStyle="1" w:styleId="51">
    <w:name w:val="font6"/>
    <w:basedOn w:val="1"/>
    <w:next w:val="16"/>
    <w:qFormat/>
    <w:uiPriority w:val="99"/>
    <w:pPr>
      <w:widowControl/>
      <w:spacing w:before="100" w:beforeAutospacing="1" w:after="100" w:afterAutospacing="1"/>
      <w:jc w:val="left"/>
    </w:pPr>
    <w:rPr>
      <w:rFonts w:ascii="宋体" w:hAnsi="宋体"/>
      <w:sz w:val="20"/>
      <w:szCs w:val="20"/>
    </w:rPr>
  </w:style>
  <w:style w:type="paragraph" w:customStyle="1" w:styleId="52">
    <w:name w:val="表头"/>
    <w:basedOn w:val="53"/>
    <w:next w:val="1"/>
    <w:qFormat/>
    <w:uiPriority w:val="0"/>
    <w:pPr>
      <w:spacing w:line="240" w:lineRule="auto"/>
      <w:ind w:right="0" w:firstLine="0" w:firstLineChars="0"/>
      <w:jc w:val="center"/>
    </w:pPr>
    <w:rPr>
      <w:rFonts w:ascii="Times New Roman" w:hAnsi="Times New Roman" w:eastAsia="宋体"/>
      <w:b/>
      <w:szCs w:val="22"/>
    </w:rPr>
  </w:style>
  <w:style w:type="paragraph" w:customStyle="1" w:styleId="53">
    <w:name w:val="正文格式"/>
    <w:basedOn w:val="54"/>
    <w:qFormat/>
    <w:uiPriority w:val="0"/>
    <w:pPr>
      <w:spacing w:line="360" w:lineRule="auto"/>
      <w:ind w:firstLine="200" w:firstLineChars="200"/>
    </w:pPr>
    <w:rPr>
      <w:sz w:val="24"/>
    </w:rPr>
  </w:style>
  <w:style w:type="paragraph" w:customStyle="1" w:styleId="54">
    <w:name w:val="lin正文"/>
    <w:basedOn w:val="7"/>
    <w:qFormat/>
    <w:uiPriority w:val="0"/>
    <w:pPr>
      <w:widowControl w:val="0"/>
      <w:spacing w:line="560" w:lineRule="exact"/>
      <w:ind w:firstLine="200" w:firstLineChars="200"/>
      <w:jc w:val="both"/>
    </w:pPr>
    <w:rPr>
      <w:rFonts w:ascii="Tahoma" w:hAnsi="Tahoma" w:eastAsia="宋体"/>
      <w:color w:val="000000"/>
      <w:spacing w:val="0"/>
      <w:szCs w:val="24"/>
    </w:rPr>
  </w:style>
  <w:style w:type="paragraph" w:customStyle="1" w:styleId="55">
    <w:name w:val="表格内容"/>
    <w:basedOn w:val="15"/>
    <w:next w:val="7"/>
    <w:qFormat/>
    <w:uiPriority w:val="0"/>
    <w:pPr>
      <w:widowControl/>
      <w:jc w:val="center"/>
    </w:pPr>
    <w:rPr>
      <w:rFonts w:ascii="Times New Roman" w:hAnsi="Times New Roman"/>
      <w:sz w:val="21"/>
    </w:rPr>
  </w:style>
  <w:style w:type="paragraph" w:customStyle="1" w:styleId="56">
    <w:name w:val="验收正文"/>
    <w:basedOn w:val="1"/>
    <w:autoRedefine/>
    <w:qFormat/>
    <w:uiPriority w:val="0"/>
    <w:pPr>
      <w:spacing w:line="360" w:lineRule="auto"/>
      <w:ind w:firstLine="1044" w:firstLineChars="200"/>
      <w:jc w:val="both"/>
    </w:pPr>
    <w:rPr>
      <w:rFonts w:hint="default" w:ascii="Times New Roman" w:hAnsi="Times New Roman" w:eastAsia="宋体"/>
      <w:sz w:val="24"/>
    </w:rPr>
  </w:style>
  <w:style w:type="paragraph" w:customStyle="1" w:styleId="57">
    <w:name w:val="附件标题"/>
    <w:basedOn w:val="1"/>
    <w:autoRedefine/>
    <w:qFormat/>
    <w:uiPriority w:val="0"/>
    <w:pPr>
      <w:spacing w:line="240" w:lineRule="atLeast"/>
      <w:ind w:firstLine="0" w:firstLineChars="0"/>
      <w:jc w:val="left"/>
    </w:pPr>
    <w:rPr>
      <w:rFonts w:ascii="Times New Roman" w:hAnsi="Times New Roman" w:eastAsia="宋体"/>
      <w:b/>
      <w:sz w:val="28"/>
      <w:szCs w:val="28"/>
    </w:rPr>
  </w:style>
  <w:style w:type="paragraph" w:customStyle="1" w:styleId="58">
    <w:name w:val="表格文本"/>
    <w:basedOn w:val="1"/>
    <w:next w:val="1"/>
    <w:qFormat/>
    <w:uiPriority w:val="0"/>
    <w:pPr>
      <w:adjustRightInd w:val="0"/>
      <w:snapToGrid w:val="0"/>
      <w:spacing w:line="240" w:lineRule="auto"/>
      <w:ind w:firstLine="0" w:firstLineChars="0"/>
      <w:jc w:val="center"/>
    </w:pPr>
    <w:rPr>
      <w:rFonts w:ascii="Times New Roman" w:hAnsi="Times New Roman" w:eastAsia="宋体"/>
      <w:color w:val="000000"/>
      <w:sz w:val="21"/>
      <w:szCs w:val="21"/>
      <w:highlight w:val="none"/>
    </w:rPr>
  </w:style>
  <w:style w:type="paragraph" w:customStyle="1" w:styleId="59">
    <w:name w:val="Table Paragraph"/>
    <w:basedOn w:val="1"/>
    <w:qFormat/>
    <w:uiPriority w:val="1"/>
    <w:rPr>
      <w:rFonts w:ascii="宋体" w:hAnsi="宋体" w:eastAsia="宋体" w:cs="宋体"/>
      <w:lang w:val="zh-CN" w:eastAsia="zh-CN" w:bidi="zh-CN"/>
    </w:rPr>
  </w:style>
  <w:style w:type="paragraph" w:customStyle="1" w:styleId="60">
    <w:name w:val="表表表表"/>
    <w:basedOn w:val="1"/>
    <w:qFormat/>
    <w:uiPriority w:val="0"/>
    <w:pPr>
      <w:widowControl/>
      <w:jc w:val="center"/>
    </w:pPr>
    <w:rPr>
      <w:rFonts w:eastAsia="方正楷体简体"/>
      <w:szCs w:val="21"/>
    </w:rPr>
  </w:style>
  <w:style w:type="paragraph" w:customStyle="1" w:styleId="61">
    <w:name w:val="表格的字"/>
    <w:basedOn w:val="62"/>
    <w:next w:val="1"/>
    <w:qFormat/>
    <w:uiPriority w:val="0"/>
    <w:pPr>
      <w:jc w:val="center"/>
    </w:pPr>
    <w:rPr>
      <w:szCs w:val="21"/>
      <w:lang w:val="en-US" w:eastAsia="zh-CN" w:bidi="ar-SA"/>
    </w:rPr>
  </w:style>
  <w:style w:type="paragraph" w:customStyle="1" w:styleId="62">
    <w:name w:val="项目基本情况的字"/>
    <w:basedOn w:val="1"/>
    <w:qFormat/>
    <w:uiPriority w:val="0"/>
    <w:pPr>
      <w:jc w:val="center"/>
    </w:pPr>
    <w:rPr>
      <w:rFonts w:cs="宋体"/>
    </w:rPr>
  </w:style>
  <w:style w:type="table" w:customStyle="1" w:styleId="63">
    <w:name w:val="表格样式刘"/>
    <w:basedOn w:val="19"/>
    <w:qFormat/>
    <w:uiPriority w:val="99"/>
    <w:pPr>
      <w:jc w:val="center"/>
    </w:pPr>
    <w:tblP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0" Type="http://schemas.openxmlformats.org/officeDocument/2006/relationships/fontTable" Target="fontTable.xml"/><Relationship Id="rId4" Type="http://schemas.openxmlformats.org/officeDocument/2006/relationships/footer" Target="footer1.xml"/><Relationship Id="rId39" Type="http://schemas.openxmlformats.org/officeDocument/2006/relationships/customXml" Target="../customXml/item2.xml"/><Relationship Id="rId38" Type="http://schemas.openxmlformats.org/officeDocument/2006/relationships/customXml" Target="../customXml/item1.xml"/><Relationship Id="rId37" Type="http://schemas.openxmlformats.org/officeDocument/2006/relationships/image" Target="media/image28.jpeg"/><Relationship Id="rId36" Type="http://schemas.openxmlformats.org/officeDocument/2006/relationships/image" Target="media/image27.jpeg"/><Relationship Id="rId35" Type="http://schemas.openxmlformats.org/officeDocument/2006/relationships/image" Target="media/image26.jpeg"/><Relationship Id="rId34" Type="http://schemas.openxmlformats.org/officeDocument/2006/relationships/image" Target="media/image25.jpeg"/><Relationship Id="rId33" Type="http://schemas.openxmlformats.org/officeDocument/2006/relationships/image" Target="media/image24.jpeg"/><Relationship Id="rId32" Type="http://schemas.openxmlformats.org/officeDocument/2006/relationships/image" Target="media/image23.jpe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emf"/><Relationship Id="rId24" Type="http://schemas.openxmlformats.org/officeDocument/2006/relationships/image" Target="media/image15.png"/><Relationship Id="rId23" Type="http://schemas.openxmlformats.org/officeDocument/2006/relationships/image" Target="media/image14.emf"/><Relationship Id="rId22" Type="http://schemas.openxmlformats.org/officeDocument/2006/relationships/image" Target="media/image13.emf"/><Relationship Id="rId21" Type="http://schemas.openxmlformats.org/officeDocument/2006/relationships/image" Target="media/image12.emf"/><Relationship Id="rId20" Type="http://schemas.openxmlformats.org/officeDocument/2006/relationships/image" Target="media/image11.emf"/><Relationship Id="rId2" Type="http://schemas.openxmlformats.org/officeDocument/2006/relationships/settings" Target="settings.xml"/><Relationship Id="rId19" Type="http://schemas.openxmlformats.org/officeDocument/2006/relationships/image" Target="media/image10.emf"/><Relationship Id="rId18" Type="http://schemas.openxmlformats.org/officeDocument/2006/relationships/image" Target="media/image9.emf"/><Relationship Id="rId17" Type="http://schemas.openxmlformats.org/officeDocument/2006/relationships/image" Target="media/image8.emf"/><Relationship Id="rId16" Type="http://schemas.openxmlformats.org/officeDocument/2006/relationships/image" Target="media/image7.emf"/><Relationship Id="rId15" Type="http://schemas.openxmlformats.org/officeDocument/2006/relationships/image" Target="media/image6.emf"/><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baf82774-c9cd-4ad9-8b3d-ede35392cf65</errorID>
      <errorWord>*</errorWord>
      <group>L1_Punc</group>
      <groupName>标点问题</groupName>
      <ability>L2_Punc_CN</ability>
      <abilityName/>
      <candidateList/>
      <explain/>
      <paraID>4D3DA80A</paraID>
      <start>0</start>
      <end>1</end>
      <status>unmodified</status>
      <modifiedWord/>
      <trackRevisions>false</trackRevisions>
    </reviewItem>
    <reviewItem>
      <errorID>1e95fe6e-c64b-4ac0-b042-dc1bc0ef01fb</errorID>
      <errorWord>*</errorWord>
      <group>L1_Punc</group>
      <groupName>标点问题</groupName>
      <ability>L2_Punc_CN</ability>
      <abilityName/>
      <candidateList/>
      <explain/>
      <paraID>18905037</paraID>
      <start>0</start>
      <end>1</end>
      <status>ignored</status>
      <modifiedWord/>
      <trackRevisions>false</trackRevisions>
    </reviewItem>
    <reviewItem>
      <errorID>3bda9e95-0931-4013-a4c1-17befe402ad1</errorID>
      <errorWord>,</errorWord>
      <group>L1_Format</group>
      <groupName>格式问题</groupName>
      <ability>L2_HalfPunc_CN</ability>
      <abilityName/>
      <candidateList>
        <item>，</item>
      </candidateList>
      <explain>文本全半角错误。</explain>
      <paraID>587793B8</paraID>
      <start>15</start>
      <end>16</end>
      <status>modified</status>
      <modifiedWord>，</modifiedWord>
      <trackRevisions>false</trackRevisions>
    </reviewItem>
    <reviewItem>
      <errorID>9b6fb205-5c76-42d4-9429-dec1fc6725e4</errorID>
      <errorWord>:</errorWord>
      <group>L1_Format</group>
      <groupName>格式问题</groupName>
      <ability>L2_HalfPunc_CN</ability>
      <abilityName/>
      <candidateList>
        <item>：</item>
      </candidateList>
      <explain>文本全半角错误。</explain>
      <paraID>21E836C3</paraID>
      <start>5</start>
      <end>6</end>
      <status>modified</status>
      <modifiedWord>：</modifiedWord>
      <trackRevisions>false</trackRevisions>
    </reviewItem>
    <reviewItem>
      <errorID>2c290d6d-7d67-40be-8757-5bd061d9eb7c</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21E836C3</paraID>
      <start>23</start>
      <end>24</end>
      <status>modified</status>
      <modifiedWord>—</modifiedWord>
      <trackRevisions>false</trackRevisions>
    </reviewItem>
    <reviewItem>
      <errorID>6b2c142a-775f-4ba1-8c67-d6890e5dc340</errorID>
      <errorWord>:</errorWord>
      <group>L1_Format</group>
      <groupName>格式问题</groupName>
      <ability>L2_HalfPunc_CN</ability>
      <abilityName/>
      <candidateList>
        <item>：</item>
      </candidateList>
      <explain>文本全半角错误。</explain>
      <paraID>5A444AC3</paraID>
      <start>4</start>
      <end>5</end>
      <status>modified</status>
      <modifiedWord>：</modifiedWord>
      <trackRevisions>false</trackRevisions>
    </reviewItem>
    <reviewItem>
      <errorID>13adf0b3-2a1f-4c0f-85da-238d32a98f58</errorID>
      <errorWord>:</errorWord>
      <group>L1_Format</group>
      <groupName>格式问题</groupName>
      <ability>L2_HalfPunc_CN</ability>
      <abilityName/>
      <candidateList>
        <item>：</item>
      </candidateList>
      <explain>文本全半角错误。</explain>
      <paraID>447C020F</paraID>
      <start>9</start>
      <end>10</end>
      <status>modified</status>
      <modifiedWord>：</modifiedWord>
      <trackRevisions>false</trackRevisions>
    </reviewItem>
    <reviewItem>
      <errorID>e4bce460-a369-4c71-8a86-2dde896c4255</errorID>
      <errorWord>上线</errorWord>
      <group>L1_Word</group>
      <groupName>字词问题</groupName>
      <ability>L2_Typo</ability>
      <abilityName>字词错误</abilityName>
      <candidateList>
        <item>上限</item>
      </candidateList>
      <explain>存在发音相同字词的误用。</explain>
      <paraID>14A16B0B</paraID>
      <start>6</start>
      <end>8</end>
      <status>ignored</status>
      <modifiedWord/>
      <trackRevisions>false</trackRevisions>
    </reviewItem>
    <reviewItem>
      <errorID>62595fdf-d861-4a42-80fb-c27d97578d09</errorID>
      <errorWord>农田灌溉有效利用系数</errorWord>
      <group>L1_Political</group>
      <groupName>政治性问题</groupName>
      <ability>L2_Keyword</ability>
      <abilityName>固定表述</abilityName>
      <candidateList>
        <item>农田灌溉水有效利用系数</item>
      </candidateList>
      <explain>词汇“农田灌溉水有效利用系数”在特定场景下为固定表述形式，请确认此处的“农田灌溉有效利用系数”是否存在不当。</explain>
      <paraID> 158543E</paraID>
      <start>58</start>
      <end>68</end>
      <status>ignored</status>
      <modifiedWord/>
      <trackRevisions>false</trackRevisions>
    </reviewItem>
    <reviewItem>
      <errorID>909e54c6-406b-4157-b8ec-5ef6be1d117f</errorID>
      <errorWord>上线</errorWord>
      <group>L1_Word</group>
      <groupName>字词问题</groupName>
      <ability>L2_Typo</ability>
      <abilityName>字词错误</abilityName>
      <candidateList>
        <item>上限</item>
      </candidateList>
      <explain>存在发音相同字词的误用。</explain>
      <paraID>4850B1CD</paraID>
      <start>7</start>
      <end>9</end>
      <status>ignored</status>
      <modifiedWord/>
      <trackRevisions>false</trackRevisions>
    </reviewItem>
    <reviewItem>
      <errorID>dc75653f-8238-4596-ad25-522599fd65c9</errorID>
      <errorWord>上线</errorWord>
      <group>L1_Word</group>
      <groupName>字词问题</groupName>
      <ability>L2_Typo</ability>
      <abilityName>字词错误</abilityName>
      <candidateList>
        <item>上限</item>
      </candidateList>
      <explain/>
      <paraID>17BD7C70</paraID>
      <start>115</start>
      <end>117</end>
      <status>ignored</status>
      <modifiedWord/>
      <trackRevisions>false</trackRevisions>
    </reviewItem>
    <reviewItem>
      <errorID>99c93af8-ffc0-4ddc-82da-14f9fa5a0c4c</errorID>
      <errorWord>其它</errorWord>
      <group>L1_Word</group>
      <groupName>字词问题</groupName>
      <ability>L2_Alias</ability>
      <abilityName>也作/曾用词</abilityName>
      <candidateList>
        <item>其他</item>
      </candidateList>
      <explain>词汇[其它]为不规范表述或旧称，其规范书面表述为[其他]。</explain>
      <paraID>4DCD3428</paraID>
      <start>122</start>
      <end>124</end>
      <status>ignored</status>
      <modifiedWord/>
      <trackRevisions>false</trackRevisions>
    </reviewItem>
    <reviewItem>
      <errorID>c5b0dda2-d623-45ab-be01-bba4192bef40</errorID>
      <errorWord>原住居民</errorWord>
      <group>L1_Sensitive</group>
      <groupName>敏感问题</groupName>
      <ability>L2_Violent</ability>
      <abilityName>暴恐词条</abilityName>
      <candidateList/>
      <explain>【暴恐词条】句中包含暴恐类敏感词条，请注意甄别。</explain>
      <paraID>4F935A0D</paraID>
      <start>3</start>
      <end>7</end>
      <status>ignored</status>
      <modifiedWord/>
      <trackRevisions>false</trackRevisions>
    </reviewItem>
    <reviewItem>
      <errorID>24082017-b3e4-43f5-bc22-605b8f1a8fb5</errorID>
      <errorWord>其它</errorWord>
      <group>L1_Word</group>
      <groupName>字词问题</groupName>
      <ability>L2_Alias</ability>
      <abilityName>也作/曾用词</abilityName>
      <candidateList>
        <item>其他</item>
      </candidateList>
      <explain>词汇[其它]为不规范表述或旧称，其规范书面表述为[其他]。</explain>
      <paraID>63663D02</paraID>
      <start>2</start>
      <end>4</end>
      <status>ignored</status>
      <modifiedWord/>
      <trackRevisions>false</trackRevisions>
    </reviewItem>
    <reviewItem>
      <errorID>a1a6ec4f-a179-41e9-9e81-0b8ffe6883d9</errorID>
      <errorWord>其它可能</errorWord>
      <group>L1_Word</group>
      <groupName>字词问题</groupName>
      <ability>L2_Alias</ability>
      <abilityName>也作/曾用词</abilityName>
      <candidateList>
        <item>其他可能</item>
      </candidateList>
      <explain>词汇[其它可能]为不规范表述或旧称，其规范书面表述为[其他可能]。</explain>
      <paraID>482183CA</paraID>
      <start>40</start>
      <end>44</end>
      <status>ignored</status>
      <modifiedWord/>
      <trackRevisions>false</trackRevisions>
    </reviewItem>
    <reviewItem>
      <errorID>175a0466-0968-49f0-949d-443bcc9de646</errorID>
      <errorWord>《中共中央、国务院</errorWord>
      <group>L1_Political</group>
      <groupName>政治性问题</groupName>
      <ability>L2_Unpolitical</ability>
      <abilityName>政治敏感错误</abilityName>
      <candidateList>
        <item>《中共中央 国务院</item>
      </candidateList>
      <explain/>
      <paraID>712F64F2</paraID>
      <start>84</start>
      <end>93</end>
      <status>ignored</status>
      <modifiedWord/>
      <trackRevisions>false</trackRevisions>
    </reviewItem>
    <reviewItem>
      <errorID>83e45761-e219-448d-99ae-07001f20b13c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14BFF361</paraID>
      <start>0</start>
      <end>2</end>
      <status>modified</status>
      <modifiedWord>2.</modifiedWord>
      <trackRevisions>false</trackRevisions>
    </reviewItem>
    <reviewItem>
      <errorID>048a586a-48ea-4326-b00c-d5a5e96b9d7a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1A20D64D</paraID>
      <start>0</start>
      <end>2</end>
      <status>modified</status>
      <modifiedWord>3.</modifiedWord>
      <trackRevisions>false</trackRevisions>
    </reviewItem>
    <reviewItem>
      <errorID>f5726835-f0dc-4bb4-87b0-1ef700a87bed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73AFD5FC</paraID>
      <start>0</start>
      <end>2</end>
      <status>modified</status>
      <modifiedWord>4.</modifiedWord>
      <trackRevisions>false</trackRevisions>
    </reviewItem>
    <reviewItem>
      <errorID>477d12b7-868d-4d86-8b4c-89e218e00c7f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1CEE5740</paraID>
      <start>0</start>
      <end>2</end>
      <status>modified</status>
      <modifiedWord>8.</modifiedWord>
      <trackRevisions>false</trackRevisions>
    </reviewItem>
    <reviewItem>
      <errorID>e2635063-738d-421a-afbf-35a9ca5fd1c2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53058E00</paraID>
      <start>0</start>
      <end>2</end>
      <status>modified</status>
      <modifiedWord>9.</modifiedWord>
      <trackRevisions>false</trackRevisions>
    </reviewItem>
    <reviewItem>
      <errorID>f7ad1ca0-874f-4fd6-b5f6-7fc7e50c152c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BC76DF6</paraID>
      <start>0</start>
      <end>3</end>
      <status>modified</status>
      <modifiedWord>10.</modifiedWord>
      <trackRevisions>false</trackRevisions>
    </reviewItem>
    <reviewItem>
      <errorID>e6a1ce80-7c08-45ea-9dad-763c1bae6b08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619B1F31</paraID>
      <start>0</start>
      <end>2</end>
      <status>modified</status>
      <modifiedWord>1.</modifiedWord>
      <trackRevisions>false</trackRevisions>
    </reviewItem>
    <reviewItem>
      <errorID>abf8fadd-24ca-45b3-8a7a-881e687928eb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2316D99D</paraID>
      <start>0</start>
      <end>2</end>
      <status>modified</status>
      <modifiedWord>2.</modifiedWord>
      <trackRevisions>false</trackRevisions>
    </reviewItem>
    <reviewItem>
      <errorID>63b304d1-04eb-48ee-a24d-86bf495dcdcf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19EC2486</paraID>
      <start>0</start>
      <end>2</end>
      <status>modified</status>
      <modifiedWord>3.</modifiedWord>
      <trackRevisions>false</trackRevisions>
    </reviewItem>
    <reviewItem>
      <errorID>3f7d888c-104a-429b-869a-f39036b2571d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CEAE009</paraID>
      <start>0</start>
      <end>2</end>
      <status>modified</status>
      <modifiedWord>5.</modifiedWord>
      <trackRevisions>false</trackRevisions>
    </reviewItem>
    <reviewItem>
      <errorID>7377790d-fd59-4876-81f1-f621ce74f274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3C165E61</paraID>
      <start>0</start>
      <end>2</end>
      <status>modified</status>
      <modifiedWord>6.</modifiedWord>
      <trackRevisions>false</trackRevisions>
    </reviewItem>
    <reviewItem>
      <errorID>2773c9ac-50c2-493a-993c-160e363a84f5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29F1D05E</paraID>
      <start>0</start>
      <end>2</end>
      <status>modified</status>
      <modifiedWord>1.</modifiedWord>
      <trackRevisions>false</trackRevisions>
    </reviewItem>
    <reviewItem>
      <errorID>34e4e256-381c-4fa2-8712-0b15ca438c2e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4B2670A3</paraID>
      <start>0</start>
      <end>2</end>
      <status>modified</status>
      <modifiedWord>2.</modifiedWord>
      <trackRevisions>false</trackRevisions>
    </reviewItem>
    <reviewItem>
      <errorID>28803820-f3ab-49ed-ba2f-b591e0d1ee71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13084E7B</paraID>
      <start>0</start>
      <end>2</end>
      <status>modified</status>
      <modifiedWord>1.</modifiedWord>
      <trackRevisions>false</trackRevisions>
    </reviewItem>
    <reviewItem>
      <errorID>30cc8511-a6bd-48ae-b937-fc1c2d2b267e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2D530B92</paraID>
      <start>0</start>
      <end>2</end>
      <status>modified</status>
      <modifiedWord>2.</modifiedWord>
      <trackRevisions>false</trackRevisions>
    </reviewItem>
    <reviewItem>
      <errorID>b8d1eca0-52de-4dbb-85f6-adbc6e86ab45</errorID>
      <errorWord>临近</errorWord>
      <group>L1_Word</group>
      <groupName>字词问题</groupName>
      <ability>L2_Typo</ability>
      <abilityName>字词错误</abilityName>
      <candidateList>
        <item>邻近</item>
      </candidateList>
      <explain>存在发音相同字词的误用。</explain>
      <paraID>536E839E</paraID>
      <start>43</start>
      <end>45</end>
      <status>modified</status>
      <modifiedWord>邻近</modifiedWord>
      <trackRevisions>false</trackRevisions>
    </reviewItem>
    <reviewItem>
      <errorID>4b6f78db-5a2a-4848-a3fe-a316815ff2cd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E1EB931</paraID>
      <start>0</start>
      <end>2</end>
      <status>modified</status>
      <modifiedWord>1.</modifiedWord>
      <trackRevisions>false</trackRevisions>
    </reviewItem>
    <reviewItem>
      <errorID>be9da780-40fb-479b-9392-6de8eeb69bb4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6F7B5653</paraID>
      <start>0</start>
      <end>2</end>
      <status>modified</status>
      <modifiedWord>2.</modifiedWord>
      <trackRevisions>false</trackRevisions>
    </reviewItem>
    <reviewItem>
      <errorID>f8d7cbe1-60cb-47fb-bad5-af3b45f9e799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22764C7C</paraID>
      <start>0</start>
      <end>2</end>
      <status>modified</status>
      <modifiedWord>3.</modifiedWord>
      <trackRevisions>false</trackRevisions>
    </reviewItem>
    <reviewItem>
      <errorID>178d2b3b-c39a-4d5f-8bd4-eae79d869239</errorID>
      <errorWord>.、</errorWord>
      <group>L1_Punc</group>
      <groupName>标点问题</groupName>
      <ability>L2_Punc_CN</ability>
      <abilityName/>
      <candidateList>
        <item>.</item>
      </candidateList>
      <explain/>
      <paraID>22764C7C</paraID>
      <start>7</start>
      <end>8</end>
      <status>modified</status>
      <modifiedWord>.</modifiedWord>
      <trackRevisions>false</trackRevisions>
    </reviewItem>
    <reviewItem>
      <errorID>b15aa2cd-233e-4e00-b4d7-bc4795e3e5a3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24F24E37</paraID>
      <start>0</start>
      <end>2</end>
      <status>modified</status>
      <modifiedWord>1.</modifiedWord>
      <trackRevisions>false</trackRevisions>
    </reviewItem>
    <reviewItem>
      <errorID>de9c7005-12de-4113-9c13-359413ff0dad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214DA8F9</paraID>
      <start>0</start>
      <end>2</end>
      <status>modified</status>
      <modifiedWord>2.</modifiedWord>
      <trackRevisions>false</trackRevisions>
    </reviewItem>
    <reviewItem>
      <errorID>9ea9c0dd-7ec4-4346-a139-bd64dc907a19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28C06820</paraID>
      <start>0</start>
      <end>2</end>
      <status>modified</status>
      <modifiedWord>3.</modifiedWord>
      <trackRevisions>false</trackRevisions>
    </reviewItem>
    <reviewItem>
      <errorID>b5499fee-f2d5-4783-9d9c-5280f94962cf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2DD5BAF8</paraID>
      <start>0</start>
      <end>2</end>
      <status>modified</status>
      <modifiedWord>1.</modifiedWord>
      <trackRevisions>false</trackRevisions>
    </reviewItem>
    <reviewItem>
      <errorID>97d13268-b36a-43a3-beb8-7bbd081f6b62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512039A4</paraID>
      <start>0</start>
      <end>2</end>
      <status>modified</status>
      <modifiedWord>1.</modifiedWord>
      <trackRevisions>false</trackRevisions>
    </reviewItem>
    <reviewItem>
      <errorID>c21e47a0-d2e6-4254-9fe3-ab419b066bd3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429829F2</paraID>
      <start>0</start>
      <end>2</end>
      <status>modified</status>
      <modifiedWord>2.</modifiedWord>
      <trackRevisions>false</trackRevisions>
    </reviewItem>
    <reviewItem>
      <errorID>8b5aeab2-29d3-4698-9e90-243ea855f345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67DECE68</paraID>
      <start>0</start>
      <end>2</end>
      <status>modified</status>
      <modifiedWord>1.</modifiedWord>
      <trackRevisions>false</trackRevisions>
    </reviewItem>
    <reviewItem>
      <errorID>6ad78eb6-f627-42d1-9933-e22491d6ada8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649672A3</paraID>
      <start>0</start>
      <end>2</end>
      <status>modified</status>
      <modifiedWord>1.</modifiedWord>
      <trackRevisions>false</trackRevisions>
    </reviewItem>
    <reviewItem>
      <errorID>07393944-3e1e-4ca9-b915-29c5214af149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750328FB</paraID>
      <start>0</start>
      <end>2</end>
      <status>modified</status>
      <modifiedWord>2.</modifiedWord>
      <trackRevisions>false</trackRevisions>
    </reviewItem>
    <reviewItem>
      <errorID>db2cb1af-570c-4cc6-9eea-dcee493b7023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53E8FEC3</paraID>
      <start>0</start>
      <end>2</end>
      <status>modified</status>
      <modifiedWord>3.</modifiedWord>
      <trackRevisions>false</trackRevisions>
    </reviewItem>
    <reviewItem>
      <errorID>486e12c9-e942-4a69-a818-4b8192373470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3D6111CF</paraID>
      <start>0</start>
      <end>2</end>
      <status>modified</status>
      <modifiedWord>1.</modifiedWord>
      <trackRevisions>false</trackRevisions>
    </reviewItem>
    <reviewItem>
      <errorID>e37dd475-ef0e-4ba4-8111-48bd5fa7949d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3180A209</paraID>
      <start>0</start>
      <end>2</end>
      <status>modified</status>
      <modifiedWord>3.</modifiedWord>
      <trackRevisions>false</trackRevisions>
    </reviewItem>
    <reviewItem>
      <errorID>0cf91727-9013-4f61-b168-f29ba2a840cc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45395F21</paraID>
      <start>0</start>
      <end>2</end>
      <status>modified</status>
      <modifiedWord>4.</modifiedWord>
      <trackRevisions>false</trackRevisions>
    </reviewItem>
    <reviewItem>
      <errorID>c058770f-14e7-4885-9147-ecdbc4af0ac5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771BCB18</paraID>
      <start>0</start>
      <end>2</end>
      <status>modified</status>
      <modifiedWord>5.</modifiedWord>
      <trackRevisions>false</trackRevisions>
    </reviewItem>
    <reviewItem>
      <errorID>baede64d-8989-4a9e-b2dd-fb03f14ab1e0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7AAD32AE</paraID>
      <start>0</start>
      <end>2</end>
      <status>modified</status>
      <modifiedWord>6.</modifiedWord>
      <trackRevisions>false</trackRevisions>
    </reviewItem>
    <reviewItem>
      <errorID>35ee3300-4a4d-4363-b19d-dc2cb941eeca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5B05F6EF</paraID>
      <start>0</start>
      <end>2</end>
      <status>modified</status>
      <modifiedWord>7.</modifiedWord>
      <trackRevisions>false</trackRevisions>
    </reviewItem>
    <reviewItem>
      <errorID>8f0f5635-b530-4682-94da-d46dc976ae04</errorID>
      <errorWord>限值</errorWord>
      <group>L1_Word</group>
      <groupName>字词问题</groupName>
      <ability>L2_Typo</ability>
      <abilityName>字词错误</abilityName>
      <candidateList>
        <item>限制</item>
      </candidateList>
      <explain/>
      <paraID>4D51E603</paraID>
      <start>2</start>
      <end>4</end>
      <status>modified</status>
      <modifiedWord>限制</modifiedWord>
      <trackRevisions>false</trackRevisions>
    </reviewItem>
    <reviewItem>
      <errorID>3331817e-455d-46e4-b909-6fbe2a9250f1</errorID>
      <errorWord>（</errorWord>
      <group>L1_Punc</group>
      <groupName>标点问题</groupName>
      <ability>L2_Punc_CN</ability>
      <abilityName/>
      <candidateList/>
      <explain>此处标点可能未正确匹配，请检查句子中是否存在标点冗余、缺失或使用错误的情况。</explain>
      <paraID>553DF7CC</paraID>
      <start>17</start>
      <end>18</end>
      <status>unmodified</status>
      <modifiedWord/>
      <trackRevisions>false</trackRevisions>
    </reviewItem>
    <reviewItem>
      <errorID>2896e3e5-71af-4ae9-a138-6412cae5a897</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6061479B</paraID>
      <start>33</start>
      <end>34</end>
      <status>modified</status>
      <modifiedWord>—</modifiedWord>
      <trackRevisions>false</trackRevisions>
    </reviewItem>
    <reviewItem>
      <errorID>042f9335-0d76-4fe1-9460-8c396ebeddc0</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6061479B</paraID>
      <start>56</start>
      <end>57</end>
      <status>modified</status>
      <modifiedWord>—</modifiedWord>
      <trackRevisions>false</trackRevisions>
    </reviewItem>
    <reviewItem>
      <errorID>12744de3-69c1-4ccf-a47c-4b3d59ebd4f9</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6061479B</paraID>
      <start>107</start>
      <end>108</end>
      <status>modified</status>
      <modifiedWord>—</modifiedWord>
      <trackRevisions>false</trackRevisions>
    </reviewItem>
    <reviewItem>
      <errorID>d55606f0-c3a3-45e2-a9b4-28092442463d</errorID>
      <errorWord>:</errorWord>
      <group>L1_Format</group>
      <groupName>格式问题</groupName>
      <ability>L2_HalfPunc_CN</ability>
      <abilityName/>
      <candidateList>
        <item>：</item>
      </candidateList>
      <explain>文本全半角错误。</explain>
      <paraID>14C95891</paraID>
      <start>188</start>
      <end>189</end>
      <status>modified</status>
      <modifiedWord>：</modifiedWord>
      <trackRevisions>false</trackRevisions>
    </reviewItem>
    <reviewItem>
      <errorID>66911e39-6d55-436c-b645-7f5e2b562fcb</errorID>
      <errorWord>*</errorWord>
      <group>L1_Punc</group>
      <groupName>标点问题</groupName>
      <ability>L2_Punc_CN</ability>
      <abilityName/>
      <candidateList/>
      <explain/>
      <paraID>64994599</paraID>
      <start>0</start>
      <end>1</end>
      <status>unmodified</status>
      <modifiedWord/>
      <trackRevisions>false</trackRevisions>
    </reviewItem>
    <reviewItem>
      <errorID>676fc87f-316c-4a93-a084-ec1ac0a91ecf</errorID>
      <errorWord>*</errorWord>
      <group>L1_Punc</group>
      <groupName>标点问题</groupName>
      <ability>L2_Punc_CN</ability>
      <abilityName/>
      <candidateList/>
      <explain/>
      <paraID>3ACD1E35</paraID>
      <start>0</start>
      <end>1</end>
      <status>unmodified</status>
      <modifiedWord/>
      <trackRevisions>false</trackRevisions>
    </reviewItem>
    <reviewItem>
      <errorID>2f569216-1053-4602-9e2c-87ea9f2a6b10</errorID>
      <errorWord>*</errorWord>
      <group>L1_Punc</group>
      <groupName>标点问题</groupName>
      <ability>L2_Punc_CN</ability>
      <abilityName/>
      <candidateList/>
      <explain/>
      <paraID>71C40C80</paraID>
      <start>0</start>
      <end>1</end>
      <status>unmodified</status>
      <modifiedWord/>
      <trackRevisions>false</trackRevisions>
    </reviewItem>
    <reviewItem>
      <errorID>918edd59-7be5-4539-85dd-405a9ae5a42e</errorID>
      <errorWord>*</errorWord>
      <group>L1_Punc</group>
      <groupName>标点问题</groupName>
      <ability>L2_Punc_CN</ability>
      <abilityName/>
      <candidateList/>
      <explain/>
      <paraID>30B92A1B</paraID>
      <start>0</start>
      <end>1</end>
      <status>unmodified</status>
      <modifiedWord/>
      <trackRevisions>false</trackRevisions>
    </reviewItem>
    <reviewItem>
      <errorID>1b21b6ff-029b-4124-a8a9-c0db298d9723</errorID>
      <errorWord>*</errorWord>
      <group>L1_Punc</group>
      <groupName>标点问题</groupName>
      <ability>L2_Punc_CN</ability>
      <abilityName/>
      <candidateList/>
      <explain/>
      <paraID> 3E31C8B</paraID>
      <start>0</start>
      <end>1</end>
      <status>unmodified</status>
      <modifiedWord/>
      <trackRevisions>false</trackRevisions>
    </reviewItem>
    <reviewItem>
      <errorID>aee09a6d-f857-4d7a-9b2e-371342dca0b1</errorID>
      <errorWord>后</errorWord>
      <group>L1_Word</group>
      <groupName>字词问题</groupName>
      <ability>L2_Typo</ability>
      <abilityName>字词错误</abilityName>
      <candidateList>
        <item>后进</item>
      </candidateList>
      <explain/>
      <paraID>2A8BECFF</paraID>
      <start>134</start>
      <end>136</end>
      <status>modified</status>
      <modifiedWord>后进</modifiedWord>
      <trackRevisions>false</trackRevisions>
    </reviewItem>
    <reviewItem>
      <errorID>8863a63f-28c8-4f03-8b14-abc1abb13087</errorID>
      <errorWord>。；</errorWord>
      <group>L1_Punc</group>
      <groupName>标点问题</groupName>
      <ability>L2_Punc_CN</ability>
      <abilityName/>
      <candidateList>
        <item>。</item>
      </candidateList>
      <explain/>
      <paraID>34D6C6EC</paraID>
      <start>81</start>
      <end>82</end>
      <status>modified</status>
      <modifiedWord>。</modifiedWord>
      <trackRevisions>false</trackRevisions>
    </reviewItem>
    <reviewItem>
      <errorID>1457afff-dbfc-4666-b34a-cc4e5373c759</errorID>
      <errorWord>*</errorWord>
      <group>L1_Punc</group>
      <groupName>标点问题</groupName>
      <ability>L2_Punc_CN</ability>
      <abilityName/>
      <candidateList/>
      <explain/>
      <paraID>48F7FAEA</paraID>
      <start>0</start>
      <end>1</end>
      <status>unmodified</status>
      <modifiedWord/>
      <trackRevisions>false</trackRevisions>
    </reviewItem>
    <reviewItem>
      <errorID>827961bc-6d25-4cb1-995e-bdb2fc1d35dc</errorID>
      <errorWord>*</errorWord>
      <group>L1_Punc</group>
      <groupName>标点问题</groupName>
      <ability>L2_Punc_CN</ability>
      <abilityName/>
      <candidateList/>
      <explain/>
      <paraID>5A180CB5</paraID>
      <start>0</start>
      <end>1</end>
      <status>unmodified</status>
      <modifiedWord/>
      <trackRevisions>false</trackRevisions>
    </reviewItem>
    <reviewItem>
      <errorID>12c82645-0f6d-4f7f-ac86-5a9a4e89283c</errorID>
      <errorWord>ug/m3</errorWord>
      <group>L1_Word</group>
      <groupName>字词问题</groupName>
      <ability>L2_Typo</ability>
      <abilityName>字词错误</abilityName>
      <candidateList>
        <item>μg/m3</item>
      </candidateList>
      <explain/>
      <paraID>1051FE78</paraID>
      <start>5</start>
      <end>10</end>
      <status>modified</status>
      <modifiedWord>μg/m3</modifiedWord>
      <trackRevisions>false</trackRevisions>
    </reviewItem>
    <reviewItem>
      <errorID>9ff1130c-fb10-4415-84bb-2cb50f234ff0</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FC381E8</paraID>
      <start>38</start>
      <end>39</end>
      <status>modified</status>
      <modifiedWord>—</modifiedWord>
      <trackRevisions>false</trackRevisions>
    </reviewItem>
    <reviewItem>
      <errorID>d9d78202-9361-4a87-b323-36d37b51b267</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2AC14395</paraID>
      <start>347</start>
      <end>348</end>
      <status>modified</status>
      <modifiedWord>—</modifiedWord>
      <trackRevisions>false</trackRevisions>
    </reviewItem>
    <reviewItem>
      <errorID>d3bdc91d-eca0-44da-b516-b48cb26ad19b</errorID>
      <errorWord>*</errorWord>
      <group>L1_Punc</group>
      <groupName>标点问题</groupName>
      <ability>L2_Punc_CN</ability>
      <abilityName/>
      <candidateList/>
      <explain/>
      <paraID> 18EC02A</paraID>
      <start>0</start>
      <end>1</end>
      <status>unmodified</status>
      <modifiedWord/>
      <trackRevisions>false</trackRevisions>
    </reviewItem>
    <reviewItem>
      <errorID>3146033b-de91-4c2e-bbbc-2456f445ce30</errorID>
      <errorWord>（</errorWord>
      <group>L1_Punc</group>
      <groupName>标点问题</groupName>
      <ability>L2_Punc_CN</ability>
      <abilityName/>
      <candidateList/>
      <explain>同一形式括号套用。</explain>
      <paraID>30E45158</paraID>
      <start>14</start>
      <end>15</end>
      <status>unmodified</status>
      <modifiedWord/>
      <trackRevisions>false</trackRevisions>
    </reviewItem>
    <reviewItem>
      <errorID>a5d68900-af12-4cc8-ab25-b816789d60fb</errorID>
      <errorWord>）</errorWord>
      <group>L1_Punc</group>
      <groupName>标点问题</groupName>
      <ability>L2_Punc_CN</ability>
      <abilityName/>
      <candidateList/>
      <explain>同一形式括号套用。</explain>
      <paraID>30E45158</paraID>
      <start>18</start>
      <end>19</end>
      <status>unmodified</status>
      <modifiedWord/>
      <trackRevisions>false</trackRevisions>
    </reviewItem>
    <reviewItem>
      <errorID>ce3d9380-022f-4fa1-83a3-2fdeabbaef61</errorID>
      <errorWord>（</errorWord>
      <group>L1_Punc</group>
      <groupName>标点问题</groupName>
      <ability>L2_Punc_CN</ability>
      <abilityName/>
      <candidateList/>
      <explain>同一形式括号套用。</explain>
      <paraID>30E45158</paraID>
      <start>28</start>
      <end>29</end>
      <status>unmodified</status>
      <modifiedWord/>
      <trackRevisions>false</trackRevisions>
    </reviewItem>
    <reviewItem>
      <errorID>7f110119-ef05-4daf-bbf1-b29a4f51f848</errorID>
      <errorWord>）</errorWord>
      <group>L1_Punc</group>
      <groupName>标点问题</groupName>
      <ability>L2_Punc_CN</ability>
      <abilityName/>
      <candidateList/>
      <explain>同一形式括号套用。</explain>
      <paraID>30E45158</paraID>
      <start>32</start>
      <end>33</end>
      <status>unmodified</status>
      <modifiedWord/>
      <trackRevisions>false</trackRevisions>
    </reviewItem>
    <reviewItem>
      <errorID>2187ccbe-621b-4cc2-9559-cf8a63f94f87</errorID>
      <errorWord>福州文山</errorWord>
      <group>L1_Knowledge</group>
      <groupName>知识性问题</groupName>
      <ability>L2_Location</ability>
      <abilityName>地名检查</abilityName>
      <candidateList>
        <item>文山壮族苗族自治州文山</item>
      </candidateList>
      <explain>地名表述错误。</explain>
      <paraID>30E45158</paraID>
      <start>67</start>
      <end>71</end>
      <status>ignored</status>
      <modifiedWord/>
      <trackRevisions>false</trackRevisions>
    </reviewItem>
    <reviewItem>
      <errorID>703f36b9-502d-4cb5-8ed5-4e0ee5250610</errorID>
      <errorWord>（</errorWord>
      <group>L1_Punc</group>
      <groupName>标点问题</groupName>
      <ability>L2_Punc_CN</ability>
      <abilityName/>
      <candidateList/>
      <explain>同一形式括号套用。</explain>
      <paraID>7BD40AC1</paraID>
      <start>10</start>
      <end>11</end>
      <status>unmodified</status>
      <modifiedWord/>
      <trackRevisions>false</trackRevisions>
    </reviewItem>
    <reviewItem>
      <errorID>108ec301-b336-4127-b167-dafbb6ff69c7</errorID>
      <errorWord>）</errorWord>
      <group>L1_Punc</group>
      <groupName>标点问题</groupName>
      <ability>L2_Punc_CN</ability>
      <abilityName/>
      <candidateList/>
      <explain>同一形式括号套用。</explain>
      <paraID>7BD40AC1</paraID>
      <start>12</start>
      <end>13</end>
      <status>unmodified</status>
      <modifiedWord/>
      <trackRevisions>false</trackRevisions>
    </reviewItem>
    <reviewItem>
      <errorID>423c7a04-8375-414d-a352-d81e6f9aca03</errorID>
      <errorWord>(</errorWord>
      <group>L1_Format</group>
      <groupName>格式问题</groupName>
      <ability>L2_HalfPunc_CN</ability>
      <abilityName/>
      <candidateList>
        <item>（</item>
      </candidateList>
      <explain>文本全半角错误。</explain>
      <paraID>20F1B78D</paraID>
      <start>234</start>
      <end>235</end>
      <status>modified</status>
      <modifiedWord>（</modifiedWord>
      <trackRevisions>false</trackRevisions>
    </reviewItem>
    <reviewItem>
      <errorID>5848f038-289b-4aaa-a46b-f7d8fe762e44</errorID>
      <errorWord>)</errorWord>
      <group>L1_Format</group>
      <groupName>格式问题</groupName>
      <ability>L2_HalfPunc_CN</ability>
      <abilityName/>
      <candidateList>
        <item>）</item>
      </candidateList>
      <explain>文本全半角错误。</explain>
      <paraID>20F1B78D</paraID>
      <start>249</start>
      <end>250</end>
      <status>modified</status>
      <modifiedWord>）</modifiedWord>
      <trackRevisions>false</trackRevisions>
    </reviewItem>
    <reviewItem>
      <errorID>1f27c48e-d87f-4f69-b984-c7cbee1fa9f7</errorID>
      <errorWord>无需设置</errorWord>
      <group>L1_Word</group>
      <groupName>字词问题</groupName>
      <ability>L2_Alias</ability>
      <abilityName>也作/曾用词</abilityName>
      <candidateList>
        <item>无须设置</item>
      </candidateList>
      <explain>词汇[无需设置]为不规范表述或旧称，其规范书面表述为[无须设置]。</explain>
      <paraID>20F1B78D</paraID>
      <start>390</start>
      <end>394</end>
      <status>modified</status>
      <modifiedWord>无须设置</modifiedWord>
      <trackRevisions>false</trackRevisions>
    </reviewItem>
    <reviewItem>
      <errorID>f6b42910-6950-4d73-8240-05971aece2b9</errorID>
      <errorWord>（</errorWord>
      <group>L1_Punc</group>
      <groupName>标点问题</groupName>
      <ability>L2_Punc_CN</ability>
      <abilityName/>
      <candidateList/>
      <explain>此处标点可能未正确匹配，请检查句子中是否存在标点冗余、缺失或使用错误的情况。</explain>
      <paraID> 4E62136</paraID>
      <start>10</start>
      <end>11</end>
      <status>unmodified</status>
      <modifiedWord/>
      <trackRevisions>false</trackRevisions>
    </reviewItem>
    <reviewItem>
      <errorID>9a3521ae-aacb-4e59-9390-62b3824d7c36</errorID>
      <errorWord>（</errorWord>
      <group>L1_Punc</group>
      <groupName>标点问题</groupName>
      <ability>L2_Punc_CN</ability>
      <abilityName/>
      <candidateList/>
      <explain>同一形式括号套用。</explain>
      <paraID>67A5B910</paraID>
      <start>133</start>
      <end>134</end>
      <status>unmodified</status>
      <modifiedWord/>
      <trackRevisions>false</trackRevisions>
    </reviewItem>
    <reviewItem>
      <errorID>1d504116-b59f-4b6a-aede-3cf4ea4ec454</errorID>
      <errorWord>）</errorWord>
      <group>L1_Punc</group>
      <groupName>标点问题</groupName>
      <ability>L2_Punc_CN</ability>
      <abilityName/>
      <candidateList/>
      <explain>同一形式括号套用。</explain>
      <paraID>67A5B910</paraID>
      <start>148</start>
      <end>149</end>
      <status>unmodified</status>
      <modifiedWord/>
      <trackRevisions>false</trackRevisions>
    </reviewItem>
    <reviewItem>
      <errorID>25b42ee9-e156-4816-bd98-cf25aeb3b873</errorID>
      <errorWord>-</errorWord>
      <group>L1_Format</group>
      <groupName>格式问题</groupName>
      <ability>L2_HalfPunc_CN</ability>
      <abilityName/>
      <candidateList>
        <item>－</item>
      </candidateList>
      <explain>文本全半角错误。</explain>
      <paraID>22DF562F</paraID>
      <start>155</start>
      <end>156</end>
      <status>modified</status>
      <modifiedWord>－</modifiedWord>
      <trackRevisions>false</trackRevisions>
    </reviewItem>
    <reviewItem>
      <errorID>a39f4f75-eb8c-4e25-aff1-b1eca40d75a0</errorID>
      <errorWord>-</errorWord>
      <group>L1_Format</group>
      <groupName>格式问题</groupName>
      <ability>L2_HalfPunc_CN</ability>
      <abilityName/>
      <candidateList>
        <item>－</item>
      </candidateList>
      <explain>文本全半角错误。</explain>
      <paraID>42A3F582</paraID>
      <start>148</start>
      <end>149</end>
      <status>modified</status>
      <modifiedWord>－</modifiedWord>
      <trackRevisions>false</trackRevisions>
    </reviewItem>
    <reviewItem>
      <errorID>a6ca99d6-ef55-473e-9251-ef38c654e876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42A3F582</paraID>
      <start>167</start>
      <end>168</end>
      <status>modified</status>
      <modifiedWord>—</modifiedWord>
      <trackRevisions>false</trackRevisions>
    </reviewItem>
    <reviewItem>
      <errorID>52fcff31-b4ab-4d2f-88e3-da2abd11b14a</errorID>
      <errorWord>-</errorWord>
      <group>L1_Format</group>
      <groupName>格式问题</groupName>
      <ability>L2_HalfPunc_CN</ability>
      <abilityName/>
      <candidateList>
        <item>－</item>
      </candidateList>
      <explain>文本全半角错误。</explain>
      <paraID>42A3F582</paraID>
      <start>173</start>
      <end>174</end>
      <status>modified</status>
      <modifiedWord>－</modifiedWord>
      <trackRevisions>false</trackRevisions>
    </reviewItem>
    <reviewItem>
      <errorID>d05ca16b-f82c-4993-93c1-884a80fe0686</errorID>
      <errorWord>-</errorWord>
      <group>L1_Format</group>
      <groupName>格式问题</groupName>
      <ability>L2_HalfPunc_CN</ability>
      <abilityName/>
      <candidateList>
        <item>－</item>
      </candidateList>
      <explain>文本全半角错误。</explain>
      <paraID>10519AE4</paraID>
      <start>147</start>
      <end>148</end>
      <status>modified</status>
      <modifiedWord>－</modifiedWord>
      <trackRevisions>false</trackRevisions>
    </reviewItem>
    <reviewItem>
      <errorID>c39e9230-1702-4b80-a396-d2cdeaae06b8</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10519AE4</paraID>
      <start>166</start>
      <end>167</end>
      <status>modified</status>
      <modifiedWord>—</modifiedWord>
      <trackRevisions>false</trackRevisions>
    </reviewItem>
    <reviewItem>
      <errorID>d65967f7-c16f-4d54-981e-ae979baf7f7f</errorID>
      <errorWord>-</errorWord>
      <group>L1_Format</group>
      <groupName>格式问题</groupName>
      <ability>L2_HalfPunc_CN</ability>
      <abilityName/>
      <candidateList>
        <item>－</item>
      </candidateList>
      <explain>文本全半角错误。</explain>
      <paraID>10519AE4</paraID>
      <start>172</start>
      <end>173</end>
      <status>modified</status>
      <modifiedWord>－</modifiedWord>
      <trackRevisions>false</trackRevisions>
    </reviewItem>
    <reviewItem>
      <errorID>196521f0-7f66-40c9-9619-5bbad73b81eb</errorID>
      <errorWord>后</errorWord>
      <group>L1_Word</group>
      <groupName>字词问题</groupName>
      <ability>L2_Typo</ability>
      <abilityName>字词错误</abilityName>
      <candidateList>
        <item>后进</item>
      </candidateList>
      <explain/>
      <paraID>149F6D37</paraID>
      <start>227</start>
      <end>229</end>
      <status>modified</status>
      <modifiedWord>后进</modifiedWord>
      <trackRevisions>false</trackRevisions>
    </reviewItem>
    <reviewItem>
      <errorID>0ece92b7-100a-4130-aa73-842319d87a42</errorID>
      <errorWord>-</errorWord>
      <group>L1_Format</group>
      <groupName>格式问题</groupName>
      <ability>L2_HalfPunc_CN</ability>
      <abilityName/>
      <candidateList>
        <item>－</item>
      </candidateList>
      <explain>文本全半角错误。</explain>
      <paraID>149F6D37</paraID>
      <start>440</start>
      <end>441</end>
      <status>modified</status>
      <modifiedWord>－</modifiedWord>
      <trackRevisions>false</trackRevisions>
    </reviewItem>
    <reviewItem>
      <errorID>c63e69c4-c3ff-4130-ae0b-7553cf97cb10</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EE24610</paraID>
      <start>73</start>
      <end>74</end>
      <status>modified</status>
      <modifiedWord>—</modifiedWord>
      <trackRevisions>false</trackRevisions>
    </reviewItem>
    <reviewItem>
      <errorID>4dd7d64b-89f5-488c-a354-e93e74b29109</errorID>
      <errorWord>：</errorWord>
      <group>L1_Format</group>
      <groupName>格式问题</groupName>
      <ability>L2_HalfPunc_CN</ability>
      <abilityName/>
      <candidateList>
        <item>:</item>
      </candidateList>
      <explain>文本全半角错误。</explain>
      <paraID> EE24610</paraID>
      <start>313</start>
      <end>314</end>
      <status>modified</status>
      <modifiedWord>:</modifiedWord>
      <trackRevisions>false</trackRevisions>
    </reviewItem>
    <reviewItem>
      <errorID>8988b3a3-5c85-44bf-8c35-7101316a5cd5</errorID>
      <errorWord>,</errorWord>
      <group>L1_Format</group>
      <groupName>格式问题</groupName>
      <ability>L2_HalfPunc_CN</ability>
      <abilityName/>
      <candidateList>
        <item>，</item>
      </candidateList>
      <explain>文本全半角错误。</explain>
      <paraID>65B5A935</paraID>
      <start>28</start>
      <end>29</end>
      <status>modified</status>
      <modifiedWord>，</modifiedWord>
      <trackRevisions>false</trackRevisions>
    </reviewItem>
    <reviewItem>
      <errorID>c7deb2b2-1d09-457e-bc4a-508b30bc9954</errorID>
      <errorWord>才可</errorWord>
      <group>L1_Word</group>
      <groupName>字词问题</groupName>
      <ability>L2_Typo</ability>
      <abilityName>字词错误</abilityName>
      <candidateList>
        <item>方可</item>
      </candidateList>
      <explain/>
      <paraID>65B5A935</paraID>
      <start>64</start>
      <end>66</end>
      <status>modified</status>
      <modifiedWord>方可</modifiedWord>
      <trackRevisions>false</trackRevisions>
    </reviewItem>
    <reviewItem>
      <errorID>11bb7348-dfc8-4ac8-9392-70e8154bc79a</errorID>
      <errorWord>纳</errorWord>
      <group>L1_Word</group>
      <groupName>字词问题</groupName>
      <ability>L2_Typo</ability>
      <abilityName>字词错误</abilityName>
      <candidateList>
        <item>纳入</item>
      </candidateList>
      <explain>〈动〉放进；归入（多用于抽象事物）：～正轨｜～计划。</explain>
      <paraID>5A49CBBB</paraID>
      <start>21</start>
      <end>23</end>
      <status>modified</status>
      <modifiedWord>纳入</modifiedWord>
      <trackRevisions>false</trackRevisions>
    </reviewItem>
    <reviewItem>
      <errorID>78eaab00-59bd-4110-af51-90a804dc944e</errorID>
      <errorWord>后</errorWord>
      <group>L1_Word</group>
      <groupName>字词问题</groupName>
      <ability>L2_Typo</ability>
      <abilityName>字词错误</abilityName>
      <candidateList>
        <item>后进</item>
      </candidateList>
      <explain/>
      <paraID>6338CFEF</paraID>
      <start>13</start>
      <end>15</end>
      <status>modified</status>
      <modifiedWord>后进</modifiedWord>
      <trackRevisions>false</trackRevisions>
    </reviewItem>
    <reviewItem>
      <errorID>623bc2c7-0133-4d5f-90fd-a3a78b3cc6ff</errorID>
      <errorWord>化学抛光</errorWord>
      <group>L1_Knowledge</group>
      <groupName>知识性问题</groupName>
      <ability>L2_Term</ability>
      <abilityName>专业术语</abilityName>
      <candidateList>
        <item>化学拋光</item>
      </candidateList>
      <explain/>
      <paraID>  6FB69B</paraID>
      <start>30</start>
      <end>34</end>
      <status>modified</status>
      <modifiedWord>化学拋光</modifiedWord>
      <trackRevisions>false</trackRevisions>
    </reviewItem>
    <reviewItem>
      <errorID>640e9e21-dc04-484f-a493-6cc8a8bf4b0d</errorID>
      <errorWord>-</errorWord>
      <group>L1_Format</group>
      <groupName>格式问题</groupName>
      <ability>L2_HalfPunc_CN</ability>
      <abilityName/>
      <candidateList>
        <item>－</item>
      </candidateList>
      <explain>文本全半角错误。</explain>
      <paraID>5FED25F9</paraID>
      <start>184</start>
      <end>185</end>
      <status>modified</status>
      <modifiedWord>－</modifiedWord>
      <trackRevisions>false</trackRevisions>
    </reviewItem>
    <reviewItem>
      <errorID>32f7fa64-abdb-4601-b95a-ae51dddcc980</errorID>
      <errorWord>-</errorWord>
      <group>L1_Format</group>
      <groupName>格式问题</groupName>
      <ability>L2_HalfPunc_CN</ability>
      <abilityName/>
      <candidateList>
        <item>－</item>
      </candidateList>
      <explain>文本全半角错误。</explain>
      <paraID> 607F7C5</paraID>
      <start>128</start>
      <end>129</end>
      <status>modified</status>
      <modifiedWord>－</modifiedWord>
      <trackRevisions>false</trackRevisions>
    </reviewItem>
    <reviewItem>
      <errorID>d81f9310-42f9-4cb9-91dc-e8d09534b4f4</errorID>
      <errorWord>～</errorWord>
      <group>L1_Format</group>
      <groupName>格式问题</groupName>
      <ability>L2_HalfPunc_CN</ability>
      <abilityName/>
      <candidateList>
        <item>~</item>
      </candidateList>
      <explain>文本全半角错误。</explain>
      <paraID>558AA6BC</paraID>
      <start>3</start>
      <end>4</end>
      <status>modified</status>
      <modifiedWord>~</modifiedWord>
      <trackRevisions>false</trackRevisions>
    </reviewItem>
    <reviewItem>
      <errorID>c3277a29-b9e6-4af1-b74f-fedfc35befe3</errorID>
      <errorWord>～</errorWord>
      <group>L1_Format</group>
      <groupName>格式问题</groupName>
      <ability>L2_HalfPunc_CN</ability>
      <abilityName/>
      <candidateList>
        <item>~</item>
      </candidateList>
      <explain>文本全半角错误。</explain>
      <paraID>311317FF</paraID>
      <start>3</start>
      <end>4</end>
      <status>modified</status>
      <modifiedWord>~</modifiedWord>
      <trackRevisions>false</trackRevisions>
    </reviewItem>
    <reviewItem>
      <errorID>548fc7ea-60e0-4003-97f1-395599b43494</errorID>
      <errorWord>效率好</errorWord>
      <group>L1_Word</group>
      <groupName>字词问题</groupName>
      <ability>L2_Typo</ability>
      <abilityName>字词错误</abilityName>
      <candidateList>
        <item>效率高</item>
      </candidateList>
      <explain>存在发音相近字词的误用。</explain>
      <paraID>4E0CDC49</paraID>
      <start>2</start>
      <end>5</end>
      <status>modified</status>
      <modifiedWord>效率高</modifiedWord>
      <trackRevisions>false</trackRevisions>
    </reviewItem>
    <reviewItem>
      <errorID>3dc04df6-43d7-4b7e-8a18-303c57bbc943</errorID>
      <errorWord>效率好</errorWord>
      <group>L1_Word</group>
      <groupName>字词问题</groupName>
      <ability>L2_Typo</ability>
      <abilityName>字词错误</abilityName>
      <candidateList>
        <item>效率高</item>
      </candidateList>
      <explain>存在发音相近字词的误用。</explain>
      <paraID>45A1A8FF</paraID>
      <start>2</start>
      <end>5</end>
      <status>modified</status>
      <modifiedWord>效率高</modifiedWord>
      <trackRevisions>false</trackRevisions>
    </reviewItem>
    <reviewItem>
      <errorID>b2e965f5-bf18-42ef-a4c7-6507c54b1618</errorID>
      <errorWord>、</errorWord>
      <group>L1_Punc</group>
      <groupName>标点问题</groupName>
      <ability>L2_Punc_CN</ability>
      <abilityName/>
      <candidateList>
        <item>.</item>
      </candidateList>
      <explain/>
      <paraID>65409A83</paraID>
      <start>1</start>
      <end>2</end>
      <status>modified</status>
      <modifiedWord>.</modifiedWord>
      <trackRevisions>false</trackRevisions>
    </reviewItem>
    <reviewItem>
      <errorID>40d5e1f1-ff76-4355-9320-a3a2a44b90a7</errorID>
      <errorWord>、</errorWord>
      <group>L1_Punc</group>
      <groupName>标点问题</groupName>
      <ability>L2_Punc_CN</ability>
      <abilityName/>
      <candidateList>
        <item>.</item>
      </candidateList>
      <explain/>
      <paraID>49F9A526</paraID>
      <start>1</start>
      <end>2</end>
      <status>modified</status>
      <modifiedWord>.</modifiedWord>
      <trackRevisions>false</trackRevisions>
    </reviewItem>
    <reviewItem>
      <errorID>4c252b7c-a673-40b7-874f-6329e0659aa0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49F9A526</paraID>
      <start>34</start>
      <end>35</end>
      <status>modified</status>
      <modifiedWord>地</modifiedWord>
      <trackRevisions>false</trackRevisions>
    </reviewItem>
    <reviewItem>
      <errorID>890532c1-b0be-4a14-a259-5de9a0089d51</errorID>
      <errorWord>、</errorWord>
      <group>L1_Punc</group>
      <groupName>标点问题</groupName>
      <ability>L2_Punc_CN</ability>
      <abilityName/>
      <candidateList>
        <item>.</item>
      </candidateList>
      <explain/>
      <paraID> 3AB33EA</paraID>
      <start>1</start>
      <end>2</end>
      <status>modified</status>
      <modifiedWord>.</modifiedWord>
      <trackRevisions>false</trackRevisions>
    </reviewItem>
    <reviewItem>
      <errorID>4d722520-546b-422a-9088-f933f0a6479a</errorID>
      <errorWord>设备、基础减震</errorWord>
      <group>L1_Word</group>
      <groupName>字词问题</groupName>
      <ability>L2_Typo</ability>
      <abilityName>字词错误</abilityName>
      <candidateList>
        <item>设备、基础减振</item>
      </candidateList>
      <explain/>
      <paraID>1CA45517</paraID>
      <start>3</start>
      <end>10</end>
      <status>modified</status>
      <modifiedWord>设备、基础减振</modifiedWord>
      <trackRevisions>false</trackRevisions>
    </reviewItem>
    <reviewItem>
      <errorID>057b24f4-2502-48ba-b4ff-2fcf93d545fb</errorID>
      <errorWord>（</errorWord>
      <group>L1_Punc</group>
      <groupName>标点问题</groupName>
      <ability>L2_Punc_CN</ability>
      <abilityName/>
      <candidateList/>
      <explain>同一形式括号套用。</explain>
      <paraID>52FFABD5</paraID>
      <start>50</start>
      <end>51</end>
      <status>unmodified</status>
      <modifiedWord/>
      <trackRevisions>false</trackRevisions>
    </reviewItem>
    <reviewItem>
      <errorID>fe46e943-076a-43ab-a2ee-e6cfee8704cb</errorID>
      <errorWord>）</errorWord>
      <group>L1_Punc</group>
      <groupName>标点问题</groupName>
      <ability>L2_Punc_CN</ability>
      <abilityName/>
      <candidateList/>
      <explain>同一形式括号套用。</explain>
      <paraID>52FFABD5</paraID>
      <start>52</start>
      <end>53</end>
      <status>unmodified</status>
      <modifiedWord/>
      <trackRevisions>false</trackRevisions>
    </reviewItem>
    <reviewItem>
      <errorID>a34352b1-3882-4f84-bc53-e4e367073c71</errorID>
      <errorWord>&gt;</errorWord>
      <group>L1_Punc</group>
      <groupName>标点问题</groupName>
      <ability>L2_Punc_CN</ability>
      <abilityName/>
      <candidateList/>
      <explain/>
      <paraID>61343BDE</paraID>
      <start>0</start>
      <end>1</end>
      <status>unmodified</status>
      <modifiedWord/>
      <trackRevisions>false</trackRevisions>
    </reviewItem>
    <reviewItem>
      <errorID>495089ab-3272-49c4-a689-0cb062e94121</errorID>
      <errorWord>（</errorWord>
      <group>L1_Punc</group>
      <groupName>标点问题</groupName>
      <ability>L2_Punc_CN</ability>
      <abilityName/>
      <candidateList/>
      <explain>同一形式括号套用。</explain>
      <paraID>553F5649</paraID>
      <start>126</start>
      <end>127</end>
      <status>unmodified</status>
      <modifiedWord/>
      <trackRevisions>false</trackRevisions>
    </reviewItem>
    <reviewItem>
      <errorID>ae17d071-943a-4ee2-baea-8df0377384ef</errorID>
      <errorWord>）</errorWord>
      <group>L1_Punc</group>
      <groupName>标点问题</groupName>
      <ability>L2_Punc_CN</ability>
      <abilityName/>
      <candidateList/>
      <explain>同一形式括号套用。</explain>
      <paraID>553F5649</paraID>
      <start>131</start>
      <end>132</end>
      <status>unmodified</status>
      <modifiedWord/>
      <trackRevisions>false</trackRevisions>
    </reviewItem>
    <reviewItem>
      <errorID>2b369e31-65fb-45c7-8dbe-7e90941440e9</errorID>
      <errorWord>（</errorWord>
      <group>L1_Punc</group>
      <groupName>标点问题</groupName>
      <ability>L2_Punc_CN</ability>
      <abilityName/>
      <candidateList/>
      <explain>同一形式括号套用。</explain>
      <paraID>553F5649</paraID>
      <start>178</start>
      <end>179</end>
      <status>unmodified</status>
      <modifiedWord/>
      <trackRevisions>false</trackRevisions>
    </reviewItem>
    <reviewItem>
      <errorID>86a5566b-39f1-4bee-a403-215c1043d872</errorID>
      <errorWord>）</errorWord>
      <group>L1_Punc</group>
      <groupName>标点问题</groupName>
      <ability>L2_Punc_CN</ability>
      <abilityName/>
      <candidateList/>
      <explain>同一形式括号套用。</explain>
      <paraID>553F5649</paraID>
      <start>183</start>
      <end>184</end>
      <status>unmodified</status>
      <modifiedWord/>
      <trackRevisions>false</trackRevisions>
    </reviewItem>
    <reviewItem>
      <errorID>5ac8c870-b24c-46a8-8532-48921f104c22</errorID>
      <errorWord>应要</errorWord>
      <group>L1_Word</group>
      <groupName>字词问题</groupName>
      <ability>L2_Typo</ability>
      <abilityName>字词错误</abilityName>
      <candidateList>
        <item>应</item>
      </candidateList>
      <explain/>
      <paraID>2019292C</paraID>
      <start>19</start>
      <end>20</end>
      <status>modified</status>
      <modifiedWord>应</modifiedWord>
      <trackRevisions>false</trackRevisions>
    </reviewItem>
    <reviewItem>
      <errorID>89457d6b-f61a-4c14-aa89-4243274a5d9e</errorID>
      <errorWord>实际情况做</errorWord>
      <group>L1_Word</group>
      <groupName>字词问题</groupName>
      <ability>L2_Typo</ability>
      <abilityName>字词错误</abilityName>
      <candidateList>
        <item>实际情况作</item>
      </candidateList>
      <explain/>
      <paraID>2019292C</paraID>
      <start>22</start>
      <end>27</end>
      <status>modified</status>
      <modifiedWord>实际情况作</modifiedWord>
      <trackRevisions>false</trackRevisions>
    </reviewItem>
    <reviewItem>
      <errorID>a3575bd5-ef3c-4ae4-8838-5afec331d8fd</errorID>
      <errorWord>)</errorWord>
      <group>L1_Format</group>
      <groupName>格式问题</groupName>
      <ability>L2_HalfPunc_CN</ability>
      <abilityName/>
      <candidateList>
        <item>）</item>
      </candidateList>
      <explain>文本全半角错误。</explain>
      <paraID>28941D77</paraID>
      <start>100</start>
      <end>101</end>
      <status>modified</status>
      <modifiedWord>）</modifiedWord>
      <trackRevisions>false</trackRevisions>
    </reviewItem>
    <reviewItem>
      <errorID>d28e53fd-c311-4d2e-aec3-714c7101aa2c</errorID>
      <errorWord>，</errorWord>
      <group>L1_Format</group>
      <groupName>格式问题</groupName>
      <ability>L2_HalfPunc_CN</ability>
      <abilityName/>
      <candidateList>
        <item>, </item>
      </candidateList>
      <explain>文本全半角错误。</explain>
      <paraID>66C61A66</paraID>
      <start>1</start>
      <end>3</end>
      <status>modified</status>
      <modifiedWord>, </modifiedWord>
      <trackRevisions>false</trackRevisions>
    </reviewItem>
    <reviewItem>
      <errorID>27193ded-0a05-4691-9cbf-086d2461d989</errorID>
      <errorWord>建</errorWord>
      <group>L1_Word</group>
      <groupName>字词问题</groupName>
      <ability>L2_Typo</ability>
      <abilityName>字词错误</abilityName>
      <candidateList>
        <item>建设</item>
      </candidateList>
      <explain>〈动〉创立新事业；增加新设施：经济～｜～家园｜～现代化强国◇组织～｜思想～。</explain>
      <paraID>5AA4C5EF</paraID>
      <start>3</start>
      <end>5</end>
      <status>modified</status>
      <modifiedWord>建设</modifiedWord>
      <trackRevisions>false</trackRevisions>
    </reviewItem>
    <reviewItem>
      <errorID>685d72cf-272f-4e06-b2d3-b68d4c15f156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1BE99570</paraID>
      <start>125</start>
      <end>126</end>
      <status>modified</status>
      <modifiedWord>—</modifiedWord>
      <trackRevisions>false</trackRevisions>
    </reviewItem>
    <reviewItem>
      <errorID>680d0304-dfd3-417a-841d-d0a27590814e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1BE99570</paraID>
      <start>164</start>
      <end>165</end>
      <status>modified</status>
      <modifiedWord>—</modifiedWord>
      <trackRevisions>false</trackRevisions>
    </reviewItem>
    <reviewItem>
      <errorID>3799e390-c4cd-4430-97e6-238c8410ffcd</errorID>
      <errorWord>，...，</errorWord>
      <group>L1_Punc</group>
      <groupName>标点问题</groupName>
      <ability>L2_Punc_CN</ability>
      <abilityName/>
      <candidateList>
        <item>，</item>
      </candidateList>
      <explain/>
      <paraID>4975EB68</paraID>
      <start>8</start>
      <end>9</end>
      <status>modified</status>
      <modifiedWord>，</modifiedWord>
      <trackRevisions>false</trackRevisions>
    </reviewItem>
    <reviewItem>
      <errorID>95294cb0-4770-48e3-9803-e8c9cdb7a124</errorID>
      <errorWord>，...，</errorWord>
      <group>L1_Punc</group>
      <groupName>标点问题</groupName>
      <ability>L2_Punc_CN</ability>
      <abilityName/>
      <candidateList>
        <item>，</item>
      </candidateList>
      <explain/>
      <paraID>24F43FE7</paraID>
      <start>5</start>
      <end>6</end>
      <status>modified</status>
      <modifiedWord>，</modifiedWord>
      <trackRevisions>false</trackRevisions>
    </reviewItem>
    <reviewItem>
      <errorID>8189c126-4173-46c0-8521-5139a42edf3a</errorID>
      <errorWord>IV</errorWord>
      <group>L1_Knowledge</group>
      <groupName>知识性问题</groupName>
      <ability>L2_Knowledge</ability>
      <abilityName>其他知识</abilityName>
      <candidateList>
        <item>Ⅳ</item>
      </candidateList>
      <explain>中文环境下罗马数字格式错误。</explain>
      <paraID>6DF1E33C</paraID>
      <start>0</start>
      <end>1</end>
      <status>modified</status>
      <modifiedWord>Ⅳ</modifiedWord>
      <trackRevisions>false</trackRevisions>
    </reviewItem>
    <reviewItem>
      <errorID>fc334743-209d-4a88-9b10-5a0347222662</errorID>
      <errorWord>III</errorWord>
      <group>L1_Word</group>
      <groupName>字词问题</groupName>
      <ability>L2_Typo</ability>
      <abilityName>字词错误</abilityName>
      <candidateList>
        <item>Ⅲ</item>
      </candidateList>
      <explain/>
      <paraID> 453AEE7</paraID>
      <start>0</start>
      <end>1</end>
      <status>modified</status>
      <modifiedWord>Ⅲ</modifiedWord>
      <trackRevisions>false</trackRevisions>
    </reviewItem>
    <reviewItem>
      <errorID>d59e14b1-42a2-4217-90d5-36b4a22dec52</errorID>
      <errorWord>应急物资准备</errorWord>
      <group>L1_Political</group>
      <groupName>政治性问题</groupName>
      <ability>L2_Keyword</ability>
      <abilityName>固定表述</abilityName>
      <candidateList>
        <item>应急物资储备</item>
      </candidateList>
      <explain>词汇“应急物资储备”在特定场景下为固定表述形式，请确认此处的“应急物资准备”是否存在不当。</explain>
      <paraID>184CE0E8</paraID>
      <start>3</start>
      <end>9</end>
      <status>ignored</status>
      <modifiedWord/>
      <trackRevisions>false</trackRevisions>
    </reviewItem>
    <reviewItem>
      <errorID>fd4becb3-47b3-438f-9e75-e1767cf32551</errorID>
      <errorWord>学</errorWord>
      <group>L1_Word</group>
      <groupName>字词问题</groupName>
      <ability>L2_Typo</ability>
      <abilityName>字词错误</abilityName>
      <candidateList>
        <item>学品</item>
      </candidateList>
      <explain/>
      <paraID>17459891</paraID>
      <start>95</start>
      <end>97</end>
      <status>modified</status>
      <modifiedWord>学品</modifiedWord>
      <trackRevisions>false</trackRevisions>
    </reviewItem>
    <reviewItem>
      <errorID>5788872d-414b-4b8b-b66e-ffb6ed772656</errorID>
      <errorWord>液体液体</errorWord>
      <group>L1_Word</group>
      <groupName>字词问题</groupName>
      <ability>L2_Typo</ability>
      <abilityName>字词错误</abilityName>
      <candidateList>
        <item>液体</item>
      </candidateList>
      <explain/>
      <paraID>61DCA8FC</paraID>
      <start>182</start>
      <end>184</end>
      <status>modified</status>
      <modifiedWord>液体</modifiedWord>
      <trackRevisions>false</trackRevisions>
    </reviewItem>
    <reviewItem>
      <errorID>5d4ced11-727b-4c28-831d-9c0d1dac1fab</errorID>
      <errorWord>减震</errorWord>
      <group>L1_Word</group>
      <groupName>字词问题</groupName>
      <ability>L2_Typo</ability>
      <abilityName>字词错误</abilityName>
      <candidateList>
        <item>减振</item>
      </candidateList>
      <explain>存在发音相同字词的误用。</explain>
      <paraID>7F916A02</paraID>
      <start>33</start>
      <end>35</end>
      <status>modified</status>
      <modifiedWord>减振</modifiedWord>
      <trackRevisions>false</trackRevisions>
    </reviewItem>
    <reviewItem>
      <errorID>781d832e-9a3f-48a8-a27b-1e4f78a906f6</errorID>
      <errorWord>)</errorWord>
      <group>L1_Format</group>
      <groupName>格式问题</groupName>
      <ability>L2_HalfPunc_CN</ability>
      <abilityName/>
      <candidateList>
        <item>）</item>
      </candidateList>
      <explain>文本全半角错误。</explain>
      <paraID>1B01D7FB</paraID>
      <start>58</start>
      <end>59</end>
      <status>modified</status>
      <modifiedWord>）</modifiedWord>
      <trackRevisions>false</trackRevisions>
    </reviewItem>
    <reviewItem>
      <errorID>ea17b58a-c1de-48d3-a8e6-a1811d354a2e</errorID>
      <errorWord>提高</errorWord>
      <group>L1_Grammar</group>
      <groupName>语法问题</groupName>
      <ability>L2_Grammar</ability>
      <abilityName>语法错误</abilityName>
      <candidateList>
        <item>增强</item>
      </candidateList>
      <explain>“提高～意识”搭配不当，建议修改为“增强～意识”。</explain>
      <paraID> B6EA0C4</paraID>
      <start>16</start>
      <end>18</end>
      <status>modified</status>
      <modifiedWord>增强</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de83a9-4c73-45d8-92a2-a15b5a78e193}">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89</Pages>
  <Words>13557</Words>
  <Characters>14646</Characters>
  <Lines>1</Lines>
  <Paragraphs>1</Paragraphs>
  <TotalTime>44</TotalTime>
  <ScaleCrop>false</ScaleCrop>
  <LinksUpToDate>false</LinksUpToDate>
  <CharactersWithSpaces>15001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Gooday</cp:lastModifiedBy>
  <cp:lastPrinted>2026-04-01T08:11:00Z</cp:lastPrinted>
  <dcterms:modified xsi:type="dcterms:W3CDTF">2026-07-01T07:35:42Z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D240E0552FD14889B141CA5D9DC76A6D_13</vt:lpwstr>
  </property>
  <property fmtid="{D5CDD505-2E9C-101B-9397-08002B2CF9AE}" pid="4" name="KSOTemplateDocerSaveRecord">
    <vt:lpwstr>eyJoZGlkIjoiNTZhZDZkODkzYTk3MzNjNzI2MzZhZTc4MzIxY2E5NjkiLCJ1c2VySWQiOiIxNjkwMjAwNDMyIn0=</vt:lpwstr>
  </property>
</Properties>
</file>