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366A9B">
      <w:pPr>
        <w:rPr>
          <w:rFonts w:ascii="仿宋_GB2312" w:hAnsi="仿宋_GB2312" w:eastAsia="仿宋_GB2312" w:cs="仿宋_GB2312"/>
          <w:color w:val="auto"/>
          <w:sz w:val="36"/>
          <w:szCs w:val="36"/>
        </w:rPr>
      </w:pPr>
      <w:bookmarkStart w:id="0" w:name="_Toc13275"/>
      <w:bookmarkStart w:id="1" w:name="_Toc24803"/>
      <w:r>
        <w:rPr>
          <w:rFonts w:hint="eastAsia" w:ascii="仿宋_GB2312" w:hAnsi="仿宋_GB2312" w:eastAsia="仿宋_GB2312" w:cs="仿宋_GB2312"/>
          <w:color w:val="auto"/>
          <w:sz w:val="36"/>
          <w:szCs w:val="36"/>
        </w:rPr>
        <w:t xml:space="preserve">  </w:t>
      </w:r>
    </w:p>
    <w:p w14:paraId="38DD0863">
      <w:pPr>
        <w:rPr>
          <w:rFonts w:ascii="仿宋_GB2312" w:hAnsi="仿宋_GB2312" w:eastAsia="仿宋_GB2312" w:cs="仿宋_GB2312"/>
          <w:color w:val="auto"/>
          <w:sz w:val="36"/>
          <w:szCs w:val="36"/>
        </w:rPr>
      </w:pPr>
    </w:p>
    <w:p w14:paraId="231415D1">
      <w:pPr>
        <w:rPr>
          <w:rFonts w:ascii="仿宋_GB2312" w:hAnsi="仿宋_GB2312" w:eastAsia="仿宋_GB2312" w:cs="仿宋_GB2312"/>
          <w:color w:val="auto"/>
          <w:sz w:val="36"/>
          <w:szCs w:val="36"/>
        </w:rPr>
      </w:pPr>
    </w:p>
    <w:p w14:paraId="43883999">
      <w:pPr>
        <w:jc w:val="center"/>
        <w:rPr>
          <w:rFonts w:hint="eastAsia" w:ascii="仿宋" w:hAnsi="仿宋" w:eastAsia="方正小标宋_GBK" w:cs="仿宋"/>
          <w:b/>
          <w:bCs/>
          <w:color w:val="auto"/>
          <w:sz w:val="72"/>
          <w:szCs w:val="72"/>
          <w:lang w:val="en-US" w:eastAsia="zh-CN"/>
        </w:rPr>
      </w:pPr>
      <w:bookmarkStart w:id="2" w:name="_Toc7532"/>
      <w:bookmarkStart w:id="3" w:name="_Toc14655"/>
      <w:r>
        <w:rPr>
          <w:rFonts w:hint="eastAsia" w:ascii="方正小标宋_GBK" w:eastAsia="方正小标宋_GBK"/>
          <w:bCs/>
          <w:color w:val="auto"/>
          <w:sz w:val="72"/>
          <w:szCs w:val="72"/>
        </w:rPr>
        <w:t>建设项目环境影响报告表</w:t>
      </w:r>
      <w:bookmarkEnd w:id="2"/>
      <w:bookmarkEnd w:id="3"/>
    </w:p>
    <w:p w14:paraId="4FE5137B">
      <w:pPr>
        <w:adjustRightInd w:val="0"/>
        <w:snapToGrid w:val="0"/>
        <w:spacing w:before="192" w:beforeLines="80"/>
        <w:jc w:val="center"/>
        <w:rPr>
          <w:rFonts w:hint="eastAsia" w:ascii="楷体_GB2312" w:eastAsia="楷体_GB2312"/>
          <w:bCs/>
          <w:color w:val="auto"/>
          <w:sz w:val="48"/>
          <w:szCs w:val="48"/>
        </w:rPr>
      </w:pPr>
      <w:r>
        <w:rPr>
          <w:rFonts w:hint="eastAsia" w:ascii="楷体_GB2312" w:eastAsia="楷体_GB2312"/>
          <w:bCs/>
          <w:color w:val="auto"/>
          <w:sz w:val="48"/>
          <w:szCs w:val="48"/>
        </w:rPr>
        <w:t>（污染影响类）</w:t>
      </w:r>
    </w:p>
    <w:p w14:paraId="0126BE9D">
      <w:pPr>
        <w:adjustRightInd w:val="0"/>
        <w:snapToGrid w:val="0"/>
        <w:spacing w:before="192" w:beforeLines="80"/>
        <w:jc w:val="center"/>
        <w:rPr>
          <w:rFonts w:ascii="楷体_GB2312" w:eastAsia="楷体_GB2312"/>
          <w:bCs/>
          <w:color w:val="auto"/>
          <w:sz w:val="48"/>
          <w:szCs w:val="48"/>
        </w:rPr>
      </w:pPr>
      <w:r>
        <w:rPr>
          <w:rFonts w:hint="eastAsia" w:ascii="方正小标宋_GBK" w:eastAsia="方正小标宋_GBK"/>
          <w:bCs/>
          <w:color w:val="auto"/>
          <w:sz w:val="72"/>
          <w:szCs w:val="72"/>
          <w:lang w:eastAsia="zh-CN"/>
        </w:rPr>
        <w:t>（公示稿）</w:t>
      </w:r>
      <w:bookmarkStart w:id="33" w:name="_GoBack"/>
      <w:bookmarkEnd w:id="33"/>
    </w:p>
    <w:p w14:paraId="1EC13A5B">
      <w:pPr>
        <w:rPr>
          <w:color w:val="auto"/>
        </w:rPr>
      </w:pPr>
    </w:p>
    <w:p w14:paraId="06344CD6">
      <w:pPr>
        <w:jc w:val="center"/>
        <w:rPr>
          <w:rFonts w:eastAsia="仿宋"/>
          <w:color w:val="auto"/>
          <w:sz w:val="52"/>
          <w:szCs w:val="52"/>
        </w:rPr>
      </w:pPr>
    </w:p>
    <w:p w14:paraId="187493AF">
      <w:pPr>
        <w:ind w:firstLine="1040"/>
        <w:rPr>
          <w:rFonts w:eastAsia="仿宋"/>
          <w:color w:val="auto"/>
          <w:sz w:val="44"/>
          <w:szCs w:val="44"/>
        </w:rPr>
      </w:pPr>
    </w:p>
    <w:p w14:paraId="1F8B0808">
      <w:pPr>
        <w:ind w:firstLine="1040"/>
        <w:rPr>
          <w:rFonts w:eastAsia="仿宋"/>
          <w:color w:val="auto"/>
          <w:sz w:val="44"/>
          <w:szCs w:val="44"/>
        </w:rPr>
      </w:pPr>
    </w:p>
    <w:p w14:paraId="118D3DE7">
      <w:pPr>
        <w:spacing w:line="360" w:lineRule="auto"/>
        <w:ind w:firstLine="3520" w:firstLineChars="800"/>
        <w:rPr>
          <w:rFonts w:eastAsia="仿宋"/>
          <w:color w:val="auto"/>
          <w:sz w:val="44"/>
          <w:szCs w:val="44"/>
        </w:rPr>
      </w:pPr>
    </w:p>
    <w:p w14:paraId="2FEF9AF6">
      <w:pPr>
        <w:adjustRightInd w:val="0"/>
        <w:snapToGrid w:val="0"/>
        <w:spacing w:line="360" w:lineRule="auto"/>
        <w:ind w:left="1893" w:leftChars="0" w:right="-109" w:rightChars="-52" w:hanging="1893" w:hangingChars="526"/>
        <w:rPr>
          <w:rFonts w:hint="default" w:ascii="仿宋_GB2312" w:eastAsia="仿宋_GB2312"/>
          <w:color w:val="auto"/>
          <w:sz w:val="36"/>
          <w:szCs w:val="36"/>
          <w:u w:val="single"/>
          <w:lang w:val="en-US"/>
        </w:rPr>
      </w:pPr>
      <w:r>
        <w:rPr>
          <w:rFonts w:hint="eastAsia" w:ascii="仿宋_GB2312" w:eastAsia="仿宋_GB2312"/>
          <w:color w:val="auto"/>
          <w:sz w:val="36"/>
          <w:szCs w:val="36"/>
        </w:rPr>
        <w:t>项目名称：</w:t>
      </w:r>
      <w:r>
        <w:rPr>
          <w:rFonts w:hint="eastAsia" w:ascii="仿宋" w:hAnsi="仿宋" w:eastAsia="仿宋" w:cs="仿宋"/>
          <w:color w:val="auto"/>
          <w:sz w:val="36"/>
          <w:szCs w:val="36"/>
          <w:u w:val="single"/>
          <w:lang w:val="en-US" w:eastAsia="zh-CN"/>
        </w:rPr>
        <w:t xml:space="preserve">泰德能源科技（福建）有限公司发电设备生产基地项目      </w:t>
      </w:r>
    </w:p>
    <w:p w14:paraId="630D12BA">
      <w:pPr>
        <w:adjustRightInd w:val="0"/>
        <w:snapToGrid w:val="0"/>
        <w:spacing w:line="360" w:lineRule="auto"/>
        <w:ind w:left="0" w:leftChars="0" w:right="-109" w:rightChars="-52" w:firstLine="0" w:firstLineChars="0"/>
        <w:rPr>
          <w:rFonts w:hint="default" w:eastAsia="仿宋"/>
          <w:color w:val="auto"/>
          <w:u w:val="single"/>
          <w:lang w:val="en-US" w:eastAsia="zh-CN"/>
        </w:rPr>
      </w:pPr>
      <w:r>
        <w:rPr>
          <w:rFonts w:hint="eastAsia" w:ascii="仿宋_GB2312" w:eastAsia="仿宋_GB2312"/>
          <w:color w:val="auto"/>
          <w:sz w:val="36"/>
          <w:szCs w:val="36"/>
        </w:rPr>
        <w:t>建设单位：</w:t>
      </w:r>
      <w:r>
        <w:rPr>
          <w:rFonts w:hint="eastAsia" w:ascii="仿宋" w:hAnsi="仿宋" w:eastAsia="仿宋" w:cs="仿宋"/>
          <w:color w:val="auto"/>
          <w:sz w:val="36"/>
          <w:szCs w:val="36"/>
          <w:u w:val="single"/>
          <w:lang w:val="en-US" w:eastAsia="zh-CN"/>
        </w:rPr>
        <w:t xml:space="preserve">     泰德能源科技（福建）有限公司              </w:t>
      </w:r>
    </w:p>
    <w:p w14:paraId="35DC21F2">
      <w:pPr>
        <w:adjustRightInd w:val="0"/>
        <w:snapToGrid w:val="0"/>
        <w:spacing w:line="360" w:lineRule="auto"/>
        <w:ind w:left="0" w:leftChars="0" w:right="-80" w:rightChars="-38" w:firstLine="0" w:firstLineChars="0"/>
        <w:rPr>
          <w:color w:val="auto"/>
        </w:rPr>
      </w:pPr>
      <w:r>
        <w:rPr>
          <w:rFonts w:hint="eastAsia" w:ascii="仿宋_GB2312" w:eastAsia="仿宋_GB2312"/>
          <w:color w:val="auto"/>
          <w:sz w:val="36"/>
          <w:szCs w:val="36"/>
        </w:rPr>
        <w:t>编制日期：</w:t>
      </w:r>
      <w:r>
        <w:rPr>
          <w:rFonts w:hint="eastAsia"/>
          <w:color w:val="auto"/>
          <w:sz w:val="32"/>
          <w:szCs w:val="32"/>
          <w:u w:val="single"/>
        </w:rPr>
        <w:t xml:space="preserve">             </w:t>
      </w:r>
      <w:r>
        <w:rPr>
          <w:rFonts w:hint="eastAsia" w:ascii="仿宋" w:hAnsi="仿宋" w:eastAsia="仿宋" w:cs="仿宋"/>
          <w:color w:val="auto"/>
          <w:sz w:val="36"/>
          <w:szCs w:val="36"/>
          <w:u w:val="single"/>
        </w:rPr>
        <w:t xml:space="preserve"> 202</w:t>
      </w:r>
      <w:r>
        <w:rPr>
          <w:rFonts w:hint="eastAsia" w:ascii="仿宋" w:hAnsi="仿宋" w:eastAsia="仿宋" w:cs="仿宋"/>
          <w:color w:val="auto"/>
          <w:sz w:val="36"/>
          <w:szCs w:val="36"/>
          <w:u w:val="single"/>
          <w:lang w:val="en-US" w:eastAsia="zh-CN"/>
        </w:rPr>
        <w:t>6</w:t>
      </w:r>
      <w:r>
        <w:rPr>
          <w:rFonts w:hint="eastAsia" w:ascii="仿宋" w:hAnsi="仿宋" w:eastAsia="仿宋" w:cs="仿宋"/>
          <w:color w:val="auto"/>
          <w:sz w:val="36"/>
          <w:szCs w:val="36"/>
          <w:u w:val="single"/>
        </w:rPr>
        <w:t>年</w:t>
      </w:r>
      <w:r>
        <w:rPr>
          <w:rFonts w:hint="eastAsia" w:ascii="仿宋" w:hAnsi="仿宋" w:eastAsia="仿宋" w:cs="仿宋"/>
          <w:color w:val="auto"/>
          <w:sz w:val="36"/>
          <w:szCs w:val="36"/>
          <w:u w:val="single"/>
          <w:lang w:val="en-US" w:eastAsia="zh-CN"/>
        </w:rPr>
        <w:t>7</w:t>
      </w:r>
      <w:r>
        <w:rPr>
          <w:rFonts w:hint="eastAsia" w:ascii="仿宋" w:hAnsi="仿宋" w:eastAsia="仿宋" w:cs="仿宋"/>
          <w:color w:val="auto"/>
          <w:sz w:val="36"/>
          <w:szCs w:val="36"/>
          <w:u w:val="single"/>
        </w:rPr>
        <w:t>月</w:t>
      </w:r>
      <w:r>
        <w:rPr>
          <w:rFonts w:hint="eastAsia"/>
          <w:color w:val="auto"/>
          <w:sz w:val="32"/>
          <w:szCs w:val="32"/>
          <w:u w:val="single"/>
        </w:rPr>
        <w:t xml:space="preserve">      </w:t>
      </w:r>
      <w:r>
        <w:rPr>
          <w:rFonts w:hint="eastAsia"/>
          <w:color w:val="auto"/>
          <w:sz w:val="32"/>
          <w:szCs w:val="32"/>
          <w:u w:val="single"/>
          <w:lang w:val="en-US" w:eastAsia="zh-CN"/>
        </w:rPr>
        <w:t xml:space="preserve"> </w:t>
      </w:r>
      <w:r>
        <w:rPr>
          <w:rFonts w:hint="eastAsia"/>
          <w:color w:val="auto"/>
          <w:sz w:val="32"/>
          <w:szCs w:val="32"/>
          <w:u w:val="single"/>
        </w:rPr>
        <w:t xml:space="preserve">           </w:t>
      </w:r>
      <w:r>
        <w:rPr>
          <w:rFonts w:hint="eastAsia"/>
          <w:color w:val="auto"/>
          <w:sz w:val="32"/>
          <w:szCs w:val="32"/>
          <w:u w:val="single"/>
          <w:lang w:val="en-US" w:eastAsia="zh-CN"/>
        </w:rPr>
        <w:t xml:space="preserve"> </w:t>
      </w:r>
      <w:r>
        <w:rPr>
          <w:rFonts w:hint="eastAsia"/>
          <w:color w:val="auto"/>
          <w:sz w:val="32"/>
          <w:szCs w:val="32"/>
          <w:u w:val="single"/>
        </w:rPr>
        <w:t xml:space="preserve"> </w:t>
      </w:r>
      <w:r>
        <w:rPr>
          <w:rFonts w:hint="eastAsia"/>
          <w:color w:val="auto"/>
        </w:rPr>
        <w:t xml:space="preserve">          </w:t>
      </w:r>
    </w:p>
    <w:p w14:paraId="74AA87A5">
      <w:pPr>
        <w:adjustRightInd w:val="0"/>
        <w:snapToGrid w:val="0"/>
        <w:spacing w:line="288" w:lineRule="auto"/>
        <w:jc w:val="center"/>
        <w:rPr>
          <w:rFonts w:ascii="仿宋_GB2312" w:eastAsia="仿宋_GB2312"/>
          <w:color w:val="auto"/>
          <w:sz w:val="36"/>
          <w:szCs w:val="36"/>
          <w:u w:val="single"/>
        </w:rPr>
      </w:pPr>
      <w:bookmarkStart w:id="4" w:name="_Hlk57884087"/>
    </w:p>
    <w:p w14:paraId="58850832">
      <w:pPr>
        <w:adjustRightInd w:val="0"/>
        <w:snapToGrid w:val="0"/>
        <w:spacing w:line="288" w:lineRule="auto"/>
        <w:ind w:firstLine="1040"/>
        <w:rPr>
          <w:rFonts w:ascii="仿宋_GB2312" w:eastAsia="仿宋_GB2312"/>
          <w:color w:val="auto"/>
          <w:sz w:val="36"/>
          <w:szCs w:val="36"/>
        </w:rPr>
      </w:pPr>
    </w:p>
    <w:p w14:paraId="208D8343">
      <w:pPr>
        <w:adjustRightInd w:val="0"/>
        <w:snapToGrid w:val="0"/>
        <w:spacing w:line="288" w:lineRule="auto"/>
        <w:ind w:firstLine="1040"/>
        <w:rPr>
          <w:rFonts w:ascii="仿宋_GB2312" w:eastAsia="仿宋_GB2312"/>
          <w:color w:val="auto"/>
          <w:sz w:val="36"/>
          <w:szCs w:val="36"/>
        </w:rPr>
      </w:pPr>
    </w:p>
    <w:p w14:paraId="16A77EB8">
      <w:pPr>
        <w:adjustRightInd w:val="0"/>
        <w:snapToGrid w:val="0"/>
        <w:spacing w:line="288" w:lineRule="auto"/>
        <w:ind w:firstLine="1040"/>
        <w:rPr>
          <w:rFonts w:ascii="仿宋_GB2312" w:eastAsia="仿宋_GB2312"/>
          <w:color w:val="auto"/>
          <w:sz w:val="36"/>
          <w:szCs w:val="36"/>
        </w:rPr>
      </w:pPr>
    </w:p>
    <w:bookmarkEnd w:id="4"/>
    <w:p w14:paraId="5FDE0BF5">
      <w:pPr>
        <w:adjustRightInd w:val="0"/>
        <w:snapToGrid w:val="0"/>
        <w:spacing w:line="288" w:lineRule="auto"/>
        <w:jc w:val="center"/>
        <w:rPr>
          <w:rFonts w:ascii="楷体_GB2312" w:eastAsia="楷体_GB2312"/>
          <w:color w:val="auto"/>
          <w:sz w:val="36"/>
          <w:szCs w:val="36"/>
        </w:rPr>
      </w:pPr>
      <w:r>
        <w:rPr>
          <w:rFonts w:hint="eastAsia" w:ascii="楷体_GB2312" w:eastAsia="楷体_GB2312"/>
          <w:color w:val="auto"/>
          <w:sz w:val="36"/>
          <w:szCs w:val="36"/>
        </w:rPr>
        <w:t>中华人民共和国生态环境部制</w:t>
      </w:r>
    </w:p>
    <w:p w14:paraId="63A03A5F">
      <w:pPr>
        <w:rPr>
          <w:b/>
          <w:bCs/>
          <w:color w:val="auto"/>
          <w:sz w:val="32"/>
          <w:szCs w:val="32"/>
        </w:rPr>
      </w:pPr>
    </w:p>
    <w:p w14:paraId="356401DF">
      <w:pPr>
        <w:rPr>
          <w:color w:val="auto"/>
        </w:rPr>
        <w:sectPr>
          <w:headerReference r:id="rId3" w:type="default"/>
          <w:footerReference r:id="rId4"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14:paraId="0273B8CA">
      <w:pPr>
        <w:rPr>
          <w:color w:val="auto"/>
        </w:rPr>
      </w:pPr>
    </w:p>
    <w:p w14:paraId="51AAD704">
      <w:pPr>
        <w:spacing w:line="360" w:lineRule="auto"/>
        <w:jc w:val="center"/>
        <w:outlineLvl w:val="0"/>
        <w:rPr>
          <w:b/>
          <w:bCs/>
          <w:color w:val="auto"/>
          <w:sz w:val="32"/>
          <w:szCs w:val="32"/>
        </w:rPr>
      </w:pPr>
      <w:r>
        <w:rPr>
          <w:rFonts w:hint="eastAsia"/>
          <w:b/>
          <w:bCs/>
          <w:color w:val="auto"/>
          <w:sz w:val="32"/>
          <w:szCs w:val="32"/>
        </w:rPr>
        <w:t>一、建设项目基本情况</w:t>
      </w:r>
      <w:bookmarkEnd w:id="0"/>
      <w:bookmarkEnd w:id="1"/>
    </w:p>
    <w:tbl>
      <w:tblPr>
        <w:tblStyle w:val="31"/>
        <w:tblW w:w="886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120"/>
        <w:gridCol w:w="2054"/>
        <w:gridCol w:w="2177"/>
        <w:gridCol w:w="3517"/>
      </w:tblGrid>
      <w:tr w14:paraId="5BA66A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20" w:type="dxa"/>
            <w:tcMar>
              <w:top w:w="16" w:type="dxa"/>
              <w:left w:w="16" w:type="dxa"/>
              <w:right w:w="16" w:type="dxa"/>
            </w:tcMar>
            <w:vAlign w:val="center"/>
          </w:tcPr>
          <w:p w14:paraId="0C1D5D2B">
            <w:pPr>
              <w:adjustRightInd w:val="0"/>
              <w:snapToGrid w:val="0"/>
              <w:jc w:val="center"/>
              <w:rPr>
                <w:color w:val="auto"/>
                <w:sz w:val="24"/>
              </w:rPr>
            </w:pPr>
            <w:r>
              <w:rPr>
                <w:rFonts w:hint="eastAsia"/>
                <w:color w:val="auto"/>
                <w:sz w:val="24"/>
              </w:rPr>
              <w:t>建设项目名称</w:t>
            </w:r>
          </w:p>
        </w:tc>
        <w:tc>
          <w:tcPr>
            <w:tcW w:w="7748" w:type="dxa"/>
            <w:gridSpan w:val="3"/>
            <w:vAlign w:val="center"/>
          </w:tcPr>
          <w:p w14:paraId="447727C3">
            <w:pPr>
              <w:adjustRightInd w:val="0"/>
              <w:snapToGrid w:val="0"/>
              <w:jc w:val="center"/>
              <w:rPr>
                <w:color w:val="auto"/>
                <w:sz w:val="24"/>
              </w:rPr>
            </w:pPr>
            <w:r>
              <w:rPr>
                <w:rFonts w:hint="eastAsia"/>
                <w:color w:val="auto"/>
                <w:sz w:val="24"/>
              </w:rPr>
              <w:t>泰德能源科技</w:t>
            </w:r>
            <w:r>
              <w:rPr>
                <w:rFonts w:hint="eastAsia"/>
                <w:color w:val="auto"/>
                <w:sz w:val="24"/>
                <w:lang w:val="en-US" w:eastAsia="zh-CN"/>
              </w:rPr>
              <w:t>（</w:t>
            </w:r>
            <w:r>
              <w:rPr>
                <w:rFonts w:hint="eastAsia"/>
                <w:color w:val="auto"/>
                <w:sz w:val="24"/>
              </w:rPr>
              <w:t>福建</w:t>
            </w:r>
            <w:r>
              <w:rPr>
                <w:rFonts w:hint="eastAsia"/>
                <w:color w:val="auto"/>
                <w:sz w:val="24"/>
                <w:lang w:val="en-US" w:eastAsia="zh-CN"/>
              </w:rPr>
              <w:t>）</w:t>
            </w:r>
            <w:r>
              <w:rPr>
                <w:rFonts w:hint="eastAsia"/>
                <w:color w:val="auto"/>
                <w:sz w:val="24"/>
              </w:rPr>
              <w:t>有限公司发电设备生产基地项目</w:t>
            </w:r>
          </w:p>
        </w:tc>
      </w:tr>
      <w:tr w14:paraId="04C0A9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20" w:type="dxa"/>
            <w:tcMar>
              <w:top w:w="16" w:type="dxa"/>
              <w:left w:w="16" w:type="dxa"/>
              <w:right w:w="16" w:type="dxa"/>
            </w:tcMar>
            <w:vAlign w:val="center"/>
          </w:tcPr>
          <w:p w14:paraId="41CD9D2F">
            <w:pPr>
              <w:adjustRightInd w:val="0"/>
              <w:snapToGrid w:val="0"/>
              <w:jc w:val="center"/>
              <w:rPr>
                <w:color w:val="auto"/>
                <w:sz w:val="24"/>
              </w:rPr>
            </w:pPr>
            <w:r>
              <w:rPr>
                <w:rFonts w:hint="eastAsia"/>
                <w:color w:val="auto"/>
                <w:sz w:val="24"/>
              </w:rPr>
              <w:t>项目代码</w:t>
            </w:r>
          </w:p>
        </w:tc>
        <w:tc>
          <w:tcPr>
            <w:tcW w:w="7748" w:type="dxa"/>
            <w:gridSpan w:val="3"/>
            <w:vAlign w:val="center"/>
          </w:tcPr>
          <w:p w14:paraId="58BA5AB6">
            <w:pPr>
              <w:adjustRightInd w:val="0"/>
              <w:snapToGrid w:val="0"/>
              <w:jc w:val="center"/>
              <w:rPr>
                <w:rFonts w:hint="eastAsia" w:eastAsia="宋体"/>
                <w:color w:val="auto"/>
                <w:sz w:val="24"/>
                <w:lang w:eastAsia="zh-CN"/>
              </w:rPr>
            </w:pPr>
            <w:r>
              <w:rPr>
                <w:rFonts w:hint="eastAsia" w:eastAsia="宋体"/>
                <w:color w:val="auto"/>
                <w:sz w:val="24"/>
                <w:lang w:eastAsia="zh-CN"/>
              </w:rPr>
              <w:t>2506-350121-04-01-664152</w:t>
            </w:r>
          </w:p>
        </w:tc>
      </w:tr>
      <w:tr w14:paraId="167769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20" w:type="dxa"/>
            <w:tcMar>
              <w:top w:w="16" w:type="dxa"/>
              <w:left w:w="16" w:type="dxa"/>
              <w:right w:w="16" w:type="dxa"/>
            </w:tcMar>
            <w:vAlign w:val="center"/>
          </w:tcPr>
          <w:p w14:paraId="0CF8CF4A">
            <w:pPr>
              <w:adjustRightInd w:val="0"/>
              <w:snapToGrid w:val="0"/>
              <w:jc w:val="center"/>
              <w:rPr>
                <w:color w:val="auto"/>
                <w:sz w:val="24"/>
              </w:rPr>
            </w:pPr>
            <w:r>
              <w:rPr>
                <w:rFonts w:hint="eastAsia"/>
                <w:color w:val="auto"/>
                <w:sz w:val="24"/>
              </w:rPr>
              <w:t>建设单位联系人</w:t>
            </w:r>
          </w:p>
        </w:tc>
        <w:tc>
          <w:tcPr>
            <w:tcW w:w="2054" w:type="dxa"/>
            <w:vAlign w:val="center"/>
          </w:tcPr>
          <w:p w14:paraId="48F7EA2A">
            <w:pPr>
              <w:adjustRightInd w:val="0"/>
              <w:snapToGrid w:val="0"/>
              <w:jc w:val="center"/>
              <w:rPr>
                <w:rFonts w:hint="default" w:eastAsia="宋体"/>
                <w:color w:val="auto"/>
                <w:sz w:val="24"/>
                <w:lang w:val="en-US" w:eastAsia="zh-CN"/>
              </w:rPr>
            </w:pPr>
            <w:r>
              <w:rPr>
                <w:rFonts w:hint="eastAsia"/>
                <w:color w:val="auto"/>
                <w:sz w:val="24"/>
                <w:lang w:val="en-US" w:eastAsia="zh-CN"/>
              </w:rPr>
              <w:t>***</w:t>
            </w:r>
          </w:p>
        </w:tc>
        <w:tc>
          <w:tcPr>
            <w:tcW w:w="2177" w:type="dxa"/>
            <w:vAlign w:val="center"/>
          </w:tcPr>
          <w:p w14:paraId="04C830B3">
            <w:pPr>
              <w:adjustRightInd w:val="0"/>
              <w:snapToGrid w:val="0"/>
              <w:jc w:val="center"/>
              <w:rPr>
                <w:color w:val="auto"/>
                <w:sz w:val="24"/>
              </w:rPr>
            </w:pPr>
            <w:r>
              <w:rPr>
                <w:rFonts w:hint="eastAsia"/>
                <w:color w:val="auto"/>
                <w:sz w:val="24"/>
              </w:rPr>
              <w:t>联系方式</w:t>
            </w:r>
          </w:p>
        </w:tc>
        <w:tc>
          <w:tcPr>
            <w:tcW w:w="3517" w:type="dxa"/>
            <w:vAlign w:val="center"/>
          </w:tcPr>
          <w:p w14:paraId="497D3DD2">
            <w:pPr>
              <w:adjustRightInd w:val="0"/>
              <w:snapToGrid w:val="0"/>
              <w:jc w:val="center"/>
              <w:rPr>
                <w:rFonts w:hint="default" w:eastAsia="宋体"/>
                <w:color w:val="auto"/>
                <w:sz w:val="24"/>
                <w:lang w:val="en-US" w:eastAsia="zh-CN"/>
              </w:rPr>
            </w:pPr>
            <w:r>
              <w:rPr>
                <w:rFonts w:hint="eastAsia"/>
                <w:color w:val="auto"/>
                <w:sz w:val="24"/>
                <w:lang w:val="en-US" w:eastAsia="zh-CN"/>
              </w:rPr>
              <w:t>***</w:t>
            </w:r>
          </w:p>
        </w:tc>
      </w:tr>
      <w:tr w14:paraId="41DA8E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20" w:type="dxa"/>
            <w:tcMar>
              <w:top w:w="16" w:type="dxa"/>
              <w:left w:w="16" w:type="dxa"/>
              <w:right w:w="16" w:type="dxa"/>
            </w:tcMar>
            <w:vAlign w:val="center"/>
          </w:tcPr>
          <w:p w14:paraId="2A44583B">
            <w:pPr>
              <w:adjustRightInd w:val="0"/>
              <w:snapToGrid w:val="0"/>
              <w:jc w:val="center"/>
              <w:rPr>
                <w:color w:val="auto"/>
                <w:sz w:val="24"/>
              </w:rPr>
            </w:pPr>
            <w:r>
              <w:rPr>
                <w:rFonts w:hint="eastAsia"/>
                <w:color w:val="auto"/>
                <w:sz w:val="24"/>
              </w:rPr>
              <w:t>建设地点</w:t>
            </w:r>
          </w:p>
        </w:tc>
        <w:tc>
          <w:tcPr>
            <w:tcW w:w="7748" w:type="dxa"/>
            <w:gridSpan w:val="3"/>
            <w:vAlign w:val="center"/>
          </w:tcPr>
          <w:p w14:paraId="7B9AD862">
            <w:pPr>
              <w:adjustRightInd w:val="0"/>
              <w:snapToGrid w:val="0"/>
              <w:jc w:val="center"/>
              <w:rPr>
                <w:color w:val="auto"/>
                <w:sz w:val="24"/>
              </w:rPr>
            </w:pPr>
            <w:r>
              <w:rPr>
                <w:rFonts w:hint="eastAsia"/>
                <w:color w:val="auto"/>
                <w:sz w:val="24"/>
              </w:rPr>
              <w:t>福建省福州市闽侯县竹岐乡</w:t>
            </w:r>
          </w:p>
        </w:tc>
      </w:tr>
      <w:tr w14:paraId="53167A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20" w:type="dxa"/>
            <w:tcMar>
              <w:top w:w="16" w:type="dxa"/>
              <w:left w:w="16" w:type="dxa"/>
              <w:right w:w="16" w:type="dxa"/>
            </w:tcMar>
            <w:vAlign w:val="center"/>
          </w:tcPr>
          <w:p w14:paraId="7305A654">
            <w:pPr>
              <w:adjustRightInd w:val="0"/>
              <w:snapToGrid w:val="0"/>
              <w:jc w:val="center"/>
              <w:rPr>
                <w:color w:val="auto"/>
                <w:sz w:val="24"/>
              </w:rPr>
            </w:pPr>
            <w:r>
              <w:rPr>
                <w:rFonts w:hint="eastAsia"/>
                <w:color w:val="auto"/>
                <w:sz w:val="24"/>
              </w:rPr>
              <w:t>地理坐标</w:t>
            </w:r>
          </w:p>
        </w:tc>
        <w:tc>
          <w:tcPr>
            <w:tcW w:w="7748" w:type="dxa"/>
            <w:gridSpan w:val="3"/>
            <w:vAlign w:val="center"/>
          </w:tcPr>
          <w:p w14:paraId="6140638F">
            <w:pPr>
              <w:jc w:val="center"/>
              <w:rPr>
                <w:color w:val="auto"/>
              </w:rPr>
            </w:pPr>
            <w:r>
              <w:rPr>
                <w:color w:val="auto"/>
                <w:sz w:val="24"/>
              </w:rPr>
              <w:t>东经</w:t>
            </w:r>
            <w:r>
              <w:rPr>
                <w:rFonts w:hint="default" w:ascii="Times New Roman" w:hAnsi="Times New Roman" w:cs="Times New Roman"/>
                <w:color w:val="auto"/>
                <w:sz w:val="24"/>
              </w:rPr>
              <w:t>119°</w:t>
            </w:r>
            <w:r>
              <w:rPr>
                <w:rFonts w:hint="eastAsia" w:cs="Times New Roman"/>
                <w:color w:val="auto"/>
                <w:sz w:val="24"/>
                <w:lang w:val="en-US" w:eastAsia="zh-CN"/>
              </w:rPr>
              <w:t>7</w:t>
            </w:r>
            <w:r>
              <w:rPr>
                <w:rFonts w:hint="default" w:ascii="Times New Roman" w:hAnsi="Times New Roman" w:cs="Times New Roman"/>
                <w:color w:val="auto"/>
                <w:sz w:val="24"/>
              </w:rPr>
              <w:t>′</w:t>
            </w:r>
            <w:r>
              <w:rPr>
                <w:rFonts w:hint="eastAsia" w:cs="Times New Roman"/>
                <w:color w:val="auto"/>
                <w:sz w:val="24"/>
                <w:lang w:val="en-US" w:eastAsia="zh-CN"/>
              </w:rPr>
              <w:t>53.381</w:t>
            </w:r>
            <w:r>
              <w:rPr>
                <w:rFonts w:hint="default" w:ascii="Times New Roman" w:hAnsi="Times New Roman" w:cs="Times New Roman"/>
                <w:color w:val="auto"/>
                <w:sz w:val="24"/>
              </w:rPr>
              <w:t>″</w:t>
            </w:r>
            <w:r>
              <w:rPr>
                <w:color w:val="auto"/>
                <w:sz w:val="24"/>
              </w:rPr>
              <w:t>，北纬</w:t>
            </w:r>
            <w:r>
              <w:rPr>
                <w:rFonts w:hint="default" w:ascii="Times New Roman" w:hAnsi="Times New Roman" w:cs="Times New Roman"/>
                <w:color w:val="auto"/>
                <w:sz w:val="24"/>
              </w:rPr>
              <w:t>2</w:t>
            </w:r>
            <w:r>
              <w:rPr>
                <w:rFonts w:hint="eastAsia" w:cs="Times New Roman"/>
                <w:color w:val="auto"/>
                <w:sz w:val="24"/>
                <w:lang w:val="en-US" w:eastAsia="zh-CN"/>
              </w:rPr>
              <w:t>6</w:t>
            </w:r>
            <w:r>
              <w:rPr>
                <w:rFonts w:hint="default" w:ascii="Times New Roman" w:hAnsi="Times New Roman" w:cs="Times New Roman"/>
                <w:color w:val="auto"/>
                <w:sz w:val="24"/>
              </w:rPr>
              <w:t>°</w:t>
            </w:r>
            <w:r>
              <w:rPr>
                <w:rFonts w:hint="eastAsia" w:cs="Times New Roman"/>
                <w:color w:val="auto"/>
                <w:sz w:val="24"/>
                <w:lang w:val="en-US" w:eastAsia="zh-CN"/>
              </w:rPr>
              <w:t>6</w:t>
            </w:r>
            <w:r>
              <w:rPr>
                <w:rFonts w:hint="default" w:ascii="Times New Roman" w:hAnsi="Times New Roman" w:cs="Times New Roman"/>
                <w:color w:val="auto"/>
                <w:sz w:val="24"/>
              </w:rPr>
              <w:t>′</w:t>
            </w:r>
            <w:r>
              <w:rPr>
                <w:rFonts w:hint="eastAsia" w:cs="Times New Roman"/>
                <w:color w:val="auto"/>
                <w:sz w:val="24"/>
                <w:lang w:val="en-US" w:eastAsia="zh-CN"/>
              </w:rPr>
              <w:t>50.732</w:t>
            </w:r>
            <w:r>
              <w:rPr>
                <w:rFonts w:hint="default" w:ascii="Times New Roman" w:hAnsi="Times New Roman" w:cs="Times New Roman"/>
                <w:color w:val="auto"/>
                <w:sz w:val="24"/>
              </w:rPr>
              <w:t>″</w:t>
            </w:r>
          </w:p>
        </w:tc>
      </w:tr>
      <w:tr w14:paraId="10C9A6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20" w:type="dxa"/>
            <w:tcMar>
              <w:top w:w="16" w:type="dxa"/>
              <w:left w:w="16" w:type="dxa"/>
              <w:right w:w="16" w:type="dxa"/>
            </w:tcMar>
            <w:vAlign w:val="center"/>
          </w:tcPr>
          <w:p w14:paraId="358C381A">
            <w:pPr>
              <w:adjustRightInd w:val="0"/>
              <w:snapToGrid w:val="0"/>
              <w:jc w:val="center"/>
              <w:rPr>
                <w:color w:val="auto"/>
                <w:sz w:val="24"/>
              </w:rPr>
            </w:pPr>
            <w:r>
              <w:rPr>
                <w:rFonts w:hint="eastAsia"/>
                <w:color w:val="auto"/>
                <w:sz w:val="24"/>
              </w:rPr>
              <w:t>国民经济</w:t>
            </w:r>
          </w:p>
          <w:p w14:paraId="4C21DD82">
            <w:pPr>
              <w:adjustRightInd w:val="0"/>
              <w:snapToGrid w:val="0"/>
              <w:jc w:val="center"/>
              <w:rPr>
                <w:color w:val="auto"/>
                <w:sz w:val="24"/>
              </w:rPr>
            </w:pPr>
            <w:r>
              <w:rPr>
                <w:rFonts w:hint="eastAsia"/>
                <w:color w:val="auto"/>
                <w:sz w:val="24"/>
              </w:rPr>
              <w:t>行业类别</w:t>
            </w:r>
          </w:p>
        </w:tc>
        <w:tc>
          <w:tcPr>
            <w:tcW w:w="2054" w:type="dxa"/>
            <w:tcMar>
              <w:top w:w="0" w:type="dxa"/>
              <w:left w:w="28" w:type="dxa"/>
              <w:bottom w:w="0" w:type="dxa"/>
              <w:right w:w="28" w:type="dxa"/>
            </w:tcMar>
            <w:vAlign w:val="center"/>
          </w:tcPr>
          <w:p w14:paraId="167C498C">
            <w:pPr>
              <w:adjustRightInd w:val="0"/>
              <w:snapToGrid w:val="0"/>
              <w:jc w:val="center"/>
              <w:rPr>
                <w:color w:val="auto"/>
                <w:sz w:val="24"/>
              </w:rPr>
            </w:pPr>
            <w:r>
              <w:rPr>
                <w:rFonts w:hint="eastAsia"/>
                <w:color w:val="auto"/>
                <w:sz w:val="24"/>
              </w:rPr>
              <w:t>C3811发电机及发电机组制造</w:t>
            </w:r>
          </w:p>
        </w:tc>
        <w:tc>
          <w:tcPr>
            <w:tcW w:w="2177" w:type="dxa"/>
            <w:tcMar>
              <w:top w:w="0" w:type="dxa"/>
              <w:left w:w="28" w:type="dxa"/>
              <w:bottom w:w="0" w:type="dxa"/>
              <w:right w:w="28" w:type="dxa"/>
            </w:tcMar>
            <w:vAlign w:val="center"/>
          </w:tcPr>
          <w:p w14:paraId="1E2CE900">
            <w:pPr>
              <w:adjustRightInd w:val="0"/>
              <w:snapToGrid w:val="0"/>
              <w:jc w:val="center"/>
              <w:rPr>
                <w:color w:val="auto"/>
                <w:sz w:val="24"/>
              </w:rPr>
            </w:pPr>
            <w:bookmarkStart w:id="5" w:name="_Hlk49843745"/>
            <w:r>
              <w:rPr>
                <w:rFonts w:hint="eastAsia"/>
                <w:color w:val="auto"/>
                <w:sz w:val="24"/>
              </w:rPr>
              <w:t>建设项目</w:t>
            </w:r>
          </w:p>
          <w:p w14:paraId="3709DD58">
            <w:pPr>
              <w:adjustRightInd w:val="0"/>
              <w:snapToGrid w:val="0"/>
              <w:jc w:val="center"/>
              <w:rPr>
                <w:color w:val="auto"/>
                <w:sz w:val="24"/>
              </w:rPr>
            </w:pPr>
            <w:r>
              <w:rPr>
                <w:rFonts w:hint="eastAsia"/>
                <w:color w:val="auto"/>
                <w:sz w:val="24"/>
              </w:rPr>
              <w:t>行业类别</w:t>
            </w:r>
            <w:bookmarkEnd w:id="5"/>
          </w:p>
        </w:tc>
        <w:tc>
          <w:tcPr>
            <w:tcW w:w="3517" w:type="dxa"/>
            <w:tcMar>
              <w:top w:w="0" w:type="dxa"/>
              <w:left w:w="28" w:type="dxa"/>
              <w:bottom w:w="0" w:type="dxa"/>
              <w:right w:w="28" w:type="dxa"/>
            </w:tcMar>
            <w:vAlign w:val="center"/>
          </w:tcPr>
          <w:p w14:paraId="6669129F">
            <w:pPr>
              <w:adjustRightInd w:val="0"/>
              <w:snapToGrid w:val="0"/>
              <w:jc w:val="center"/>
              <w:rPr>
                <w:color w:val="auto"/>
                <w:sz w:val="24"/>
              </w:rPr>
            </w:pPr>
            <w:r>
              <w:rPr>
                <w:rFonts w:hint="eastAsia"/>
                <w:color w:val="auto"/>
                <w:sz w:val="24"/>
              </w:rPr>
              <w:t>三十五、电气机械和器材制造业38：电机制造381；</w:t>
            </w:r>
          </w:p>
        </w:tc>
      </w:tr>
      <w:tr w14:paraId="003C14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20" w:type="dxa"/>
            <w:tcMar>
              <w:top w:w="16" w:type="dxa"/>
              <w:left w:w="16" w:type="dxa"/>
              <w:right w:w="16" w:type="dxa"/>
            </w:tcMar>
            <w:vAlign w:val="center"/>
          </w:tcPr>
          <w:p w14:paraId="4D70322D">
            <w:pPr>
              <w:adjustRightInd w:val="0"/>
              <w:snapToGrid w:val="0"/>
              <w:jc w:val="center"/>
              <w:rPr>
                <w:color w:val="auto"/>
                <w:sz w:val="24"/>
              </w:rPr>
            </w:pPr>
            <w:r>
              <w:rPr>
                <w:rFonts w:hint="eastAsia"/>
                <w:color w:val="auto"/>
                <w:sz w:val="24"/>
              </w:rPr>
              <w:t>建设性质</w:t>
            </w:r>
          </w:p>
        </w:tc>
        <w:tc>
          <w:tcPr>
            <w:tcW w:w="2054" w:type="dxa"/>
            <w:tcMar>
              <w:top w:w="0" w:type="dxa"/>
              <w:left w:w="28" w:type="dxa"/>
              <w:bottom w:w="0" w:type="dxa"/>
              <w:right w:w="28" w:type="dxa"/>
            </w:tcMar>
            <w:vAlign w:val="center"/>
          </w:tcPr>
          <w:p w14:paraId="21FE8A65">
            <w:pPr>
              <w:jc w:val="left"/>
              <w:rPr>
                <w:color w:val="auto"/>
                <w:sz w:val="24"/>
              </w:rPr>
            </w:pPr>
            <w:r>
              <w:rPr>
                <w:rFonts w:hint="eastAsia"/>
                <w:color w:val="auto"/>
                <w:sz w:val="24"/>
                <w:lang w:eastAsia="zh-CN"/>
              </w:rPr>
              <w:t>☑</w:t>
            </w:r>
            <w:r>
              <w:rPr>
                <w:rFonts w:hint="eastAsia"/>
                <w:color w:val="auto"/>
                <w:sz w:val="24"/>
              </w:rPr>
              <w:t>新建（迁建）</w:t>
            </w:r>
          </w:p>
          <w:p w14:paraId="27000ABB">
            <w:pPr>
              <w:jc w:val="left"/>
              <w:rPr>
                <w:color w:val="auto"/>
                <w:sz w:val="24"/>
              </w:rPr>
            </w:pPr>
            <w:r>
              <w:rPr>
                <w:rFonts w:hint="eastAsia"/>
                <w:color w:val="auto"/>
                <w:sz w:val="24"/>
                <w:lang w:eastAsia="zh-CN"/>
              </w:rPr>
              <w:t>□</w:t>
            </w:r>
            <w:r>
              <w:rPr>
                <w:rFonts w:hint="eastAsia"/>
                <w:color w:val="auto"/>
                <w:sz w:val="24"/>
              </w:rPr>
              <w:t>改建</w:t>
            </w:r>
          </w:p>
          <w:p w14:paraId="6CDF0332">
            <w:pPr>
              <w:jc w:val="left"/>
              <w:rPr>
                <w:color w:val="auto"/>
                <w:sz w:val="24"/>
              </w:rPr>
            </w:pPr>
            <w:r>
              <w:rPr>
                <w:rFonts w:hint="eastAsia"/>
                <w:color w:val="auto"/>
                <w:sz w:val="24"/>
                <w:lang w:eastAsia="zh-CN"/>
              </w:rPr>
              <w:t>□</w:t>
            </w:r>
            <w:r>
              <w:rPr>
                <w:rFonts w:hint="eastAsia"/>
                <w:color w:val="auto"/>
                <w:sz w:val="24"/>
              </w:rPr>
              <w:t>扩建</w:t>
            </w:r>
          </w:p>
          <w:p w14:paraId="34DC36D1">
            <w:pPr>
              <w:jc w:val="left"/>
              <w:rPr>
                <w:color w:val="auto"/>
                <w:sz w:val="24"/>
              </w:rPr>
            </w:pPr>
            <w:r>
              <w:rPr>
                <w:rFonts w:hint="eastAsia"/>
                <w:color w:val="auto"/>
                <w:sz w:val="24"/>
                <w:lang w:eastAsia="zh-CN"/>
              </w:rPr>
              <w:t>□</w:t>
            </w:r>
            <w:r>
              <w:rPr>
                <w:rFonts w:hint="eastAsia"/>
                <w:color w:val="auto"/>
                <w:sz w:val="24"/>
              </w:rPr>
              <w:t>技术改造</w:t>
            </w:r>
          </w:p>
        </w:tc>
        <w:tc>
          <w:tcPr>
            <w:tcW w:w="2177" w:type="dxa"/>
            <w:tcMar>
              <w:top w:w="0" w:type="dxa"/>
              <w:left w:w="28" w:type="dxa"/>
              <w:bottom w:w="0" w:type="dxa"/>
              <w:right w:w="28" w:type="dxa"/>
            </w:tcMar>
            <w:vAlign w:val="center"/>
          </w:tcPr>
          <w:p w14:paraId="18205E95">
            <w:pPr>
              <w:adjustRightInd w:val="0"/>
              <w:snapToGrid w:val="0"/>
              <w:jc w:val="center"/>
              <w:rPr>
                <w:color w:val="auto"/>
                <w:sz w:val="24"/>
              </w:rPr>
            </w:pPr>
            <w:r>
              <w:rPr>
                <w:rFonts w:hint="eastAsia"/>
                <w:color w:val="auto"/>
                <w:sz w:val="24"/>
              </w:rPr>
              <w:t>建设项目</w:t>
            </w:r>
          </w:p>
          <w:p w14:paraId="3AAA2326">
            <w:pPr>
              <w:adjustRightInd w:val="0"/>
              <w:snapToGrid w:val="0"/>
              <w:jc w:val="center"/>
              <w:rPr>
                <w:color w:val="auto"/>
                <w:sz w:val="24"/>
              </w:rPr>
            </w:pPr>
            <w:r>
              <w:rPr>
                <w:rFonts w:hint="eastAsia"/>
                <w:color w:val="auto"/>
                <w:sz w:val="24"/>
              </w:rPr>
              <w:t>申报情形</w:t>
            </w:r>
          </w:p>
        </w:tc>
        <w:tc>
          <w:tcPr>
            <w:tcW w:w="3517" w:type="dxa"/>
            <w:tcMar>
              <w:top w:w="0" w:type="dxa"/>
              <w:left w:w="28" w:type="dxa"/>
              <w:bottom w:w="0" w:type="dxa"/>
              <w:right w:w="28" w:type="dxa"/>
            </w:tcMar>
            <w:vAlign w:val="center"/>
          </w:tcPr>
          <w:p w14:paraId="1250B54C">
            <w:pPr>
              <w:jc w:val="left"/>
              <w:rPr>
                <w:color w:val="auto"/>
                <w:sz w:val="24"/>
              </w:rPr>
            </w:pPr>
            <w:r>
              <w:rPr>
                <w:rFonts w:hint="eastAsia"/>
                <w:color w:val="auto"/>
                <w:sz w:val="24"/>
                <w:lang w:eastAsia="zh-CN"/>
              </w:rPr>
              <w:t>☑</w:t>
            </w:r>
            <w:r>
              <w:rPr>
                <w:rFonts w:hint="eastAsia"/>
                <w:color w:val="auto"/>
                <w:sz w:val="24"/>
              </w:rPr>
              <w:t>首次申报项目</w:t>
            </w:r>
          </w:p>
          <w:p w14:paraId="0C9A136B">
            <w:pPr>
              <w:jc w:val="left"/>
              <w:rPr>
                <w:color w:val="auto"/>
                <w:sz w:val="24"/>
              </w:rPr>
            </w:pPr>
            <w:r>
              <w:rPr>
                <w:rFonts w:hint="eastAsia"/>
                <w:color w:val="auto"/>
                <w:sz w:val="24"/>
                <w:lang w:eastAsia="zh-CN"/>
              </w:rPr>
              <w:t>□</w:t>
            </w:r>
            <w:r>
              <w:rPr>
                <w:rFonts w:hint="eastAsia"/>
                <w:color w:val="auto"/>
                <w:sz w:val="24"/>
              </w:rPr>
              <w:t>不予批准后再次申报项目</w:t>
            </w:r>
          </w:p>
          <w:p w14:paraId="5E3C826A">
            <w:pPr>
              <w:jc w:val="left"/>
              <w:rPr>
                <w:color w:val="auto"/>
                <w:sz w:val="24"/>
              </w:rPr>
            </w:pPr>
            <w:r>
              <w:rPr>
                <w:rFonts w:hint="eastAsia"/>
                <w:color w:val="auto"/>
                <w:sz w:val="24"/>
                <w:lang w:eastAsia="zh-CN"/>
              </w:rPr>
              <w:t>□</w:t>
            </w:r>
            <w:r>
              <w:rPr>
                <w:rFonts w:hint="eastAsia"/>
                <w:color w:val="auto"/>
                <w:sz w:val="24"/>
              </w:rPr>
              <w:t>超五年重新审核项目</w:t>
            </w:r>
          </w:p>
          <w:p w14:paraId="4322565D">
            <w:pPr>
              <w:jc w:val="left"/>
              <w:rPr>
                <w:color w:val="auto"/>
                <w:sz w:val="24"/>
              </w:rPr>
            </w:pPr>
            <w:r>
              <w:rPr>
                <w:rFonts w:hint="eastAsia"/>
                <w:color w:val="auto"/>
                <w:sz w:val="24"/>
                <w:lang w:eastAsia="zh-CN"/>
              </w:rPr>
              <w:t>□</w:t>
            </w:r>
            <w:r>
              <w:rPr>
                <w:rFonts w:hint="eastAsia"/>
                <w:color w:val="auto"/>
                <w:sz w:val="24"/>
              </w:rPr>
              <w:t>重大变动重新报批项目</w:t>
            </w:r>
          </w:p>
        </w:tc>
      </w:tr>
      <w:tr w14:paraId="2860DE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20" w:type="dxa"/>
            <w:tcMar>
              <w:top w:w="16" w:type="dxa"/>
              <w:left w:w="16" w:type="dxa"/>
              <w:right w:w="16" w:type="dxa"/>
            </w:tcMar>
            <w:vAlign w:val="center"/>
          </w:tcPr>
          <w:p w14:paraId="170E5211">
            <w:pPr>
              <w:adjustRightInd w:val="0"/>
              <w:snapToGrid w:val="0"/>
              <w:jc w:val="center"/>
              <w:rPr>
                <w:color w:val="auto"/>
                <w:sz w:val="24"/>
              </w:rPr>
            </w:pPr>
            <w:r>
              <w:rPr>
                <w:rFonts w:hint="eastAsia"/>
                <w:color w:val="auto"/>
                <w:sz w:val="24"/>
              </w:rPr>
              <w:t>项目审批（核准/</w:t>
            </w:r>
          </w:p>
          <w:p w14:paraId="7165524C">
            <w:pPr>
              <w:adjustRightInd w:val="0"/>
              <w:snapToGrid w:val="0"/>
              <w:jc w:val="center"/>
              <w:rPr>
                <w:color w:val="auto"/>
                <w:sz w:val="24"/>
              </w:rPr>
            </w:pPr>
            <w:r>
              <w:rPr>
                <w:rFonts w:hint="eastAsia"/>
                <w:color w:val="auto"/>
                <w:sz w:val="24"/>
              </w:rPr>
              <w:t>备案）部门</w:t>
            </w:r>
          </w:p>
        </w:tc>
        <w:tc>
          <w:tcPr>
            <w:tcW w:w="2054" w:type="dxa"/>
            <w:tcMar>
              <w:top w:w="0" w:type="dxa"/>
              <w:left w:w="28" w:type="dxa"/>
              <w:bottom w:w="0" w:type="dxa"/>
              <w:right w:w="28" w:type="dxa"/>
            </w:tcMar>
            <w:vAlign w:val="center"/>
          </w:tcPr>
          <w:p w14:paraId="20583C8E">
            <w:pPr>
              <w:adjustRightInd w:val="0"/>
              <w:snapToGrid w:val="0"/>
              <w:jc w:val="center"/>
              <w:rPr>
                <w:color w:val="auto"/>
                <w:sz w:val="24"/>
              </w:rPr>
            </w:pPr>
            <w:r>
              <w:rPr>
                <w:rFonts w:hint="eastAsia"/>
                <w:color w:val="auto"/>
                <w:sz w:val="24"/>
              </w:rPr>
              <w:t>闽侯县工业和信息化局</w:t>
            </w:r>
          </w:p>
        </w:tc>
        <w:tc>
          <w:tcPr>
            <w:tcW w:w="2177" w:type="dxa"/>
            <w:tcMar>
              <w:top w:w="0" w:type="dxa"/>
              <w:left w:w="28" w:type="dxa"/>
              <w:bottom w:w="0" w:type="dxa"/>
              <w:right w:w="28" w:type="dxa"/>
            </w:tcMar>
            <w:vAlign w:val="center"/>
          </w:tcPr>
          <w:p w14:paraId="133C0285">
            <w:pPr>
              <w:adjustRightInd w:val="0"/>
              <w:snapToGrid w:val="0"/>
              <w:jc w:val="center"/>
              <w:rPr>
                <w:color w:val="auto"/>
                <w:sz w:val="24"/>
              </w:rPr>
            </w:pPr>
            <w:r>
              <w:rPr>
                <w:rFonts w:hint="eastAsia"/>
                <w:color w:val="auto"/>
                <w:sz w:val="24"/>
              </w:rPr>
              <w:t>项目审批（核准/</w:t>
            </w:r>
          </w:p>
          <w:p w14:paraId="20246BFB">
            <w:pPr>
              <w:adjustRightInd w:val="0"/>
              <w:snapToGrid w:val="0"/>
              <w:jc w:val="center"/>
              <w:rPr>
                <w:color w:val="auto"/>
                <w:sz w:val="24"/>
              </w:rPr>
            </w:pPr>
            <w:r>
              <w:rPr>
                <w:rFonts w:hint="eastAsia"/>
                <w:color w:val="auto"/>
                <w:sz w:val="24"/>
              </w:rPr>
              <w:t>备案）文号</w:t>
            </w:r>
          </w:p>
        </w:tc>
        <w:tc>
          <w:tcPr>
            <w:tcW w:w="3517" w:type="dxa"/>
            <w:tcMar>
              <w:top w:w="0" w:type="dxa"/>
              <w:left w:w="28" w:type="dxa"/>
              <w:bottom w:w="0" w:type="dxa"/>
              <w:right w:w="28" w:type="dxa"/>
            </w:tcMar>
            <w:vAlign w:val="center"/>
          </w:tcPr>
          <w:p w14:paraId="47AB0424">
            <w:pPr>
              <w:adjustRightInd w:val="0"/>
              <w:snapToGrid w:val="0"/>
              <w:jc w:val="center"/>
              <w:rPr>
                <w:color w:val="auto"/>
                <w:sz w:val="24"/>
              </w:rPr>
            </w:pPr>
            <w:r>
              <w:rPr>
                <w:rFonts w:hint="eastAsia"/>
                <w:color w:val="auto"/>
                <w:sz w:val="24"/>
              </w:rPr>
              <w:t>闽发改外备</w:t>
            </w:r>
            <w:r>
              <w:rPr>
                <w:rFonts w:hint="eastAsia"/>
                <w:color w:val="auto"/>
                <w:sz w:val="24"/>
                <w:lang w:eastAsia="zh-CN"/>
              </w:rPr>
              <w:t>〔2025〕</w:t>
            </w:r>
            <w:r>
              <w:rPr>
                <w:rFonts w:hint="eastAsia"/>
                <w:color w:val="auto"/>
                <w:sz w:val="24"/>
              </w:rPr>
              <w:t>A080010号</w:t>
            </w:r>
          </w:p>
        </w:tc>
      </w:tr>
      <w:tr w14:paraId="5A840B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13" w:hRule="atLeast"/>
          <w:jc w:val="center"/>
        </w:trPr>
        <w:tc>
          <w:tcPr>
            <w:tcW w:w="1120" w:type="dxa"/>
            <w:tcMar>
              <w:top w:w="16" w:type="dxa"/>
              <w:left w:w="16" w:type="dxa"/>
              <w:right w:w="16" w:type="dxa"/>
            </w:tcMar>
            <w:vAlign w:val="center"/>
          </w:tcPr>
          <w:p w14:paraId="71A51417">
            <w:pPr>
              <w:adjustRightInd w:val="0"/>
              <w:snapToGrid w:val="0"/>
              <w:jc w:val="center"/>
              <w:rPr>
                <w:color w:val="auto"/>
                <w:sz w:val="24"/>
              </w:rPr>
            </w:pPr>
            <w:r>
              <w:rPr>
                <w:rFonts w:hint="eastAsia"/>
                <w:color w:val="auto"/>
                <w:sz w:val="24"/>
              </w:rPr>
              <w:t>总投资（万元）</w:t>
            </w:r>
          </w:p>
        </w:tc>
        <w:tc>
          <w:tcPr>
            <w:tcW w:w="2054" w:type="dxa"/>
            <w:vAlign w:val="center"/>
          </w:tcPr>
          <w:p w14:paraId="00A2DDE1">
            <w:pPr>
              <w:adjustRightInd w:val="0"/>
              <w:snapToGrid w:val="0"/>
              <w:jc w:val="center"/>
              <w:rPr>
                <w:rFonts w:hint="default" w:eastAsia="宋体"/>
                <w:color w:val="auto"/>
                <w:sz w:val="24"/>
                <w:lang w:val="en-US" w:eastAsia="zh-CN"/>
              </w:rPr>
            </w:pPr>
            <w:r>
              <w:rPr>
                <w:rFonts w:hint="eastAsia"/>
                <w:color w:val="auto"/>
                <w:sz w:val="24"/>
                <w:lang w:val="en-US" w:eastAsia="zh-CN"/>
              </w:rPr>
              <w:t>100000</w:t>
            </w:r>
          </w:p>
        </w:tc>
        <w:tc>
          <w:tcPr>
            <w:tcW w:w="2177" w:type="dxa"/>
            <w:tcMar>
              <w:top w:w="16" w:type="dxa"/>
              <w:left w:w="16" w:type="dxa"/>
              <w:right w:w="16" w:type="dxa"/>
            </w:tcMar>
            <w:vAlign w:val="center"/>
          </w:tcPr>
          <w:p w14:paraId="48C1F563">
            <w:pPr>
              <w:adjustRightInd w:val="0"/>
              <w:snapToGrid w:val="0"/>
              <w:jc w:val="center"/>
              <w:rPr>
                <w:color w:val="auto"/>
                <w:sz w:val="24"/>
              </w:rPr>
            </w:pPr>
            <w:r>
              <w:rPr>
                <w:rFonts w:hint="eastAsia"/>
                <w:color w:val="auto"/>
                <w:sz w:val="24"/>
              </w:rPr>
              <w:t>环保投资（万元）</w:t>
            </w:r>
          </w:p>
        </w:tc>
        <w:tc>
          <w:tcPr>
            <w:tcW w:w="3517" w:type="dxa"/>
            <w:vAlign w:val="center"/>
          </w:tcPr>
          <w:p w14:paraId="3D2A70E8">
            <w:pPr>
              <w:adjustRightInd w:val="0"/>
              <w:snapToGrid w:val="0"/>
              <w:jc w:val="center"/>
              <w:rPr>
                <w:rFonts w:hint="eastAsia" w:eastAsia="宋体"/>
                <w:color w:val="auto"/>
                <w:sz w:val="24"/>
                <w:lang w:val="en-US" w:eastAsia="zh-CN"/>
              </w:rPr>
            </w:pPr>
            <w:r>
              <w:rPr>
                <w:rFonts w:hint="eastAsia"/>
                <w:color w:val="auto"/>
                <w:sz w:val="24"/>
              </w:rPr>
              <w:t>20</w:t>
            </w:r>
            <w:r>
              <w:rPr>
                <w:rFonts w:hint="eastAsia"/>
                <w:color w:val="auto"/>
                <w:sz w:val="24"/>
                <w:lang w:val="en-US" w:eastAsia="zh-CN"/>
              </w:rPr>
              <w:t>0</w:t>
            </w:r>
          </w:p>
        </w:tc>
      </w:tr>
      <w:tr w14:paraId="1B5DA1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20" w:type="dxa"/>
            <w:tcMar>
              <w:top w:w="16" w:type="dxa"/>
              <w:left w:w="16" w:type="dxa"/>
              <w:right w:w="16" w:type="dxa"/>
            </w:tcMar>
            <w:vAlign w:val="center"/>
          </w:tcPr>
          <w:p w14:paraId="31F04821">
            <w:pPr>
              <w:adjustRightInd w:val="0"/>
              <w:snapToGrid w:val="0"/>
              <w:jc w:val="center"/>
              <w:rPr>
                <w:color w:val="auto"/>
                <w:sz w:val="24"/>
              </w:rPr>
            </w:pPr>
            <w:r>
              <w:rPr>
                <w:rFonts w:hint="eastAsia"/>
                <w:color w:val="auto"/>
                <w:sz w:val="24"/>
              </w:rPr>
              <w:t>环保投资占比（%）</w:t>
            </w:r>
          </w:p>
        </w:tc>
        <w:tc>
          <w:tcPr>
            <w:tcW w:w="2054" w:type="dxa"/>
            <w:vAlign w:val="center"/>
          </w:tcPr>
          <w:p w14:paraId="18E29D76">
            <w:pPr>
              <w:adjustRightInd w:val="0"/>
              <w:snapToGrid w:val="0"/>
              <w:jc w:val="center"/>
              <w:rPr>
                <w:rFonts w:hint="default" w:eastAsia="宋体"/>
                <w:color w:val="auto"/>
                <w:sz w:val="24"/>
                <w:lang w:val="en-US" w:eastAsia="zh-CN"/>
              </w:rPr>
            </w:pPr>
            <w:r>
              <w:rPr>
                <w:rFonts w:hint="eastAsia"/>
                <w:color w:val="auto"/>
                <w:sz w:val="24"/>
                <w:lang w:val="en-US" w:eastAsia="zh-CN"/>
              </w:rPr>
              <w:t>0.2</w:t>
            </w:r>
          </w:p>
        </w:tc>
        <w:tc>
          <w:tcPr>
            <w:tcW w:w="2177" w:type="dxa"/>
            <w:tcMar>
              <w:top w:w="16" w:type="dxa"/>
              <w:left w:w="16" w:type="dxa"/>
              <w:right w:w="16" w:type="dxa"/>
            </w:tcMar>
            <w:vAlign w:val="center"/>
          </w:tcPr>
          <w:p w14:paraId="5E9F0C48">
            <w:pPr>
              <w:adjustRightInd w:val="0"/>
              <w:snapToGrid w:val="0"/>
              <w:jc w:val="center"/>
              <w:rPr>
                <w:color w:val="auto"/>
                <w:sz w:val="24"/>
              </w:rPr>
            </w:pPr>
            <w:r>
              <w:rPr>
                <w:rFonts w:hint="eastAsia"/>
                <w:color w:val="auto"/>
                <w:sz w:val="24"/>
              </w:rPr>
              <w:t>施工工期</w:t>
            </w:r>
          </w:p>
        </w:tc>
        <w:tc>
          <w:tcPr>
            <w:tcW w:w="3517" w:type="dxa"/>
            <w:vAlign w:val="center"/>
          </w:tcPr>
          <w:p w14:paraId="5DC630BE">
            <w:pPr>
              <w:adjustRightInd w:val="0"/>
              <w:snapToGrid w:val="0"/>
              <w:jc w:val="center"/>
              <w:rPr>
                <w:color w:val="auto"/>
                <w:sz w:val="24"/>
              </w:rPr>
            </w:pPr>
            <w:r>
              <w:rPr>
                <w:rFonts w:hint="eastAsia"/>
                <w:color w:val="auto"/>
                <w:sz w:val="24"/>
                <w:lang w:val="en-US" w:eastAsia="zh-CN"/>
              </w:rPr>
              <w:t>12</w:t>
            </w:r>
            <w:r>
              <w:rPr>
                <w:rFonts w:hint="eastAsia"/>
                <w:color w:val="auto"/>
                <w:sz w:val="24"/>
              </w:rPr>
              <w:t>个月</w:t>
            </w:r>
          </w:p>
        </w:tc>
      </w:tr>
      <w:tr w14:paraId="55308D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20" w:type="dxa"/>
            <w:tcMar>
              <w:top w:w="16" w:type="dxa"/>
              <w:left w:w="16" w:type="dxa"/>
              <w:right w:w="16" w:type="dxa"/>
            </w:tcMar>
            <w:vAlign w:val="center"/>
          </w:tcPr>
          <w:p w14:paraId="3E62A149">
            <w:pPr>
              <w:adjustRightInd w:val="0"/>
              <w:snapToGrid w:val="0"/>
              <w:jc w:val="center"/>
              <w:rPr>
                <w:color w:val="auto"/>
                <w:sz w:val="24"/>
              </w:rPr>
            </w:pPr>
            <w:r>
              <w:rPr>
                <w:rFonts w:hint="eastAsia"/>
                <w:color w:val="auto"/>
                <w:sz w:val="24"/>
              </w:rPr>
              <w:t>是否开工建设</w:t>
            </w:r>
          </w:p>
        </w:tc>
        <w:tc>
          <w:tcPr>
            <w:tcW w:w="2054" w:type="dxa"/>
            <w:vAlign w:val="center"/>
          </w:tcPr>
          <w:p w14:paraId="665B99F6">
            <w:pPr>
              <w:adjustRightInd w:val="0"/>
              <w:snapToGrid w:val="0"/>
              <w:rPr>
                <w:color w:val="auto"/>
                <w:sz w:val="24"/>
              </w:rPr>
            </w:pPr>
            <w:r>
              <w:rPr>
                <w:rFonts w:hint="eastAsia"/>
                <w:color w:val="auto"/>
                <w:sz w:val="24"/>
                <w:lang w:eastAsia="zh-CN"/>
              </w:rPr>
              <w:t>☑</w:t>
            </w:r>
            <w:r>
              <w:rPr>
                <w:rFonts w:hint="eastAsia"/>
                <w:color w:val="auto"/>
                <w:sz w:val="24"/>
              </w:rPr>
              <w:t>否</w:t>
            </w:r>
          </w:p>
          <w:p w14:paraId="338A93FE">
            <w:pPr>
              <w:adjustRightInd w:val="0"/>
              <w:snapToGrid w:val="0"/>
              <w:rPr>
                <w:color w:val="auto"/>
                <w:sz w:val="24"/>
              </w:rPr>
            </w:pPr>
            <w:r>
              <w:rPr>
                <w:rFonts w:hint="eastAsia"/>
                <w:color w:val="auto"/>
                <w:sz w:val="24"/>
                <w:lang w:eastAsia="zh-CN"/>
              </w:rPr>
              <w:t>□</w:t>
            </w:r>
            <w:r>
              <w:rPr>
                <w:rFonts w:hint="eastAsia"/>
                <w:color w:val="auto"/>
                <w:sz w:val="24"/>
              </w:rPr>
              <w:t>是</w:t>
            </w:r>
          </w:p>
        </w:tc>
        <w:tc>
          <w:tcPr>
            <w:tcW w:w="2177" w:type="dxa"/>
            <w:tcMar>
              <w:top w:w="16" w:type="dxa"/>
              <w:left w:w="16" w:type="dxa"/>
              <w:right w:w="16" w:type="dxa"/>
            </w:tcMar>
            <w:vAlign w:val="center"/>
          </w:tcPr>
          <w:p w14:paraId="3702EC49">
            <w:pPr>
              <w:adjustRightInd w:val="0"/>
              <w:snapToGrid w:val="0"/>
              <w:jc w:val="center"/>
              <w:rPr>
                <w:color w:val="auto"/>
                <w:sz w:val="24"/>
              </w:rPr>
            </w:pPr>
            <w:r>
              <w:rPr>
                <w:rFonts w:hint="eastAsia"/>
                <w:color w:val="auto"/>
                <w:spacing w:val="-6"/>
                <w:sz w:val="24"/>
              </w:rPr>
              <w:t>用地面积（m</w:t>
            </w:r>
            <w:r>
              <w:rPr>
                <w:rFonts w:hint="eastAsia"/>
                <w:color w:val="auto"/>
                <w:spacing w:val="-6"/>
                <w:sz w:val="24"/>
                <w:vertAlign w:val="superscript"/>
              </w:rPr>
              <w:t>2</w:t>
            </w:r>
            <w:r>
              <w:rPr>
                <w:rFonts w:hint="eastAsia"/>
                <w:color w:val="auto"/>
                <w:spacing w:val="-6"/>
                <w:sz w:val="24"/>
              </w:rPr>
              <w:t>）</w:t>
            </w:r>
          </w:p>
        </w:tc>
        <w:tc>
          <w:tcPr>
            <w:tcW w:w="3517" w:type="dxa"/>
            <w:vAlign w:val="center"/>
          </w:tcPr>
          <w:p w14:paraId="5A81B796">
            <w:pPr>
              <w:adjustRightInd w:val="0"/>
              <w:snapToGrid w:val="0"/>
              <w:jc w:val="center"/>
              <w:rPr>
                <w:rFonts w:hint="default" w:eastAsia="宋体"/>
                <w:color w:val="auto"/>
                <w:sz w:val="24"/>
                <w:lang w:val="en-US" w:eastAsia="zh-CN"/>
              </w:rPr>
            </w:pPr>
            <w:r>
              <w:rPr>
                <w:rFonts w:hint="eastAsia"/>
                <w:color w:val="auto"/>
                <w:sz w:val="24"/>
                <w:lang w:eastAsia="zh-CN"/>
              </w:rPr>
              <w:t>新增用地面积</w:t>
            </w:r>
            <w:r>
              <w:rPr>
                <w:rFonts w:hint="eastAsia"/>
                <w:color w:val="auto"/>
                <w:sz w:val="24"/>
                <w:lang w:val="en-US" w:eastAsia="zh-CN"/>
              </w:rPr>
              <w:t>48655平方米</w:t>
            </w:r>
          </w:p>
        </w:tc>
      </w:tr>
      <w:tr w14:paraId="12B89E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93" w:hRule="atLeast"/>
          <w:jc w:val="center"/>
        </w:trPr>
        <w:tc>
          <w:tcPr>
            <w:tcW w:w="1120" w:type="dxa"/>
            <w:vAlign w:val="center"/>
          </w:tcPr>
          <w:p w14:paraId="146379C7">
            <w:pPr>
              <w:adjustRightInd w:val="0"/>
              <w:snapToGrid w:val="0"/>
              <w:jc w:val="center"/>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专项评价设置情况</w:t>
            </w:r>
          </w:p>
        </w:tc>
        <w:tc>
          <w:tcPr>
            <w:tcW w:w="7748" w:type="dxa"/>
            <w:gridSpan w:val="3"/>
            <w:vAlign w:val="center"/>
          </w:tcPr>
          <w:p w14:paraId="70425AFC">
            <w:pPr>
              <w:autoSpaceDE w:val="0"/>
              <w:autoSpaceDN w:val="0"/>
              <w:adjustRightInd w:val="0"/>
              <w:snapToGrid w:val="0"/>
              <w:spacing w:line="360" w:lineRule="auto"/>
              <w:ind w:firstLine="480" w:firstLineChars="200"/>
              <w:rPr>
                <w:color w:val="auto"/>
                <w:sz w:val="24"/>
              </w:rPr>
            </w:pPr>
            <w:r>
              <w:rPr>
                <w:rFonts w:hint="eastAsia"/>
                <w:color w:val="auto"/>
                <w:sz w:val="24"/>
              </w:rPr>
              <w:t>根据 《建设项目环境影响报告表编制技术指南（污染影响类）（试行）》要求，建设项目产生的环境影响需要深入论证的，应按照环境影响评价相关技术导则开展专项评价工作。根据建设项目排污情况所涉及环境敏感程度，确定专项评价的类别。大气、地表水、环境风险、生态和海洋专项评价具体设置情况见表1-1。</w:t>
            </w:r>
          </w:p>
          <w:p w14:paraId="734B583D">
            <w:pPr>
              <w:autoSpaceDE w:val="0"/>
              <w:autoSpaceDN w:val="0"/>
              <w:adjustRightInd w:val="0"/>
              <w:snapToGrid w:val="0"/>
              <w:jc w:val="center"/>
              <w:rPr>
                <w:color w:val="auto"/>
                <w:kern w:val="0"/>
                <w:sz w:val="24"/>
              </w:rPr>
            </w:pPr>
            <w:r>
              <w:rPr>
                <w:color w:val="auto"/>
                <w:szCs w:val="21"/>
              </w:rPr>
              <w:t>表1-1专项评价设置情况</w:t>
            </w:r>
          </w:p>
          <w:tbl>
            <w:tblPr>
              <w:tblStyle w:val="31"/>
              <w:tblW w:w="74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9"/>
              <w:gridCol w:w="2681"/>
              <w:gridCol w:w="2826"/>
              <w:gridCol w:w="919"/>
            </w:tblGrid>
            <w:tr w14:paraId="2F8D7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9" w:type="dxa"/>
                  <w:tcMar>
                    <w:top w:w="0" w:type="dxa"/>
                    <w:left w:w="0" w:type="dxa"/>
                    <w:bottom w:w="0" w:type="dxa"/>
                    <w:right w:w="0" w:type="dxa"/>
                  </w:tcMar>
                  <w:vAlign w:val="center"/>
                </w:tcPr>
                <w:p w14:paraId="14B76587">
                  <w:pPr>
                    <w:autoSpaceDE w:val="0"/>
                    <w:autoSpaceDN w:val="0"/>
                    <w:adjustRightInd w:val="0"/>
                    <w:snapToGrid w:val="0"/>
                    <w:jc w:val="center"/>
                    <w:rPr>
                      <w:color w:val="auto"/>
                      <w:kern w:val="0"/>
                      <w:szCs w:val="21"/>
                    </w:rPr>
                  </w:pPr>
                  <w:r>
                    <w:rPr>
                      <w:color w:val="auto"/>
                      <w:kern w:val="0"/>
                      <w:szCs w:val="21"/>
                    </w:rPr>
                    <w:t>专项评价的类别</w:t>
                  </w:r>
                </w:p>
              </w:tc>
              <w:tc>
                <w:tcPr>
                  <w:tcW w:w="2681" w:type="dxa"/>
                  <w:tcMar>
                    <w:top w:w="0" w:type="dxa"/>
                    <w:left w:w="0" w:type="dxa"/>
                    <w:bottom w:w="0" w:type="dxa"/>
                    <w:right w:w="0" w:type="dxa"/>
                  </w:tcMar>
                  <w:vAlign w:val="center"/>
                </w:tcPr>
                <w:p w14:paraId="3DB0F986">
                  <w:pPr>
                    <w:autoSpaceDE w:val="0"/>
                    <w:autoSpaceDN w:val="0"/>
                    <w:adjustRightInd w:val="0"/>
                    <w:snapToGrid w:val="0"/>
                    <w:jc w:val="center"/>
                    <w:rPr>
                      <w:color w:val="auto"/>
                      <w:kern w:val="0"/>
                      <w:szCs w:val="21"/>
                    </w:rPr>
                  </w:pPr>
                  <w:r>
                    <w:rPr>
                      <w:color w:val="auto"/>
                      <w:kern w:val="0"/>
                      <w:szCs w:val="21"/>
                    </w:rPr>
                    <w:t>设置原则</w:t>
                  </w:r>
                </w:p>
              </w:tc>
              <w:tc>
                <w:tcPr>
                  <w:tcW w:w="2826" w:type="dxa"/>
                  <w:tcMar>
                    <w:top w:w="0" w:type="dxa"/>
                    <w:left w:w="0" w:type="dxa"/>
                    <w:bottom w:w="0" w:type="dxa"/>
                    <w:right w:w="0" w:type="dxa"/>
                  </w:tcMar>
                  <w:vAlign w:val="center"/>
                </w:tcPr>
                <w:p w14:paraId="52E62639">
                  <w:pPr>
                    <w:autoSpaceDE w:val="0"/>
                    <w:autoSpaceDN w:val="0"/>
                    <w:adjustRightInd w:val="0"/>
                    <w:snapToGrid w:val="0"/>
                    <w:jc w:val="center"/>
                    <w:rPr>
                      <w:color w:val="auto"/>
                      <w:kern w:val="0"/>
                      <w:szCs w:val="21"/>
                    </w:rPr>
                  </w:pPr>
                  <w:r>
                    <w:rPr>
                      <w:color w:val="auto"/>
                      <w:kern w:val="0"/>
                      <w:szCs w:val="21"/>
                    </w:rPr>
                    <w:t>本项目工程特点及环境特征</w:t>
                  </w:r>
                </w:p>
              </w:tc>
              <w:tc>
                <w:tcPr>
                  <w:tcW w:w="919" w:type="dxa"/>
                  <w:tcMar>
                    <w:top w:w="0" w:type="dxa"/>
                    <w:left w:w="0" w:type="dxa"/>
                    <w:bottom w:w="0" w:type="dxa"/>
                    <w:right w:w="0" w:type="dxa"/>
                  </w:tcMar>
                  <w:vAlign w:val="center"/>
                </w:tcPr>
                <w:p w14:paraId="22EB169B">
                  <w:pPr>
                    <w:autoSpaceDE w:val="0"/>
                    <w:autoSpaceDN w:val="0"/>
                    <w:adjustRightInd w:val="0"/>
                    <w:snapToGrid w:val="0"/>
                    <w:jc w:val="center"/>
                    <w:rPr>
                      <w:color w:val="auto"/>
                      <w:kern w:val="0"/>
                      <w:szCs w:val="21"/>
                    </w:rPr>
                  </w:pPr>
                  <w:r>
                    <w:rPr>
                      <w:color w:val="auto"/>
                      <w:kern w:val="0"/>
                      <w:szCs w:val="21"/>
                    </w:rPr>
                    <w:t>是否设置专项评价</w:t>
                  </w:r>
                </w:p>
              </w:tc>
            </w:tr>
            <w:tr w14:paraId="7E29E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9" w:type="dxa"/>
                  <w:vAlign w:val="center"/>
                </w:tcPr>
                <w:p w14:paraId="3B7DEFFF">
                  <w:pPr>
                    <w:autoSpaceDE w:val="0"/>
                    <w:autoSpaceDN w:val="0"/>
                    <w:adjustRightInd w:val="0"/>
                    <w:snapToGrid w:val="0"/>
                    <w:jc w:val="center"/>
                    <w:rPr>
                      <w:color w:val="auto"/>
                      <w:kern w:val="0"/>
                      <w:szCs w:val="21"/>
                    </w:rPr>
                  </w:pPr>
                  <w:r>
                    <w:rPr>
                      <w:color w:val="auto"/>
                      <w:kern w:val="0"/>
                      <w:szCs w:val="21"/>
                    </w:rPr>
                    <w:t>大气</w:t>
                  </w:r>
                </w:p>
              </w:tc>
              <w:tc>
                <w:tcPr>
                  <w:tcW w:w="2681" w:type="dxa"/>
                  <w:vAlign w:val="center"/>
                </w:tcPr>
                <w:p w14:paraId="51CF044E">
                  <w:pPr>
                    <w:autoSpaceDE w:val="0"/>
                    <w:autoSpaceDN w:val="0"/>
                    <w:adjustRightInd w:val="0"/>
                    <w:snapToGrid w:val="0"/>
                    <w:jc w:val="center"/>
                    <w:rPr>
                      <w:color w:val="auto"/>
                      <w:kern w:val="0"/>
                      <w:szCs w:val="21"/>
                    </w:rPr>
                  </w:pPr>
                  <w:r>
                    <w:rPr>
                      <w:color w:val="auto"/>
                      <w:kern w:val="0"/>
                      <w:szCs w:val="21"/>
                    </w:rPr>
                    <w:t>排放废气含有毒有害污染物</w:t>
                  </w:r>
                  <w:r>
                    <w:rPr>
                      <w:color w:val="auto"/>
                      <w:kern w:val="0"/>
                      <w:szCs w:val="21"/>
                      <w:vertAlign w:val="superscript"/>
                    </w:rPr>
                    <w:t>[1]</w:t>
                  </w:r>
                  <w:r>
                    <w:rPr>
                      <w:color w:val="auto"/>
                      <w:kern w:val="0"/>
                      <w:szCs w:val="21"/>
                    </w:rPr>
                    <w:t>、二噁英、苯并[a]芘、氰化物、氯气且厂界外500米范围内有环境空气保护目标</w:t>
                  </w:r>
                  <w:r>
                    <w:rPr>
                      <w:color w:val="auto"/>
                      <w:kern w:val="0"/>
                      <w:szCs w:val="21"/>
                      <w:vertAlign w:val="superscript"/>
                    </w:rPr>
                    <w:t>[2]</w:t>
                  </w:r>
                  <w:r>
                    <w:rPr>
                      <w:color w:val="auto"/>
                      <w:kern w:val="0"/>
                      <w:szCs w:val="21"/>
                    </w:rPr>
                    <w:t>的建设项目</w:t>
                  </w:r>
                </w:p>
              </w:tc>
              <w:tc>
                <w:tcPr>
                  <w:tcW w:w="2826" w:type="dxa"/>
                  <w:vAlign w:val="center"/>
                </w:tcPr>
                <w:p w14:paraId="102E16ED">
                  <w:pPr>
                    <w:autoSpaceDE w:val="0"/>
                    <w:autoSpaceDN w:val="0"/>
                    <w:adjustRightInd w:val="0"/>
                    <w:snapToGrid w:val="0"/>
                    <w:jc w:val="center"/>
                    <w:rPr>
                      <w:color w:val="auto"/>
                      <w:kern w:val="0"/>
                      <w:szCs w:val="21"/>
                    </w:rPr>
                  </w:pPr>
                  <w:r>
                    <w:rPr>
                      <w:color w:val="auto"/>
                      <w:kern w:val="0"/>
                      <w:szCs w:val="21"/>
                    </w:rPr>
                    <w:t>本项目不涉及含有毒有害污染物[1]、二噁英、苯并[a]芘、氰化物、氯气排放。</w:t>
                  </w:r>
                </w:p>
              </w:tc>
              <w:tc>
                <w:tcPr>
                  <w:tcW w:w="919" w:type="dxa"/>
                  <w:vAlign w:val="center"/>
                </w:tcPr>
                <w:p w14:paraId="162103C1">
                  <w:pPr>
                    <w:autoSpaceDE w:val="0"/>
                    <w:autoSpaceDN w:val="0"/>
                    <w:adjustRightInd w:val="0"/>
                    <w:snapToGrid w:val="0"/>
                    <w:jc w:val="center"/>
                    <w:rPr>
                      <w:color w:val="auto"/>
                      <w:kern w:val="0"/>
                      <w:szCs w:val="21"/>
                    </w:rPr>
                  </w:pPr>
                  <w:r>
                    <w:rPr>
                      <w:color w:val="auto"/>
                      <w:kern w:val="0"/>
                      <w:szCs w:val="21"/>
                    </w:rPr>
                    <w:t>否</w:t>
                  </w:r>
                </w:p>
              </w:tc>
            </w:tr>
            <w:tr w14:paraId="5BFE9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9" w:type="dxa"/>
                  <w:vAlign w:val="center"/>
                </w:tcPr>
                <w:p w14:paraId="17D658E5">
                  <w:pPr>
                    <w:autoSpaceDE w:val="0"/>
                    <w:autoSpaceDN w:val="0"/>
                    <w:adjustRightInd w:val="0"/>
                    <w:snapToGrid w:val="0"/>
                    <w:jc w:val="center"/>
                    <w:rPr>
                      <w:color w:val="auto"/>
                      <w:kern w:val="0"/>
                      <w:szCs w:val="21"/>
                    </w:rPr>
                  </w:pPr>
                  <w:r>
                    <w:rPr>
                      <w:color w:val="auto"/>
                      <w:kern w:val="0"/>
                      <w:szCs w:val="21"/>
                    </w:rPr>
                    <w:t>地表水</w:t>
                  </w:r>
                </w:p>
              </w:tc>
              <w:tc>
                <w:tcPr>
                  <w:tcW w:w="2681" w:type="dxa"/>
                  <w:vAlign w:val="center"/>
                </w:tcPr>
                <w:p w14:paraId="7A011227">
                  <w:pPr>
                    <w:autoSpaceDE w:val="0"/>
                    <w:autoSpaceDN w:val="0"/>
                    <w:adjustRightInd w:val="0"/>
                    <w:snapToGrid w:val="0"/>
                    <w:jc w:val="center"/>
                    <w:rPr>
                      <w:color w:val="auto"/>
                      <w:kern w:val="0"/>
                      <w:szCs w:val="21"/>
                    </w:rPr>
                  </w:pPr>
                  <w:r>
                    <w:rPr>
                      <w:color w:val="auto"/>
                      <w:kern w:val="0"/>
                      <w:szCs w:val="21"/>
                    </w:rPr>
                    <w:t>新增工业废水直排建设项目（槽罐车外送污水处理厂的除外）；新增废水直排的污水集中处理厂</w:t>
                  </w:r>
                </w:p>
              </w:tc>
              <w:tc>
                <w:tcPr>
                  <w:tcW w:w="2826" w:type="dxa"/>
                  <w:vAlign w:val="center"/>
                </w:tcPr>
                <w:p w14:paraId="4DBB7BEB">
                  <w:pPr>
                    <w:autoSpaceDE w:val="0"/>
                    <w:autoSpaceDN w:val="0"/>
                    <w:adjustRightInd w:val="0"/>
                    <w:snapToGrid w:val="0"/>
                    <w:jc w:val="center"/>
                    <w:rPr>
                      <w:color w:val="auto"/>
                      <w:kern w:val="0"/>
                      <w:szCs w:val="21"/>
                    </w:rPr>
                  </w:pPr>
                  <w:r>
                    <w:rPr>
                      <w:color w:val="auto"/>
                      <w:kern w:val="0"/>
                      <w:szCs w:val="21"/>
                    </w:rPr>
                    <w:t>本项目无工业废水</w:t>
                  </w:r>
                  <w:r>
                    <w:rPr>
                      <w:rFonts w:hint="eastAsia"/>
                      <w:color w:val="auto"/>
                      <w:kern w:val="0"/>
                      <w:szCs w:val="21"/>
                      <w:lang w:eastAsia="zh-CN"/>
                    </w:rPr>
                    <w:t>外排</w:t>
                  </w:r>
                  <w:r>
                    <w:rPr>
                      <w:color w:val="auto"/>
                      <w:kern w:val="0"/>
                      <w:szCs w:val="21"/>
                    </w:rPr>
                    <w:t>，项目</w:t>
                  </w:r>
                  <w:r>
                    <w:rPr>
                      <w:rFonts w:hint="eastAsia"/>
                      <w:color w:val="auto"/>
                      <w:kern w:val="0"/>
                      <w:szCs w:val="21"/>
                      <w:lang w:eastAsia="zh-CN"/>
                    </w:rPr>
                    <w:t>生活污水</w:t>
                  </w:r>
                  <w:r>
                    <w:rPr>
                      <w:color w:val="auto"/>
                      <w:kern w:val="0"/>
                      <w:szCs w:val="21"/>
                    </w:rPr>
                    <w:t>经</w:t>
                  </w:r>
                  <w:r>
                    <w:rPr>
                      <w:rFonts w:hint="eastAsia"/>
                      <w:color w:val="auto"/>
                      <w:kern w:val="0"/>
                      <w:szCs w:val="21"/>
                    </w:rPr>
                    <w:t>厂区</w:t>
                  </w:r>
                  <w:r>
                    <w:rPr>
                      <w:rFonts w:hint="eastAsia"/>
                      <w:color w:val="auto"/>
                      <w:kern w:val="0"/>
                      <w:szCs w:val="21"/>
                      <w:lang w:eastAsia="zh-CN"/>
                    </w:rPr>
                    <w:t>化粪池</w:t>
                  </w:r>
                  <w:r>
                    <w:rPr>
                      <w:color w:val="auto"/>
                      <w:kern w:val="0"/>
                      <w:szCs w:val="21"/>
                    </w:rPr>
                    <w:t>预处理后</w:t>
                  </w:r>
                  <w:r>
                    <w:rPr>
                      <w:rFonts w:hint="eastAsia"/>
                      <w:color w:val="auto"/>
                      <w:kern w:val="0"/>
                      <w:szCs w:val="21"/>
                    </w:rPr>
                    <w:t>排入市政污水管网，最终纳入</w:t>
                  </w:r>
                  <w:r>
                    <w:rPr>
                      <w:rFonts w:hint="eastAsia"/>
                      <w:color w:val="auto"/>
                      <w:lang w:val="zh-CN"/>
                    </w:rPr>
                    <w:t>竹岐乡污水处理厂处理</w:t>
                  </w:r>
                  <w:r>
                    <w:rPr>
                      <w:color w:val="auto"/>
                      <w:kern w:val="0"/>
                      <w:szCs w:val="21"/>
                    </w:rPr>
                    <w:t>。</w:t>
                  </w:r>
                </w:p>
              </w:tc>
              <w:tc>
                <w:tcPr>
                  <w:tcW w:w="919" w:type="dxa"/>
                  <w:vAlign w:val="center"/>
                </w:tcPr>
                <w:p w14:paraId="4F15DB07">
                  <w:pPr>
                    <w:autoSpaceDE w:val="0"/>
                    <w:autoSpaceDN w:val="0"/>
                    <w:adjustRightInd w:val="0"/>
                    <w:snapToGrid w:val="0"/>
                    <w:jc w:val="center"/>
                    <w:rPr>
                      <w:color w:val="auto"/>
                      <w:kern w:val="0"/>
                      <w:szCs w:val="21"/>
                    </w:rPr>
                  </w:pPr>
                  <w:r>
                    <w:rPr>
                      <w:color w:val="auto"/>
                      <w:kern w:val="0"/>
                      <w:szCs w:val="21"/>
                    </w:rPr>
                    <w:t>否</w:t>
                  </w:r>
                </w:p>
              </w:tc>
            </w:tr>
            <w:tr w14:paraId="3E559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9" w:type="dxa"/>
                  <w:vAlign w:val="center"/>
                </w:tcPr>
                <w:p w14:paraId="7808BEF1">
                  <w:pPr>
                    <w:autoSpaceDE w:val="0"/>
                    <w:autoSpaceDN w:val="0"/>
                    <w:adjustRightInd w:val="0"/>
                    <w:snapToGrid w:val="0"/>
                    <w:jc w:val="center"/>
                    <w:rPr>
                      <w:color w:val="auto"/>
                      <w:kern w:val="0"/>
                      <w:szCs w:val="21"/>
                    </w:rPr>
                  </w:pPr>
                  <w:r>
                    <w:rPr>
                      <w:color w:val="auto"/>
                      <w:kern w:val="0"/>
                      <w:szCs w:val="21"/>
                    </w:rPr>
                    <w:t>环境</w:t>
                  </w:r>
                </w:p>
                <w:p w14:paraId="29B9FC74">
                  <w:pPr>
                    <w:autoSpaceDE w:val="0"/>
                    <w:autoSpaceDN w:val="0"/>
                    <w:adjustRightInd w:val="0"/>
                    <w:snapToGrid w:val="0"/>
                    <w:jc w:val="center"/>
                    <w:rPr>
                      <w:color w:val="auto"/>
                      <w:kern w:val="0"/>
                      <w:szCs w:val="21"/>
                    </w:rPr>
                  </w:pPr>
                  <w:r>
                    <w:rPr>
                      <w:color w:val="auto"/>
                      <w:kern w:val="0"/>
                      <w:szCs w:val="21"/>
                    </w:rPr>
                    <w:t>风险</w:t>
                  </w:r>
                </w:p>
              </w:tc>
              <w:tc>
                <w:tcPr>
                  <w:tcW w:w="2681" w:type="dxa"/>
                  <w:vAlign w:val="center"/>
                </w:tcPr>
                <w:p w14:paraId="7F8F7A2E">
                  <w:pPr>
                    <w:autoSpaceDE w:val="0"/>
                    <w:autoSpaceDN w:val="0"/>
                    <w:adjustRightInd w:val="0"/>
                    <w:snapToGrid w:val="0"/>
                    <w:jc w:val="center"/>
                    <w:rPr>
                      <w:color w:val="auto"/>
                      <w:kern w:val="0"/>
                      <w:szCs w:val="21"/>
                    </w:rPr>
                  </w:pPr>
                  <w:r>
                    <w:rPr>
                      <w:color w:val="auto"/>
                      <w:kern w:val="0"/>
                      <w:szCs w:val="21"/>
                    </w:rPr>
                    <w:t>有毒有害和易燃易爆危险物质存储量超过临界量</w:t>
                  </w:r>
                  <w:r>
                    <w:rPr>
                      <w:color w:val="auto"/>
                      <w:kern w:val="0"/>
                      <w:szCs w:val="21"/>
                      <w:vertAlign w:val="superscript"/>
                    </w:rPr>
                    <w:t>[3]</w:t>
                  </w:r>
                  <w:r>
                    <w:rPr>
                      <w:color w:val="auto"/>
                      <w:kern w:val="0"/>
                      <w:szCs w:val="21"/>
                    </w:rPr>
                    <w:t>的建设项目</w:t>
                  </w:r>
                </w:p>
              </w:tc>
              <w:tc>
                <w:tcPr>
                  <w:tcW w:w="2826" w:type="dxa"/>
                  <w:vAlign w:val="center"/>
                </w:tcPr>
                <w:p w14:paraId="298DA031">
                  <w:pPr>
                    <w:autoSpaceDE w:val="0"/>
                    <w:autoSpaceDN w:val="0"/>
                    <w:adjustRightInd w:val="0"/>
                    <w:snapToGrid w:val="0"/>
                    <w:jc w:val="center"/>
                    <w:rPr>
                      <w:color w:val="auto"/>
                      <w:kern w:val="0"/>
                      <w:szCs w:val="21"/>
                    </w:rPr>
                  </w:pPr>
                  <w:r>
                    <w:rPr>
                      <w:color w:val="auto"/>
                      <w:kern w:val="0"/>
                      <w:szCs w:val="21"/>
                    </w:rPr>
                    <w:t>本项目风险Q值小于1，环境风险潜势为Ⅰ，风险物质存储量未超过临界量。</w:t>
                  </w:r>
                </w:p>
              </w:tc>
              <w:tc>
                <w:tcPr>
                  <w:tcW w:w="919" w:type="dxa"/>
                  <w:vAlign w:val="center"/>
                </w:tcPr>
                <w:p w14:paraId="019AB0FE">
                  <w:pPr>
                    <w:autoSpaceDE w:val="0"/>
                    <w:autoSpaceDN w:val="0"/>
                    <w:adjustRightInd w:val="0"/>
                    <w:snapToGrid w:val="0"/>
                    <w:jc w:val="center"/>
                    <w:rPr>
                      <w:color w:val="auto"/>
                      <w:kern w:val="0"/>
                      <w:szCs w:val="21"/>
                    </w:rPr>
                  </w:pPr>
                  <w:r>
                    <w:rPr>
                      <w:rFonts w:hint="eastAsia"/>
                      <w:color w:val="auto"/>
                      <w:kern w:val="0"/>
                      <w:szCs w:val="21"/>
                    </w:rPr>
                    <w:t>否</w:t>
                  </w:r>
                </w:p>
              </w:tc>
            </w:tr>
            <w:tr w14:paraId="187B0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9" w:type="dxa"/>
                  <w:vAlign w:val="center"/>
                </w:tcPr>
                <w:p w14:paraId="5224F5CE">
                  <w:pPr>
                    <w:autoSpaceDE w:val="0"/>
                    <w:autoSpaceDN w:val="0"/>
                    <w:adjustRightInd w:val="0"/>
                    <w:snapToGrid w:val="0"/>
                    <w:jc w:val="center"/>
                    <w:rPr>
                      <w:color w:val="auto"/>
                      <w:kern w:val="0"/>
                      <w:szCs w:val="21"/>
                    </w:rPr>
                  </w:pPr>
                  <w:r>
                    <w:rPr>
                      <w:color w:val="auto"/>
                      <w:kern w:val="0"/>
                      <w:szCs w:val="21"/>
                    </w:rPr>
                    <w:t>生态</w:t>
                  </w:r>
                </w:p>
              </w:tc>
              <w:tc>
                <w:tcPr>
                  <w:tcW w:w="2681" w:type="dxa"/>
                  <w:vAlign w:val="center"/>
                </w:tcPr>
                <w:p w14:paraId="659C3373">
                  <w:pPr>
                    <w:autoSpaceDE w:val="0"/>
                    <w:autoSpaceDN w:val="0"/>
                    <w:adjustRightInd w:val="0"/>
                    <w:snapToGrid w:val="0"/>
                    <w:jc w:val="center"/>
                    <w:rPr>
                      <w:color w:val="auto"/>
                      <w:kern w:val="0"/>
                      <w:szCs w:val="21"/>
                    </w:rPr>
                  </w:pPr>
                  <w:r>
                    <w:rPr>
                      <w:color w:val="auto"/>
                      <w:kern w:val="0"/>
                      <w:szCs w:val="21"/>
                    </w:rPr>
                    <w:t>取水口下游500米范围内有重要水生生物的自然产卵场、索饵场、越冬场和洄游通道的新增河道取水的污染类建设项目</w:t>
                  </w:r>
                </w:p>
              </w:tc>
              <w:tc>
                <w:tcPr>
                  <w:tcW w:w="2826" w:type="dxa"/>
                  <w:vAlign w:val="center"/>
                </w:tcPr>
                <w:p w14:paraId="652A834E">
                  <w:pPr>
                    <w:autoSpaceDE w:val="0"/>
                    <w:autoSpaceDN w:val="0"/>
                    <w:adjustRightInd w:val="0"/>
                    <w:snapToGrid w:val="0"/>
                    <w:jc w:val="center"/>
                    <w:rPr>
                      <w:color w:val="auto"/>
                      <w:kern w:val="0"/>
                      <w:szCs w:val="21"/>
                    </w:rPr>
                  </w:pPr>
                  <w:r>
                    <w:rPr>
                      <w:color w:val="auto"/>
                      <w:kern w:val="0"/>
                      <w:szCs w:val="21"/>
                    </w:rPr>
                    <w:t>本项目不属于生态类项目，且不涉及新增河道取水。</w:t>
                  </w:r>
                </w:p>
              </w:tc>
              <w:tc>
                <w:tcPr>
                  <w:tcW w:w="919" w:type="dxa"/>
                  <w:vAlign w:val="center"/>
                </w:tcPr>
                <w:p w14:paraId="3119CD0B">
                  <w:pPr>
                    <w:autoSpaceDE w:val="0"/>
                    <w:autoSpaceDN w:val="0"/>
                    <w:adjustRightInd w:val="0"/>
                    <w:snapToGrid w:val="0"/>
                    <w:jc w:val="center"/>
                    <w:rPr>
                      <w:color w:val="auto"/>
                      <w:kern w:val="0"/>
                      <w:szCs w:val="21"/>
                    </w:rPr>
                  </w:pPr>
                  <w:r>
                    <w:rPr>
                      <w:color w:val="auto"/>
                      <w:kern w:val="0"/>
                      <w:szCs w:val="21"/>
                    </w:rPr>
                    <w:t>否</w:t>
                  </w:r>
                </w:p>
              </w:tc>
            </w:tr>
            <w:tr w14:paraId="49D9A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9" w:type="dxa"/>
                  <w:vAlign w:val="center"/>
                </w:tcPr>
                <w:p w14:paraId="48EA9367">
                  <w:pPr>
                    <w:autoSpaceDE w:val="0"/>
                    <w:autoSpaceDN w:val="0"/>
                    <w:adjustRightInd w:val="0"/>
                    <w:snapToGrid w:val="0"/>
                    <w:jc w:val="center"/>
                    <w:rPr>
                      <w:color w:val="auto"/>
                      <w:kern w:val="0"/>
                      <w:szCs w:val="21"/>
                    </w:rPr>
                  </w:pPr>
                  <w:r>
                    <w:rPr>
                      <w:color w:val="auto"/>
                      <w:kern w:val="0"/>
                      <w:szCs w:val="21"/>
                    </w:rPr>
                    <w:t>海洋</w:t>
                  </w:r>
                </w:p>
              </w:tc>
              <w:tc>
                <w:tcPr>
                  <w:tcW w:w="2681" w:type="dxa"/>
                  <w:vAlign w:val="center"/>
                </w:tcPr>
                <w:p w14:paraId="087F01AD">
                  <w:pPr>
                    <w:autoSpaceDE w:val="0"/>
                    <w:autoSpaceDN w:val="0"/>
                    <w:adjustRightInd w:val="0"/>
                    <w:snapToGrid w:val="0"/>
                    <w:jc w:val="center"/>
                    <w:rPr>
                      <w:color w:val="auto"/>
                      <w:kern w:val="0"/>
                      <w:szCs w:val="21"/>
                    </w:rPr>
                  </w:pPr>
                  <w:r>
                    <w:rPr>
                      <w:color w:val="auto"/>
                      <w:kern w:val="0"/>
                      <w:szCs w:val="21"/>
                    </w:rPr>
                    <w:t>直接向海排放污染物的海洋工程建设项目</w:t>
                  </w:r>
                </w:p>
              </w:tc>
              <w:tc>
                <w:tcPr>
                  <w:tcW w:w="2826" w:type="dxa"/>
                  <w:vAlign w:val="center"/>
                </w:tcPr>
                <w:p w14:paraId="702A7B39">
                  <w:pPr>
                    <w:autoSpaceDE w:val="0"/>
                    <w:autoSpaceDN w:val="0"/>
                    <w:adjustRightInd w:val="0"/>
                    <w:snapToGrid w:val="0"/>
                    <w:jc w:val="center"/>
                    <w:rPr>
                      <w:color w:val="auto"/>
                      <w:kern w:val="0"/>
                      <w:szCs w:val="21"/>
                    </w:rPr>
                  </w:pPr>
                  <w:r>
                    <w:rPr>
                      <w:color w:val="auto"/>
                      <w:kern w:val="0"/>
                      <w:szCs w:val="21"/>
                    </w:rPr>
                    <w:t>本项目不属于海洋工程建设项目，不向海洋排放污染物。</w:t>
                  </w:r>
                </w:p>
              </w:tc>
              <w:tc>
                <w:tcPr>
                  <w:tcW w:w="919" w:type="dxa"/>
                  <w:vAlign w:val="center"/>
                </w:tcPr>
                <w:p w14:paraId="552CF908">
                  <w:pPr>
                    <w:autoSpaceDE w:val="0"/>
                    <w:autoSpaceDN w:val="0"/>
                    <w:adjustRightInd w:val="0"/>
                    <w:snapToGrid w:val="0"/>
                    <w:jc w:val="center"/>
                    <w:rPr>
                      <w:color w:val="auto"/>
                      <w:kern w:val="0"/>
                      <w:szCs w:val="21"/>
                    </w:rPr>
                  </w:pPr>
                  <w:r>
                    <w:rPr>
                      <w:color w:val="auto"/>
                      <w:kern w:val="0"/>
                      <w:szCs w:val="21"/>
                    </w:rPr>
                    <w:t>否</w:t>
                  </w:r>
                </w:p>
              </w:tc>
            </w:tr>
            <w:tr w14:paraId="100AC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45" w:type="dxa"/>
                  <w:gridSpan w:val="4"/>
                  <w:vAlign w:val="center"/>
                </w:tcPr>
                <w:p w14:paraId="4D8C1803">
                  <w:pPr>
                    <w:autoSpaceDE w:val="0"/>
                    <w:autoSpaceDN w:val="0"/>
                    <w:adjustRightInd w:val="0"/>
                    <w:snapToGrid w:val="0"/>
                    <w:jc w:val="left"/>
                    <w:rPr>
                      <w:color w:val="auto"/>
                      <w:kern w:val="0"/>
                      <w:szCs w:val="21"/>
                    </w:rPr>
                  </w:pPr>
                  <w:r>
                    <w:rPr>
                      <w:color w:val="auto"/>
                      <w:kern w:val="0"/>
                      <w:sz w:val="18"/>
                      <w:szCs w:val="18"/>
                    </w:rPr>
                    <w:t>注：1、废气中有毒有害污染物指纳入《有毒有害大气污染物名录》的污染物（不包括无排放标准的污染物）。2、环境空气保护目标指自然保护区、风景名胜区、居住区、文化区和农村地区中人群较集中的区域。3、临界量及其计算方法可参考《建设项目环境风险评价技术导则》（HJ 169）附录B、附录C。</w:t>
                  </w:r>
                </w:p>
              </w:tc>
            </w:tr>
          </w:tbl>
          <w:p w14:paraId="6A0D7EB4">
            <w:pPr>
              <w:pStyle w:val="5"/>
              <w:ind w:firstLine="241"/>
              <w:rPr>
                <w:rFonts w:hint="default"/>
                <w:color w:val="auto"/>
              </w:rPr>
            </w:pPr>
          </w:p>
        </w:tc>
      </w:tr>
      <w:tr w14:paraId="02D3CB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120" w:type="dxa"/>
            <w:vAlign w:val="center"/>
          </w:tcPr>
          <w:p w14:paraId="2270F6DA">
            <w:pPr>
              <w:adjustRightInd w:val="0"/>
              <w:snapToGrid w:val="0"/>
              <w:jc w:val="center"/>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规划</w:t>
            </w:r>
          </w:p>
          <w:p w14:paraId="0BD40186">
            <w:pPr>
              <w:adjustRightInd w:val="0"/>
              <w:snapToGrid w:val="0"/>
              <w:jc w:val="center"/>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情况</w:t>
            </w:r>
          </w:p>
        </w:tc>
        <w:tc>
          <w:tcPr>
            <w:tcW w:w="7748" w:type="dxa"/>
            <w:gridSpan w:val="3"/>
            <w:vAlign w:val="center"/>
          </w:tcPr>
          <w:p w14:paraId="20BA7888">
            <w:pPr>
              <w:pStyle w:val="136"/>
              <w:keepNext w:val="0"/>
              <w:keepLines w:val="0"/>
              <w:pageBreakBefore w:val="0"/>
              <w:widowControl w:val="0"/>
              <w:kinsoku/>
              <w:wordWrap/>
              <w:overflowPunct/>
              <w:topLinePunct w:val="0"/>
              <w:bidi w:val="0"/>
              <w:spacing w:after="0" w:line="360" w:lineRule="auto"/>
              <w:ind w:left="0" w:leftChars="0" w:firstLine="0" w:firstLineChars="0"/>
              <w:textAlignment w:val="auto"/>
              <w:rPr>
                <w:rFonts w:hint="eastAsia"/>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w:t>
            </w:r>
            <w:r>
              <w:rPr>
                <w:rFonts w:hint="eastAsia"/>
                <w:color w:val="auto"/>
                <w:sz w:val="24"/>
                <w:szCs w:val="24"/>
                <w:highlight w:val="none"/>
              </w:rPr>
              <w:t>规划名称：《闽侯县竹岐片区控制性详细规划》</w:t>
            </w:r>
          </w:p>
          <w:p w14:paraId="3DA5351D">
            <w:pPr>
              <w:pStyle w:val="136"/>
              <w:keepNext w:val="0"/>
              <w:keepLines w:val="0"/>
              <w:pageBreakBefore w:val="0"/>
              <w:widowControl w:val="0"/>
              <w:kinsoku/>
              <w:wordWrap/>
              <w:overflowPunct/>
              <w:topLinePunct w:val="0"/>
              <w:bidi w:val="0"/>
              <w:spacing w:after="0" w:line="360" w:lineRule="auto"/>
              <w:ind w:left="0" w:leftChars="0" w:firstLine="0" w:firstLineChars="0"/>
              <w:textAlignment w:val="auto"/>
              <w:rPr>
                <w:rFonts w:hint="eastAsia"/>
                <w:color w:val="auto"/>
                <w:sz w:val="24"/>
                <w:szCs w:val="24"/>
                <w:highlight w:val="none"/>
              </w:rPr>
            </w:pPr>
            <w:r>
              <w:rPr>
                <w:rFonts w:hint="eastAsia"/>
                <w:color w:val="auto"/>
                <w:sz w:val="24"/>
                <w:szCs w:val="24"/>
                <w:highlight w:val="none"/>
              </w:rPr>
              <w:t>审批机关：闽侯县人民政府</w:t>
            </w:r>
          </w:p>
          <w:p w14:paraId="5310B4A3">
            <w:pPr>
              <w:pStyle w:val="136"/>
              <w:keepNext w:val="0"/>
              <w:keepLines w:val="0"/>
              <w:pageBreakBefore w:val="0"/>
              <w:widowControl w:val="0"/>
              <w:kinsoku/>
              <w:wordWrap/>
              <w:overflowPunct/>
              <w:topLinePunct w:val="0"/>
              <w:bidi w:val="0"/>
              <w:spacing w:after="0" w:line="360" w:lineRule="auto"/>
              <w:ind w:left="0" w:leftChars="0" w:firstLine="0" w:firstLineChars="0"/>
              <w:textAlignment w:val="auto"/>
              <w:rPr>
                <w:rFonts w:hint="eastAsia"/>
                <w:color w:val="auto"/>
                <w:sz w:val="24"/>
                <w:szCs w:val="24"/>
                <w:highlight w:val="none"/>
              </w:rPr>
            </w:pPr>
            <w:r>
              <w:rPr>
                <w:rFonts w:hint="eastAsia"/>
                <w:color w:val="auto"/>
                <w:sz w:val="24"/>
                <w:szCs w:val="24"/>
                <w:highlight w:val="none"/>
              </w:rPr>
              <w:t>审批文件名称及文号：《闽侯县人民政府关于闽侯县竹岐片区控制性详细规划的批复》</w:t>
            </w:r>
            <w:r>
              <w:rPr>
                <w:rFonts w:hint="eastAsia"/>
                <w:color w:val="auto"/>
                <w:sz w:val="24"/>
                <w:szCs w:val="24"/>
                <w:highlight w:val="none"/>
                <w:lang w:eastAsia="zh-CN"/>
              </w:rPr>
              <w:t>（</w:t>
            </w:r>
            <w:r>
              <w:rPr>
                <w:rFonts w:hint="eastAsia"/>
                <w:color w:val="auto"/>
                <w:sz w:val="24"/>
                <w:szCs w:val="24"/>
                <w:highlight w:val="none"/>
              </w:rPr>
              <w:t>侯政文〔2021〕46号</w:t>
            </w:r>
            <w:r>
              <w:rPr>
                <w:rFonts w:hint="eastAsia"/>
                <w:color w:val="auto"/>
                <w:sz w:val="24"/>
                <w:szCs w:val="24"/>
                <w:highlight w:val="none"/>
                <w:lang w:eastAsia="zh-CN"/>
              </w:rPr>
              <w:t>）</w:t>
            </w:r>
          </w:p>
          <w:p w14:paraId="75312C7C">
            <w:pPr>
              <w:pStyle w:val="136"/>
              <w:keepNext w:val="0"/>
              <w:keepLines w:val="0"/>
              <w:pageBreakBefore w:val="0"/>
              <w:widowControl w:val="0"/>
              <w:kinsoku/>
              <w:wordWrap/>
              <w:overflowPunct/>
              <w:topLinePunct w:val="0"/>
              <w:bidi w:val="0"/>
              <w:spacing w:after="0" w:line="360" w:lineRule="auto"/>
              <w:ind w:left="0" w:leftChars="0" w:firstLine="0" w:firstLineChars="0"/>
              <w:textAlignment w:val="auto"/>
              <w:rPr>
                <w:rFonts w:hint="eastAsia"/>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hint="eastAsia"/>
                <w:color w:val="auto"/>
                <w:sz w:val="24"/>
                <w:szCs w:val="24"/>
                <w:highlight w:val="none"/>
              </w:rPr>
              <w:t>规划名称：《闽侯县国土空间总体规划（2021—2035年）》</w:t>
            </w:r>
          </w:p>
          <w:p w14:paraId="450588CF">
            <w:pPr>
              <w:pStyle w:val="136"/>
              <w:keepNext w:val="0"/>
              <w:keepLines w:val="0"/>
              <w:pageBreakBefore w:val="0"/>
              <w:widowControl w:val="0"/>
              <w:kinsoku/>
              <w:wordWrap/>
              <w:overflowPunct/>
              <w:topLinePunct w:val="0"/>
              <w:bidi w:val="0"/>
              <w:spacing w:after="0" w:line="360" w:lineRule="auto"/>
              <w:ind w:left="0" w:leftChars="0" w:firstLine="0" w:firstLineChars="0"/>
              <w:textAlignment w:val="auto"/>
              <w:rPr>
                <w:rFonts w:hint="eastAsia"/>
                <w:color w:val="auto"/>
                <w:sz w:val="24"/>
                <w:szCs w:val="24"/>
                <w:highlight w:val="none"/>
              </w:rPr>
            </w:pPr>
            <w:r>
              <w:rPr>
                <w:rFonts w:hint="eastAsia"/>
                <w:color w:val="auto"/>
                <w:sz w:val="24"/>
                <w:szCs w:val="24"/>
                <w:highlight w:val="none"/>
              </w:rPr>
              <w:t>审批机关：福建省人民政府</w:t>
            </w:r>
          </w:p>
          <w:p w14:paraId="76429D9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jc w:val="left"/>
              <w:textAlignment w:val="auto"/>
              <w:rPr>
                <w:rFonts w:hint="eastAsia"/>
                <w:color w:val="auto"/>
                <w:sz w:val="24"/>
                <w:szCs w:val="24"/>
                <w:highlight w:val="none"/>
              </w:rPr>
            </w:pPr>
            <w:r>
              <w:rPr>
                <w:rFonts w:hint="eastAsia"/>
                <w:color w:val="auto"/>
                <w:sz w:val="24"/>
                <w:szCs w:val="24"/>
                <w:highlight w:val="none"/>
              </w:rPr>
              <w:t>审批文件名称及文号：福建省人民政府关于福州市所辖6个县（市）国土空间总体规划（2021—2035年）的批复</w:t>
            </w:r>
          </w:p>
          <w:p w14:paraId="17E56444">
            <w:pPr>
              <w:pStyle w:val="136"/>
              <w:keepNext w:val="0"/>
              <w:keepLines w:val="0"/>
              <w:pageBreakBefore w:val="0"/>
              <w:widowControl w:val="0"/>
              <w:kinsoku/>
              <w:wordWrap/>
              <w:overflowPunct/>
              <w:topLinePunct w:val="0"/>
              <w:bidi w:val="0"/>
              <w:spacing w:after="0" w:line="360" w:lineRule="auto"/>
              <w:ind w:left="0" w:leftChars="0" w:firstLine="0" w:firstLineChars="0"/>
              <w:textAlignment w:val="auto"/>
              <w:rPr>
                <w:rFonts w:hint="eastAsia"/>
                <w:color w:val="auto"/>
                <w:sz w:val="24"/>
                <w:szCs w:val="24"/>
                <w:highlight w:val="none"/>
              </w:rPr>
            </w:pPr>
            <w:r>
              <w:rPr>
                <w:rFonts w:hint="eastAsia" w:ascii="Times New Roman" w:hAnsi="Times New Roman" w:eastAsia="宋体" w:cs="宋体"/>
                <w:color w:val="auto"/>
                <w:sz w:val="24"/>
                <w:szCs w:val="24"/>
                <w:highlight w:val="none"/>
                <w:lang w:eastAsia="zh-CN"/>
              </w:rPr>
              <w:t>（</w:t>
            </w:r>
            <w:r>
              <w:rPr>
                <w:rFonts w:hint="eastAsia" w:ascii="Times New Roman" w:hAnsi="Times New Roman" w:eastAsia="宋体" w:cs="宋体"/>
                <w:color w:val="auto"/>
                <w:sz w:val="24"/>
                <w:szCs w:val="24"/>
                <w:highlight w:val="none"/>
                <w:lang w:val="en-US" w:eastAsia="zh-CN"/>
              </w:rPr>
              <w:t>3</w:t>
            </w:r>
            <w:r>
              <w:rPr>
                <w:rFonts w:hint="eastAsia" w:ascii="Times New Roman" w:hAnsi="Times New Roman" w:eastAsia="宋体" w:cs="宋体"/>
                <w:color w:val="auto"/>
                <w:sz w:val="24"/>
                <w:szCs w:val="24"/>
                <w:highlight w:val="none"/>
                <w:lang w:eastAsia="zh-CN"/>
              </w:rPr>
              <w:t>）</w:t>
            </w:r>
            <w:r>
              <w:rPr>
                <w:rFonts w:hint="eastAsia"/>
                <w:color w:val="auto"/>
                <w:sz w:val="24"/>
                <w:szCs w:val="24"/>
                <w:highlight w:val="none"/>
              </w:rPr>
              <w:t>规划名称：《福州市国土空间总体规划（2021</w:t>
            </w:r>
            <w:r>
              <w:rPr>
                <w:rFonts w:hint="eastAsia"/>
                <w:color w:val="auto"/>
                <w:sz w:val="24"/>
                <w:szCs w:val="24"/>
                <w:highlight w:val="none"/>
                <w:lang w:eastAsia="zh-CN"/>
              </w:rPr>
              <w:t>—</w:t>
            </w:r>
            <w:r>
              <w:rPr>
                <w:rFonts w:hint="eastAsia"/>
                <w:color w:val="auto"/>
                <w:sz w:val="24"/>
                <w:szCs w:val="24"/>
                <w:highlight w:val="none"/>
              </w:rPr>
              <w:t>2035年）》</w:t>
            </w:r>
          </w:p>
          <w:p w14:paraId="6C0AA13D">
            <w:pPr>
              <w:pStyle w:val="136"/>
              <w:keepNext w:val="0"/>
              <w:keepLines w:val="0"/>
              <w:pageBreakBefore w:val="0"/>
              <w:widowControl w:val="0"/>
              <w:kinsoku/>
              <w:wordWrap/>
              <w:overflowPunct/>
              <w:topLinePunct w:val="0"/>
              <w:bidi w:val="0"/>
              <w:spacing w:after="0" w:line="360" w:lineRule="auto"/>
              <w:ind w:left="0" w:leftChars="0" w:firstLine="0" w:firstLineChars="0"/>
              <w:textAlignment w:val="auto"/>
              <w:rPr>
                <w:rFonts w:hint="eastAsia"/>
                <w:color w:val="auto"/>
                <w:sz w:val="24"/>
                <w:szCs w:val="24"/>
                <w:highlight w:val="none"/>
              </w:rPr>
            </w:pPr>
            <w:r>
              <w:rPr>
                <w:rFonts w:hint="eastAsia"/>
                <w:color w:val="auto"/>
                <w:sz w:val="24"/>
                <w:szCs w:val="24"/>
                <w:highlight w:val="none"/>
              </w:rPr>
              <w:t>审批机关：国务院</w:t>
            </w:r>
          </w:p>
          <w:p w14:paraId="39DBA8A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jc w:val="left"/>
              <w:textAlignment w:val="auto"/>
              <w:rPr>
                <w:rFonts w:hint="eastAsia" w:eastAsia="宋体"/>
                <w:color w:val="auto"/>
                <w:lang w:val="en-US" w:eastAsia="zh-CN"/>
              </w:rPr>
            </w:pPr>
            <w:r>
              <w:rPr>
                <w:rFonts w:hint="eastAsia"/>
                <w:color w:val="auto"/>
                <w:sz w:val="24"/>
                <w:szCs w:val="24"/>
                <w:highlight w:val="none"/>
              </w:rPr>
              <w:t>审批文件名称及文号：国务院关于《福州市国土空间总体规划（2021—2035年）》的批复</w:t>
            </w:r>
            <w:r>
              <w:rPr>
                <w:rFonts w:hint="eastAsia"/>
                <w:color w:val="auto"/>
                <w:sz w:val="24"/>
                <w:szCs w:val="24"/>
                <w:highlight w:val="none"/>
                <w:lang w:eastAsia="zh-CN"/>
              </w:rPr>
              <w:t>（国函〔2024〕185号）</w:t>
            </w:r>
          </w:p>
        </w:tc>
      </w:tr>
      <w:tr w14:paraId="688871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20" w:type="dxa"/>
            <w:vAlign w:val="center"/>
          </w:tcPr>
          <w:p w14:paraId="1419EFD4">
            <w:pPr>
              <w:adjustRightInd w:val="0"/>
              <w:snapToGrid w:val="0"/>
              <w:jc w:val="center"/>
              <w:rPr>
                <w:color w:val="auto"/>
                <w:kern w:val="0"/>
                <w:sz w:val="24"/>
              </w:rPr>
            </w:pPr>
            <w:r>
              <w:rPr>
                <w:rFonts w:hint="eastAsia"/>
                <w:color w:val="auto"/>
                <w:sz w:val="24"/>
              </w:rPr>
              <w:t>规划环境影响评价情况</w:t>
            </w:r>
          </w:p>
        </w:tc>
        <w:tc>
          <w:tcPr>
            <w:tcW w:w="7748" w:type="dxa"/>
            <w:gridSpan w:val="3"/>
            <w:vAlign w:val="center"/>
          </w:tcPr>
          <w:p w14:paraId="046F40F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center"/>
              <w:textAlignment w:val="auto"/>
              <w:rPr>
                <w:rFonts w:hint="eastAsia" w:eastAsia="宋体"/>
                <w:color w:val="auto"/>
                <w:kern w:val="0"/>
                <w:sz w:val="24"/>
                <w:lang w:eastAsia="zh-CN"/>
              </w:rPr>
            </w:pPr>
            <w:r>
              <w:rPr>
                <w:rFonts w:hint="eastAsia"/>
                <w:color w:val="auto"/>
                <w:kern w:val="0"/>
                <w:sz w:val="24"/>
                <w:lang w:eastAsia="zh-CN"/>
              </w:rPr>
              <w:t>无</w:t>
            </w:r>
          </w:p>
        </w:tc>
      </w:tr>
      <w:tr w14:paraId="3AD330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120" w:type="dxa"/>
            <w:vAlign w:val="center"/>
          </w:tcPr>
          <w:p w14:paraId="40AADF79">
            <w:pPr>
              <w:autoSpaceDE w:val="0"/>
              <w:autoSpaceDN w:val="0"/>
              <w:adjustRightInd w:val="0"/>
              <w:snapToGrid w:val="0"/>
              <w:jc w:val="center"/>
              <w:rPr>
                <w:color w:val="auto"/>
                <w:kern w:val="0"/>
                <w:sz w:val="24"/>
              </w:rPr>
            </w:pPr>
            <w:r>
              <w:rPr>
                <w:rFonts w:hint="eastAsia"/>
                <w:color w:val="auto"/>
                <w:kern w:val="0"/>
                <w:sz w:val="24"/>
              </w:rPr>
              <w:t>规划及规划环境影响评价符合性分析</w:t>
            </w:r>
          </w:p>
        </w:tc>
        <w:tc>
          <w:tcPr>
            <w:tcW w:w="7748" w:type="dxa"/>
            <w:gridSpan w:val="3"/>
            <w:vAlign w:val="center"/>
          </w:tcPr>
          <w:p w14:paraId="343BFEA7">
            <w:pPr>
              <w:pStyle w:val="4"/>
              <w:ind w:firstLine="12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1.1规划及规划环评符合性分析</w:t>
            </w:r>
          </w:p>
          <w:p w14:paraId="6717B977">
            <w:pPr>
              <w:pStyle w:val="9"/>
              <w:spacing w:line="360" w:lineRule="auto"/>
              <w:ind w:firstLine="482" w:firstLineChars="200"/>
              <w:jc w:val="left"/>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2"/>
                <w:sz w:val="24"/>
                <w:szCs w:val="24"/>
                <w:lang w:val="en-US" w:eastAsia="zh-CN" w:bidi="ar-SA"/>
              </w:rPr>
              <w:t>1.1.</w:t>
            </w:r>
            <w:r>
              <w:rPr>
                <w:rFonts w:hint="eastAsia" w:ascii="Times New Roman" w:hAnsi="Times New Roman" w:cs="Times New Roman"/>
                <w:b/>
                <w:bCs/>
                <w:color w:val="auto"/>
                <w:kern w:val="2"/>
                <w:sz w:val="24"/>
                <w:szCs w:val="24"/>
                <w:lang w:val="en-US" w:eastAsia="zh-CN" w:bidi="ar-SA"/>
              </w:rPr>
              <w:t>1</w:t>
            </w:r>
            <w:r>
              <w:rPr>
                <w:rFonts w:hint="default" w:ascii="Times New Roman" w:hAnsi="Times New Roman" w:eastAsia="宋体" w:cs="Times New Roman"/>
                <w:b/>
                <w:bCs/>
                <w:color w:val="auto"/>
                <w:kern w:val="2"/>
                <w:sz w:val="24"/>
                <w:szCs w:val="24"/>
                <w:lang w:val="en-US" w:eastAsia="zh-CN" w:bidi="ar-SA"/>
              </w:rPr>
              <w:t>与《福州市国土空间总体规划（2021</w:t>
            </w:r>
            <w:r>
              <w:rPr>
                <w:rFonts w:hint="eastAsia" w:ascii="Times New Roman" w:hAnsi="Times New Roman" w:cs="Times New Roman"/>
                <w:b/>
                <w:bCs/>
                <w:color w:val="auto"/>
                <w:kern w:val="2"/>
                <w:sz w:val="24"/>
                <w:szCs w:val="24"/>
                <w:lang w:val="en-US" w:eastAsia="zh-CN" w:bidi="ar-SA"/>
              </w:rPr>
              <w:t>—</w:t>
            </w:r>
            <w:r>
              <w:rPr>
                <w:rFonts w:hint="default" w:ascii="Times New Roman" w:hAnsi="Times New Roman" w:eastAsia="宋体" w:cs="Times New Roman"/>
                <w:b/>
                <w:bCs/>
                <w:color w:val="auto"/>
                <w:kern w:val="2"/>
                <w:sz w:val="24"/>
                <w:szCs w:val="24"/>
                <w:lang w:val="en-US" w:eastAsia="zh-CN" w:bidi="ar-SA"/>
              </w:rPr>
              <w:t>2035年）》符合性分析</w:t>
            </w:r>
          </w:p>
          <w:p w14:paraId="48C3428B">
            <w:pPr>
              <w:pStyle w:val="3"/>
              <w:keepNext/>
              <w:keepLines w:val="0"/>
              <w:pageBreakBefore w:val="0"/>
              <w:widowControl w:val="0"/>
              <w:kinsoku/>
              <w:wordWrap/>
              <w:overflowPunct w:val="0"/>
              <w:topLinePunct w:val="0"/>
              <w:autoSpaceDE/>
              <w:autoSpaceDN/>
              <w:bidi w:val="0"/>
              <w:adjustRightInd/>
              <w:snapToGrid w:val="0"/>
              <w:spacing w:before="0" w:after="0" w:line="360" w:lineRule="auto"/>
              <w:ind w:left="0" w:firstLine="480" w:firstLineChars="200"/>
              <w:textAlignment w:val="auto"/>
              <w:rPr>
                <w:rFonts w:hint="eastAsia"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根据规划内容，福州市国土空间开发保护总体格局为：中心城区空间结构，延续</w:t>
            </w:r>
            <w:r>
              <w:rPr>
                <w:rFonts w:hint="eastAsia" w:ascii="Times New Roman" w:hAnsi="Times New Roman" w:eastAsia="宋体" w:cs="Times New Roman"/>
                <w:b w:val="0"/>
                <w:bCs w:val="0"/>
                <w:color w:val="auto"/>
                <w:kern w:val="2"/>
                <w:sz w:val="24"/>
                <w:szCs w:val="24"/>
                <w:lang w:val="en-US" w:eastAsia="zh-CN" w:bidi="ar-SA"/>
              </w:rPr>
              <w:t>“</w:t>
            </w:r>
            <w:r>
              <w:rPr>
                <w:rFonts w:hint="default" w:ascii="Times New Roman" w:hAnsi="Times New Roman" w:eastAsia="宋体" w:cs="Times New Roman"/>
                <w:b w:val="0"/>
                <w:bCs w:val="0"/>
                <w:color w:val="auto"/>
                <w:kern w:val="2"/>
                <w:sz w:val="24"/>
                <w:szCs w:val="24"/>
                <w:lang w:val="en-US" w:eastAsia="zh-CN" w:bidi="ar-SA"/>
              </w:rPr>
              <w:t>东进南下、沿江向海</w:t>
            </w:r>
            <w:r>
              <w:rPr>
                <w:rFonts w:hint="eastAsia" w:ascii="Times New Roman" w:hAnsi="Times New Roman" w:eastAsia="宋体" w:cs="Times New Roman"/>
                <w:b w:val="0"/>
                <w:bCs w:val="0"/>
                <w:color w:val="auto"/>
                <w:kern w:val="2"/>
                <w:sz w:val="24"/>
                <w:szCs w:val="24"/>
                <w:lang w:val="en-US" w:eastAsia="zh-CN" w:bidi="ar-SA"/>
              </w:rPr>
              <w:t>”</w:t>
            </w:r>
            <w:r>
              <w:rPr>
                <w:rFonts w:hint="default" w:ascii="Times New Roman" w:hAnsi="Times New Roman" w:eastAsia="宋体" w:cs="Times New Roman"/>
                <w:b w:val="0"/>
                <w:bCs w:val="0"/>
                <w:color w:val="auto"/>
                <w:kern w:val="2"/>
                <w:sz w:val="24"/>
                <w:szCs w:val="24"/>
                <w:lang w:val="en-US" w:eastAsia="zh-CN" w:bidi="ar-SA"/>
              </w:rPr>
              <w:t>，拉开城市发展框架，引导城市发展从</w:t>
            </w:r>
            <w:r>
              <w:rPr>
                <w:rFonts w:hint="eastAsia" w:ascii="Times New Roman" w:hAnsi="Times New Roman" w:eastAsia="宋体" w:cs="Times New Roman"/>
                <w:b w:val="0"/>
                <w:bCs w:val="0"/>
                <w:color w:val="auto"/>
                <w:kern w:val="2"/>
                <w:sz w:val="24"/>
                <w:szCs w:val="24"/>
                <w:lang w:val="en-US" w:eastAsia="zh-CN" w:bidi="ar-SA"/>
              </w:rPr>
              <w:t>“</w:t>
            </w:r>
            <w:r>
              <w:rPr>
                <w:rFonts w:hint="default" w:ascii="Times New Roman" w:hAnsi="Times New Roman" w:eastAsia="宋体" w:cs="Times New Roman"/>
                <w:b w:val="0"/>
                <w:bCs w:val="0"/>
                <w:color w:val="auto"/>
                <w:kern w:val="2"/>
                <w:sz w:val="24"/>
                <w:szCs w:val="24"/>
                <w:lang w:val="en-US" w:eastAsia="zh-CN" w:bidi="ar-SA"/>
              </w:rPr>
              <w:t>单中心</w:t>
            </w:r>
            <w:r>
              <w:rPr>
                <w:rFonts w:hint="eastAsia" w:ascii="Times New Roman" w:hAnsi="Times New Roman" w:eastAsia="宋体" w:cs="Times New Roman"/>
                <w:b w:val="0"/>
                <w:bCs w:val="0"/>
                <w:color w:val="auto"/>
                <w:kern w:val="2"/>
                <w:sz w:val="24"/>
                <w:szCs w:val="24"/>
                <w:lang w:val="en-US" w:eastAsia="zh-CN" w:bidi="ar-SA"/>
              </w:rPr>
              <w:t>”</w:t>
            </w:r>
            <w:r>
              <w:rPr>
                <w:rFonts w:hint="default" w:ascii="Times New Roman" w:hAnsi="Times New Roman" w:eastAsia="宋体" w:cs="Times New Roman"/>
                <w:b w:val="0"/>
                <w:bCs w:val="0"/>
                <w:color w:val="auto"/>
                <w:kern w:val="2"/>
                <w:sz w:val="24"/>
                <w:szCs w:val="24"/>
                <w:lang w:val="en-US" w:eastAsia="zh-CN" w:bidi="ar-SA"/>
              </w:rPr>
              <w:t>向</w:t>
            </w:r>
            <w:r>
              <w:rPr>
                <w:rFonts w:hint="eastAsia" w:ascii="Times New Roman" w:hAnsi="Times New Roman" w:eastAsia="宋体" w:cs="Times New Roman"/>
                <w:b w:val="0"/>
                <w:bCs w:val="0"/>
                <w:color w:val="auto"/>
                <w:kern w:val="2"/>
                <w:sz w:val="24"/>
                <w:szCs w:val="24"/>
                <w:lang w:val="en-US" w:eastAsia="zh-CN" w:bidi="ar-SA"/>
              </w:rPr>
              <w:t>“</w:t>
            </w:r>
            <w:r>
              <w:rPr>
                <w:rFonts w:hint="default" w:ascii="Times New Roman" w:hAnsi="Times New Roman" w:eastAsia="宋体" w:cs="Times New Roman"/>
                <w:b w:val="0"/>
                <w:bCs w:val="0"/>
                <w:color w:val="auto"/>
                <w:kern w:val="2"/>
                <w:sz w:val="24"/>
                <w:szCs w:val="24"/>
                <w:lang w:val="en-US" w:eastAsia="zh-CN" w:bidi="ar-SA"/>
              </w:rPr>
              <w:t>多中心、组团式、网络化</w:t>
            </w:r>
            <w:r>
              <w:rPr>
                <w:rFonts w:hint="eastAsia" w:ascii="Times New Roman" w:hAnsi="Times New Roman" w:eastAsia="宋体" w:cs="Times New Roman"/>
                <w:b w:val="0"/>
                <w:bCs w:val="0"/>
                <w:color w:val="auto"/>
                <w:kern w:val="2"/>
                <w:sz w:val="24"/>
                <w:szCs w:val="24"/>
                <w:lang w:val="en-US" w:eastAsia="zh-CN" w:bidi="ar-SA"/>
              </w:rPr>
              <w:t>”</w:t>
            </w:r>
            <w:r>
              <w:rPr>
                <w:rFonts w:hint="default" w:ascii="Times New Roman" w:hAnsi="Times New Roman" w:eastAsia="宋体" w:cs="Times New Roman"/>
                <w:b w:val="0"/>
                <w:bCs w:val="0"/>
                <w:color w:val="auto"/>
                <w:kern w:val="2"/>
                <w:sz w:val="24"/>
                <w:szCs w:val="24"/>
                <w:lang w:val="en-US" w:eastAsia="zh-CN" w:bidi="ar-SA"/>
              </w:rPr>
              <w:t>转变，构建</w:t>
            </w:r>
            <w:r>
              <w:rPr>
                <w:rFonts w:hint="eastAsia" w:ascii="Times New Roman" w:hAnsi="Times New Roman" w:eastAsia="宋体" w:cs="Times New Roman"/>
                <w:b w:val="0"/>
                <w:bCs w:val="0"/>
                <w:color w:val="auto"/>
                <w:kern w:val="2"/>
                <w:sz w:val="24"/>
                <w:szCs w:val="24"/>
                <w:lang w:val="en-US" w:eastAsia="zh-CN" w:bidi="ar-SA"/>
              </w:rPr>
              <w:t>“</w:t>
            </w:r>
            <w:r>
              <w:rPr>
                <w:rFonts w:hint="default" w:ascii="Times New Roman" w:hAnsi="Times New Roman" w:eastAsia="宋体" w:cs="Times New Roman"/>
                <w:b w:val="0"/>
                <w:bCs w:val="0"/>
                <w:color w:val="auto"/>
                <w:kern w:val="2"/>
                <w:sz w:val="24"/>
                <w:szCs w:val="24"/>
                <w:lang w:val="en-US" w:eastAsia="zh-CN" w:bidi="ar-SA"/>
              </w:rPr>
              <w:t>一环两带、两核两心七组团</w:t>
            </w:r>
            <w:r>
              <w:rPr>
                <w:rFonts w:hint="eastAsia" w:ascii="Times New Roman" w:hAnsi="Times New Roman" w:eastAsia="宋体" w:cs="Times New Roman"/>
                <w:b w:val="0"/>
                <w:bCs w:val="0"/>
                <w:color w:val="auto"/>
                <w:kern w:val="2"/>
                <w:sz w:val="24"/>
                <w:szCs w:val="24"/>
                <w:lang w:val="en-US" w:eastAsia="zh-CN" w:bidi="ar-SA"/>
              </w:rPr>
              <w:t>”</w:t>
            </w:r>
            <w:r>
              <w:rPr>
                <w:rFonts w:hint="default" w:ascii="Times New Roman" w:hAnsi="Times New Roman" w:eastAsia="宋体" w:cs="Times New Roman"/>
                <w:b w:val="0"/>
                <w:bCs w:val="0"/>
                <w:color w:val="auto"/>
                <w:kern w:val="2"/>
                <w:sz w:val="24"/>
                <w:szCs w:val="24"/>
                <w:lang w:val="en-US" w:eastAsia="zh-CN" w:bidi="ar-SA"/>
              </w:rPr>
              <w:t>的中心城区空间结构。打造产业创新和开放门户职能的滨海发展轴，推动港口物流、临港工业、城镇融合发展，成为区域联动和全域繁荣的重要增长空间。以</w:t>
            </w:r>
            <w:r>
              <w:rPr>
                <w:rFonts w:hint="eastAsia" w:ascii="Times New Roman" w:hAnsi="Times New Roman" w:eastAsia="宋体" w:cs="Times New Roman"/>
                <w:b w:val="0"/>
                <w:bCs w:val="0"/>
                <w:color w:val="auto"/>
                <w:kern w:val="2"/>
                <w:sz w:val="24"/>
                <w:szCs w:val="24"/>
                <w:lang w:val="en-US" w:eastAsia="zh-CN" w:bidi="ar-SA"/>
              </w:rPr>
              <w:t>“</w:t>
            </w:r>
            <w:r>
              <w:rPr>
                <w:rFonts w:hint="default" w:ascii="Times New Roman" w:hAnsi="Times New Roman" w:eastAsia="宋体" w:cs="Times New Roman"/>
                <w:b w:val="0"/>
                <w:bCs w:val="0"/>
                <w:color w:val="auto"/>
                <w:kern w:val="2"/>
                <w:sz w:val="24"/>
                <w:szCs w:val="24"/>
                <w:lang w:val="en-US" w:eastAsia="zh-CN" w:bidi="ar-SA"/>
              </w:rPr>
              <w:t>数字福州</w:t>
            </w:r>
            <w:r>
              <w:rPr>
                <w:rFonts w:hint="eastAsia" w:ascii="Times New Roman" w:hAnsi="Times New Roman" w:eastAsia="宋体" w:cs="Times New Roman"/>
                <w:b w:val="0"/>
                <w:bCs w:val="0"/>
                <w:color w:val="auto"/>
                <w:kern w:val="2"/>
                <w:sz w:val="24"/>
                <w:szCs w:val="24"/>
                <w:lang w:val="en-US" w:eastAsia="zh-CN" w:bidi="ar-SA"/>
              </w:rPr>
              <w:t>”“</w:t>
            </w:r>
            <w:r>
              <w:rPr>
                <w:rFonts w:hint="default" w:ascii="Times New Roman" w:hAnsi="Times New Roman" w:eastAsia="宋体" w:cs="Times New Roman"/>
                <w:b w:val="0"/>
                <w:bCs w:val="0"/>
                <w:color w:val="auto"/>
                <w:kern w:val="2"/>
                <w:sz w:val="24"/>
                <w:szCs w:val="24"/>
                <w:lang w:val="en-US" w:eastAsia="zh-CN" w:bidi="ar-SA"/>
              </w:rPr>
              <w:t>海上福州</w:t>
            </w:r>
            <w:r>
              <w:rPr>
                <w:rFonts w:hint="eastAsia" w:ascii="Times New Roman" w:hAnsi="Times New Roman" w:eastAsia="宋体" w:cs="Times New Roman"/>
                <w:b w:val="0"/>
                <w:bCs w:val="0"/>
                <w:color w:val="auto"/>
                <w:kern w:val="2"/>
                <w:sz w:val="24"/>
                <w:szCs w:val="24"/>
                <w:lang w:val="en-US" w:eastAsia="zh-CN" w:bidi="ar-SA"/>
              </w:rPr>
              <w:t>”</w:t>
            </w:r>
            <w:r>
              <w:rPr>
                <w:rFonts w:hint="default" w:ascii="Times New Roman" w:hAnsi="Times New Roman" w:eastAsia="宋体" w:cs="Times New Roman"/>
                <w:b w:val="0"/>
                <w:bCs w:val="0"/>
                <w:color w:val="auto"/>
                <w:kern w:val="2"/>
                <w:sz w:val="24"/>
                <w:szCs w:val="24"/>
                <w:lang w:val="en-US" w:eastAsia="zh-CN" w:bidi="ar-SA"/>
              </w:rPr>
              <w:t xml:space="preserve"> </w:t>
            </w:r>
            <w:r>
              <w:rPr>
                <w:rFonts w:hint="eastAsia" w:ascii="Times New Roman" w:hAnsi="Times New Roman" w:eastAsia="宋体" w:cs="Times New Roman"/>
                <w:b w:val="0"/>
                <w:bCs w:val="0"/>
                <w:color w:val="auto"/>
                <w:kern w:val="2"/>
                <w:sz w:val="24"/>
                <w:szCs w:val="24"/>
                <w:lang w:val="en-US" w:eastAsia="zh-CN" w:bidi="ar-SA"/>
              </w:rPr>
              <w:t>“</w:t>
            </w:r>
            <w:r>
              <w:rPr>
                <w:rFonts w:hint="default" w:ascii="Times New Roman" w:hAnsi="Times New Roman" w:eastAsia="宋体" w:cs="Times New Roman"/>
                <w:b w:val="0"/>
                <w:bCs w:val="0"/>
                <w:color w:val="auto"/>
                <w:kern w:val="2"/>
                <w:sz w:val="24"/>
                <w:szCs w:val="24"/>
                <w:lang w:val="en-US" w:eastAsia="zh-CN" w:bidi="ar-SA"/>
              </w:rPr>
              <w:t>平台福州</w:t>
            </w:r>
            <w:r>
              <w:rPr>
                <w:rFonts w:hint="eastAsia" w:ascii="Times New Roman" w:hAnsi="Times New Roman" w:eastAsia="宋体" w:cs="Times New Roman"/>
                <w:b w:val="0"/>
                <w:bCs w:val="0"/>
                <w:color w:val="auto"/>
                <w:kern w:val="2"/>
                <w:sz w:val="24"/>
                <w:szCs w:val="24"/>
                <w:lang w:val="en-US" w:eastAsia="zh-CN" w:bidi="ar-SA"/>
              </w:rPr>
              <w:t>”</w:t>
            </w:r>
            <w:r>
              <w:rPr>
                <w:rFonts w:hint="default" w:ascii="Times New Roman" w:hAnsi="Times New Roman" w:eastAsia="宋体" w:cs="Times New Roman"/>
                <w:b w:val="0"/>
                <w:bCs w:val="0"/>
                <w:color w:val="auto"/>
                <w:kern w:val="2"/>
                <w:sz w:val="24"/>
                <w:szCs w:val="24"/>
                <w:lang w:val="en-US" w:eastAsia="zh-CN" w:bidi="ar-SA"/>
              </w:rPr>
              <w:t>为重要方向，建设以战略性新兴产业为引领、先进制造业与现代服务业双轮驱动、具有国际竞争力的现代化产业体系</w:t>
            </w:r>
            <w:r>
              <w:rPr>
                <w:rFonts w:hint="eastAsia" w:ascii="Times New Roman" w:hAnsi="Times New Roman" w:eastAsia="宋体" w:cs="Times New Roman"/>
                <w:b w:val="0"/>
                <w:bCs w:val="0"/>
                <w:color w:val="auto"/>
                <w:kern w:val="2"/>
                <w:sz w:val="24"/>
                <w:szCs w:val="24"/>
                <w:lang w:val="en-US" w:eastAsia="zh-CN" w:bidi="ar-SA"/>
              </w:rPr>
              <w:t>。</w:t>
            </w:r>
          </w:p>
          <w:p w14:paraId="438F0A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b w:val="0"/>
                <w:bCs w:val="0"/>
                <w:color w:val="auto"/>
                <w:kern w:val="2"/>
                <w:sz w:val="24"/>
                <w:szCs w:val="24"/>
                <w:lang w:val="en-US" w:eastAsia="zh-CN" w:bidi="ar-SA"/>
              </w:rPr>
              <w:t>根据市域国土空间控制线规划图</w:t>
            </w:r>
            <w:r>
              <w:rPr>
                <w:rFonts w:hint="eastAsia" w:ascii="Times New Roman" w:hAnsi="Times New Roman" w:eastAsia="宋体" w:cs="Times New Roman"/>
                <w:b w:val="0"/>
                <w:bCs w:val="0"/>
                <w:color w:val="auto"/>
                <w:kern w:val="2"/>
                <w:sz w:val="24"/>
                <w:szCs w:val="24"/>
                <w:lang w:val="en-US" w:eastAsia="zh-CN" w:bidi="ar-SA"/>
              </w:rPr>
              <w:t>（</w:t>
            </w:r>
            <w:r>
              <w:rPr>
                <w:rFonts w:hint="eastAsia" w:ascii="Times New Roman" w:hAnsi="Times New Roman" w:eastAsia="宋体" w:cs="Times New Roman"/>
                <w:b/>
                <w:bCs/>
                <w:color w:val="auto"/>
                <w:kern w:val="2"/>
                <w:sz w:val="24"/>
                <w:szCs w:val="24"/>
                <w:lang w:val="en-US" w:eastAsia="zh-CN" w:bidi="ar-SA"/>
              </w:rPr>
              <w:t>见附图</w:t>
            </w:r>
            <w:r>
              <w:rPr>
                <w:rFonts w:hint="eastAsia" w:cs="Times New Roman"/>
                <w:b/>
                <w:bCs/>
                <w:color w:val="auto"/>
                <w:kern w:val="2"/>
                <w:sz w:val="24"/>
                <w:szCs w:val="24"/>
                <w:lang w:val="en-US" w:eastAsia="zh-CN" w:bidi="ar-SA"/>
              </w:rPr>
              <w:t>5</w:t>
            </w:r>
            <w:r>
              <w:rPr>
                <w:rFonts w:hint="eastAsia" w:ascii="Times New Roman" w:hAnsi="Times New Roman" w:eastAsia="宋体" w:cs="Times New Roman"/>
                <w:b w:val="0"/>
                <w:bCs w:val="0"/>
                <w:color w:val="auto"/>
                <w:kern w:val="2"/>
                <w:sz w:val="24"/>
                <w:szCs w:val="24"/>
                <w:lang w:val="en-US" w:eastAsia="zh-CN" w:bidi="ar-SA"/>
              </w:rPr>
              <w:t>）</w:t>
            </w:r>
            <w:r>
              <w:rPr>
                <w:rFonts w:hint="default" w:ascii="Times New Roman" w:hAnsi="Times New Roman" w:eastAsia="宋体" w:cs="Times New Roman"/>
                <w:b w:val="0"/>
                <w:bCs w:val="0"/>
                <w:color w:val="auto"/>
                <w:kern w:val="2"/>
                <w:sz w:val="24"/>
                <w:szCs w:val="24"/>
                <w:lang w:val="en-US" w:eastAsia="zh-CN" w:bidi="ar-SA"/>
              </w:rPr>
              <w:t>，本项目所在位置属于城镇开发边界，不属于陆域生态保护红线，不属于海洋生态保护红线，不属于基本农田，符合国土空间控制线的要求</w:t>
            </w:r>
            <w:r>
              <w:rPr>
                <w:rFonts w:hint="eastAsia" w:ascii="Times New Roman" w:hAnsi="Times New Roman" w:cs="Times New Roman"/>
                <w:color w:val="auto"/>
                <w:sz w:val="24"/>
                <w:szCs w:val="24"/>
                <w:lang w:val="en-US" w:eastAsia="zh-CN"/>
              </w:rPr>
              <w:t>。</w:t>
            </w:r>
          </w:p>
          <w:p w14:paraId="30734B8F">
            <w:pPr>
              <w:pStyle w:val="9"/>
              <w:spacing w:line="360" w:lineRule="auto"/>
              <w:ind w:firstLine="482" w:firstLineChars="200"/>
              <w:jc w:val="left"/>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2"/>
                <w:sz w:val="24"/>
                <w:szCs w:val="24"/>
                <w:lang w:val="en-US" w:eastAsia="zh-CN" w:bidi="ar-SA"/>
              </w:rPr>
              <w:t>1.1.</w:t>
            </w:r>
            <w:r>
              <w:rPr>
                <w:rFonts w:hint="eastAsia" w:ascii="Times New Roman" w:hAnsi="Times New Roman" w:cs="Times New Roman"/>
                <w:b/>
                <w:bCs/>
                <w:color w:val="auto"/>
                <w:kern w:val="2"/>
                <w:sz w:val="24"/>
                <w:szCs w:val="24"/>
                <w:lang w:val="en-US" w:eastAsia="zh-CN" w:bidi="ar-SA"/>
              </w:rPr>
              <w:t>2</w:t>
            </w:r>
            <w:r>
              <w:rPr>
                <w:rFonts w:hint="default" w:ascii="Times New Roman" w:hAnsi="Times New Roman" w:eastAsia="宋体" w:cs="Times New Roman"/>
                <w:b/>
                <w:bCs/>
                <w:color w:val="auto"/>
                <w:kern w:val="2"/>
                <w:sz w:val="24"/>
                <w:szCs w:val="24"/>
                <w:lang w:val="en-US" w:eastAsia="zh-CN" w:bidi="ar-SA"/>
              </w:rPr>
              <w:t>与《闽侯县国土空间总体规划（2021—2035年）》符合性分析</w:t>
            </w:r>
          </w:p>
          <w:p w14:paraId="3F47BA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根据《闽侯县国土空间总体规划（2021</w:t>
            </w:r>
            <w:r>
              <w:rPr>
                <w:rFonts w:hint="eastAsia" w:cs="Times New Roman"/>
                <w:b w:val="0"/>
                <w:bCs w:val="0"/>
                <w:color w:val="auto"/>
                <w:kern w:val="2"/>
                <w:sz w:val="24"/>
                <w:szCs w:val="24"/>
                <w:lang w:val="en-US" w:eastAsia="zh-CN" w:bidi="ar-SA"/>
              </w:rPr>
              <w:t>—</w:t>
            </w:r>
            <w:r>
              <w:rPr>
                <w:rFonts w:hint="default" w:ascii="Times New Roman" w:hAnsi="Times New Roman" w:eastAsia="宋体" w:cs="Times New Roman"/>
                <w:b w:val="0"/>
                <w:bCs w:val="0"/>
                <w:color w:val="auto"/>
                <w:kern w:val="2"/>
                <w:sz w:val="24"/>
                <w:szCs w:val="24"/>
                <w:lang w:val="en-US" w:eastAsia="zh-CN" w:bidi="ar-SA"/>
              </w:rPr>
              <w:t>2035年）》可知，闽侯县国土空间规划范围为：闽侯县行政辖区除高新区以外的范围，总面积1935平方公里（高新区范围包含南屿镇、上街镇的厚庭、建平、马排、新洲、马保等5个村）。将构建“中心城区——重点镇——一般镇”的城镇等级结构，引导人口集聚和公共设施合理布局。其中中心城区：包含甘蔗、竹岐、荆溪、上街、南通、青口、祥谦、尚干等8个乡镇范围；重点镇：白沙镇、鸿尾乡、大湖乡、洋里乡；一般镇：廷坪乡、小箬乡。</w:t>
            </w:r>
          </w:p>
          <w:p w14:paraId="64EB83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根据《闽侯县国土空间总体规划（2021</w:t>
            </w:r>
            <w:r>
              <w:rPr>
                <w:rFonts w:hint="eastAsia" w:cs="Times New Roman"/>
                <w:b w:val="0"/>
                <w:bCs w:val="0"/>
                <w:color w:val="auto"/>
                <w:kern w:val="2"/>
                <w:sz w:val="24"/>
                <w:szCs w:val="24"/>
                <w:lang w:val="en-US" w:eastAsia="zh-CN" w:bidi="ar-SA"/>
              </w:rPr>
              <w:t>—</w:t>
            </w:r>
            <w:r>
              <w:rPr>
                <w:rFonts w:hint="default" w:ascii="Times New Roman" w:hAnsi="Times New Roman" w:eastAsia="宋体" w:cs="Times New Roman"/>
                <w:b w:val="0"/>
                <w:bCs w:val="0"/>
                <w:color w:val="auto"/>
                <w:kern w:val="2"/>
                <w:sz w:val="24"/>
                <w:szCs w:val="24"/>
                <w:lang w:val="en-US" w:eastAsia="zh-CN" w:bidi="ar-SA"/>
              </w:rPr>
              <w:t>2035年）》内容：“5.1构建特色产业体系：全面融入福州现代化国际城市建设，着力发展壮大战略性新兴产业，优化升级传统优势产业，繁荣发展现代服务业，构建具有区域竞争力的现代化产业体系。发展壮大三大战略性新兴产业：创意创新与数字经济、生物与新医药产业、新材料产业；优化升级六大传统优势产业：汽车、机电、传统工艺制造、鞋帽服装纺织、建材、现代化农业；繁荣发展四大现代服务业商贸服务业、现代物流业、文旅产业、总部经济”。</w:t>
            </w:r>
          </w:p>
          <w:p w14:paraId="719B92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本项目位于福建省福州市闽侯县竹岐乡，主要从事</w:t>
            </w:r>
            <w:r>
              <w:rPr>
                <w:rFonts w:hint="eastAsia" w:ascii="Times New Roman" w:hAnsi="Times New Roman" w:eastAsia="宋体" w:cs="Times New Roman"/>
                <w:b w:val="0"/>
                <w:bCs w:val="0"/>
                <w:color w:val="auto"/>
                <w:kern w:val="2"/>
                <w:sz w:val="24"/>
                <w:szCs w:val="24"/>
                <w:lang w:val="en-US" w:eastAsia="zh-CN" w:bidi="ar-SA"/>
              </w:rPr>
              <w:t>柴油发电机组</w:t>
            </w:r>
            <w:r>
              <w:rPr>
                <w:rFonts w:hint="default" w:ascii="Times New Roman" w:hAnsi="Times New Roman" w:eastAsia="宋体" w:cs="Times New Roman"/>
                <w:b w:val="0"/>
                <w:bCs w:val="0"/>
                <w:color w:val="auto"/>
                <w:kern w:val="2"/>
                <w:sz w:val="24"/>
                <w:szCs w:val="24"/>
                <w:lang w:val="en-US" w:eastAsia="zh-CN" w:bidi="ar-SA"/>
              </w:rPr>
              <w:t>生产，属于传统</w:t>
            </w:r>
            <w:r>
              <w:rPr>
                <w:rFonts w:hint="eastAsia" w:ascii="Times New Roman" w:hAnsi="Times New Roman" w:eastAsia="宋体" w:cs="Times New Roman"/>
                <w:b w:val="0"/>
                <w:bCs w:val="0"/>
                <w:color w:val="auto"/>
                <w:kern w:val="2"/>
                <w:sz w:val="24"/>
                <w:szCs w:val="24"/>
                <w:lang w:val="en-US" w:eastAsia="zh-CN" w:bidi="ar-SA"/>
              </w:rPr>
              <w:t>优势</w:t>
            </w:r>
            <w:r>
              <w:rPr>
                <w:rFonts w:hint="default" w:ascii="Times New Roman" w:hAnsi="Times New Roman" w:eastAsia="宋体" w:cs="Times New Roman"/>
                <w:b w:val="0"/>
                <w:bCs w:val="0"/>
                <w:color w:val="auto"/>
                <w:kern w:val="2"/>
                <w:sz w:val="24"/>
                <w:szCs w:val="24"/>
                <w:lang w:val="en-US" w:eastAsia="zh-CN" w:bidi="ar-SA"/>
              </w:rPr>
              <w:t>产业，因此，项目符合《闽侯县国土空间总体规划</w:t>
            </w:r>
            <w:r>
              <w:rPr>
                <w:rFonts w:hint="eastAsia" w:cs="Times New Roman"/>
                <w:b w:val="0"/>
                <w:bCs w:val="0"/>
                <w:color w:val="auto"/>
                <w:kern w:val="2"/>
                <w:sz w:val="24"/>
                <w:szCs w:val="24"/>
                <w:lang w:val="en-US" w:eastAsia="zh-CN" w:bidi="ar-SA"/>
              </w:rPr>
              <w:t>（</w:t>
            </w:r>
            <w:r>
              <w:rPr>
                <w:rFonts w:hint="default" w:ascii="Times New Roman" w:hAnsi="Times New Roman" w:eastAsia="宋体" w:cs="Times New Roman"/>
                <w:b w:val="0"/>
                <w:bCs w:val="0"/>
                <w:color w:val="auto"/>
                <w:kern w:val="2"/>
                <w:sz w:val="24"/>
                <w:szCs w:val="24"/>
                <w:lang w:val="en-US" w:eastAsia="zh-CN" w:bidi="ar-SA"/>
              </w:rPr>
              <w:t>2021</w:t>
            </w:r>
            <w:r>
              <w:rPr>
                <w:rFonts w:hint="eastAsia" w:cs="Times New Roman"/>
                <w:b w:val="0"/>
                <w:bCs w:val="0"/>
                <w:color w:val="auto"/>
                <w:kern w:val="2"/>
                <w:sz w:val="24"/>
                <w:szCs w:val="24"/>
                <w:lang w:val="en-US" w:eastAsia="zh-CN" w:bidi="ar-SA"/>
              </w:rPr>
              <w:t>—</w:t>
            </w:r>
            <w:r>
              <w:rPr>
                <w:rFonts w:hint="default" w:ascii="Times New Roman" w:hAnsi="Times New Roman" w:eastAsia="宋体" w:cs="Times New Roman"/>
                <w:b w:val="0"/>
                <w:bCs w:val="0"/>
                <w:color w:val="auto"/>
                <w:kern w:val="2"/>
                <w:sz w:val="24"/>
                <w:szCs w:val="24"/>
                <w:lang w:val="en-US" w:eastAsia="zh-CN" w:bidi="ar-SA"/>
              </w:rPr>
              <w:t>2035年</w:t>
            </w:r>
            <w:r>
              <w:rPr>
                <w:rFonts w:hint="eastAsia" w:cs="Times New Roman"/>
                <w:b w:val="0"/>
                <w:bCs w:val="0"/>
                <w:color w:val="auto"/>
                <w:kern w:val="2"/>
                <w:sz w:val="24"/>
                <w:szCs w:val="24"/>
                <w:lang w:val="en-US" w:eastAsia="zh-CN" w:bidi="ar-SA"/>
              </w:rPr>
              <w:t>）</w:t>
            </w:r>
            <w:r>
              <w:rPr>
                <w:rFonts w:hint="default" w:ascii="Times New Roman" w:hAnsi="Times New Roman" w:eastAsia="宋体" w:cs="Times New Roman"/>
                <w:b w:val="0"/>
                <w:bCs w:val="0"/>
                <w:color w:val="auto"/>
                <w:kern w:val="2"/>
                <w:sz w:val="24"/>
                <w:szCs w:val="24"/>
                <w:lang w:val="en-US" w:eastAsia="zh-CN" w:bidi="ar-SA"/>
              </w:rPr>
              <w:t>》要求。</w:t>
            </w:r>
          </w:p>
          <w:p w14:paraId="301E5AAE">
            <w:pPr>
              <w:pStyle w:val="9"/>
              <w:spacing w:line="360" w:lineRule="auto"/>
              <w:ind w:firstLine="482" w:firstLineChars="200"/>
              <w:jc w:val="left"/>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2"/>
                <w:sz w:val="24"/>
                <w:szCs w:val="24"/>
                <w:lang w:val="en-US" w:eastAsia="zh-CN" w:bidi="ar-SA"/>
              </w:rPr>
              <w:t>1.1.</w:t>
            </w:r>
            <w:r>
              <w:rPr>
                <w:rFonts w:hint="eastAsia" w:ascii="Times New Roman" w:hAnsi="Times New Roman" w:cs="Times New Roman"/>
                <w:b/>
                <w:bCs/>
                <w:color w:val="auto"/>
                <w:kern w:val="2"/>
                <w:sz w:val="24"/>
                <w:szCs w:val="24"/>
                <w:lang w:val="en-US" w:eastAsia="zh-CN" w:bidi="ar-SA"/>
              </w:rPr>
              <w:t>3</w:t>
            </w:r>
            <w:r>
              <w:rPr>
                <w:rFonts w:hint="default" w:ascii="Times New Roman" w:hAnsi="Times New Roman" w:eastAsia="宋体" w:cs="Times New Roman"/>
                <w:b/>
                <w:bCs/>
                <w:color w:val="auto"/>
                <w:kern w:val="2"/>
                <w:sz w:val="24"/>
                <w:szCs w:val="24"/>
                <w:lang w:val="en-US" w:eastAsia="zh-CN" w:bidi="ar-SA"/>
              </w:rPr>
              <w:t>与《闽侯县竹岐片区控制性详细规划》符合性分析</w:t>
            </w:r>
          </w:p>
          <w:p w14:paraId="5AA58CD5">
            <w:pPr>
              <w:pStyle w:val="4"/>
              <w:keepNext/>
              <w:keepLines/>
              <w:numPr>
                <w:ilvl w:val="1"/>
                <w:numId w:val="0"/>
              </w:numPr>
              <w:tabs>
                <w:tab w:val="left" w:pos="0"/>
              </w:tabs>
              <w:adjustRightInd w:val="0"/>
              <w:snapToGrid w:val="0"/>
              <w:ind w:firstLine="480" w:firstLineChars="200"/>
              <w:rPr>
                <w:rStyle w:val="139"/>
                <w:rFonts w:hint="default" w:ascii="Times New Roman" w:hAnsi="Times New Roman"/>
                <w:b w:val="0"/>
                <w:color w:val="auto"/>
                <w:lang w:val="en-US" w:eastAsia="zh-CN"/>
              </w:rPr>
            </w:pPr>
            <w:r>
              <w:rPr>
                <w:rFonts w:ascii="Times New Roman" w:hAnsi="宋体"/>
                <w:b w:val="0"/>
                <w:color w:val="auto"/>
                <w:kern w:val="0"/>
                <w:sz w:val="24"/>
                <w:szCs w:val="24"/>
                <w:shd w:val="clear" w:color="auto" w:fill="FFFFFF"/>
                <w:lang w:val="en-US" w:eastAsia="zh-CN" w:bidi="ar"/>
              </w:rPr>
              <w:t>竹岐乡位于闽侯县中南部，闽江南岸，东与上街镇交界，西邻鸿尾乡，南与永泰县丹云、白云乡接壤，西北抵白沙镇唐举村，北与甘蔗街道、荆溪镇隔江相望。本次规划范围北起竹岐村，南至苏洋村，东至闽江，西抵福银高速西侧山体，规划范围总用地面积约</w:t>
            </w:r>
            <w:r>
              <w:rPr>
                <w:rFonts w:ascii="Times New Roman" w:hAnsi="Times New Roman"/>
                <w:b w:val="0"/>
                <w:color w:val="auto"/>
                <w:kern w:val="0"/>
                <w:sz w:val="24"/>
                <w:szCs w:val="24"/>
                <w:shd w:val="clear" w:color="auto" w:fill="FFFFFF"/>
                <w:lang w:val="en-US" w:eastAsia="zh-CN" w:bidi="ar"/>
              </w:rPr>
              <w:t>16.3</w:t>
            </w:r>
            <w:r>
              <w:rPr>
                <w:rFonts w:ascii="Times New Roman" w:hAnsi="宋体"/>
                <w:b w:val="0"/>
                <w:color w:val="auto"/>
                <w:kern w:val="0"/>
                <w:sz w:val="24"/>
                <w:szCs w:val="24"/>
                <w:shd w:val="clear" w:color="auto" w:fill="FFFFFF"/>
                <w:lang w:val="en-US" w:eastAsia="zh-CN" w:bidi="ar"/>
              </w:rPr>
              <w:t>平方公里。</w:t>
            </w:r>
          </w:p>
          <w:p w14:paraId="61DABBB6">
            <w:pPr>
              <w:pStyle w:val="4"/>
              <w:keepNext/>
              <w:keepLines/>
              <w:numPr>
                <w:ilvl w:val="1"/>
                <w:numId w:val="0"/>
              </w:numPr>
              <w:tabs>
                <w:tab w:val="left" w:pos="0"/>
              </w:tabs>
              <w:adjustRightInd w:val="0"/>
              <w:snapToGrid w:val="0"/>
              <w:ind w:firstLine="480" w:firstLineChars="200"/>
              <w:rPr>
                <w:rStyle w:val="139"/>
                <w:rFonts w:hint="default" w:ascii="Times New Roman" w:hAnsi="Times New Roman"/>
                <w:b w:val="0"/>
                <w:color w:val="auto"/>
                <w:lang w:val="en-US" w:eastAsia="zh-CN"/>
              </w:rPr>
            </w:pPr>
            <w:r>
              <w:rPr>
                <w:rFonts w:ascii="Times New Roman" w:hAnsi="宋体"/>
                <w:b w:val="0"/>
                <w:color w:val="auto"/>
                <w:kern w:val="0"/>
                <w:sz w:val="24"/>
                <w:szCs w:val="24"/>
                <w:shd w:val="clear" w:color="auto" w:fill="FFFFFF"/>
                <w:lang w:val="en-US" w:eastAsia="zh-CN" w:bidi="ar"/>
              </w:rPr>
              <w:t>规划形成一轴、三组团的总体结构。一轴贯彻竹岐中部的商业综合发展轴；分为东部生态住区、西部生态住区、南部工业片区。规划二类住宅用地相对集中布局，主要分竹岐中部、南部。公共管理与公共服务用地考虑公共建筑的造型及体量对城市景观的影响及建设启动需求，该类用地主要分布在榕中大道两侧。商业服务业用地主要集中于闽越水镇、榕中发展轴上，以商业商务设施为主，规划工业用地集中于</w:t>
            </w:r>
            <w:r>
              <w:rPr>
                <w:rFonts w:ascii="Times New Roman" w:hAnsi="Times New Roman"/>
                <w:b w:val="0"/>
                <w:color w:val="auto"/>
                <w:kern w:val="0"/>
                <w:sz w:val="24"/>
                <w:szCs w:val="24"/>
                <w:shd w:val="clear" w:color="auto" w:fill="FFFFFF"/>
                <w:lang w:val="en-US" w:eastAsia="zh-CN" w:bidi="ar"/>
              </w:rPr>
              <w:t>316</w:t>
            </w:r>
            <w:r>
              <w:rPr>
                <w:rFonts w:ascii="Times New Roman" w:hAnsi="宋体"/>
                <w:b w:val="0"/>
                <w:color w:val="auto"/>
                <w:kern w:val="0"/>
                <w:sz w:val="24"/>
                <w:szCs w:val="24"/>
                <w:shd w:val="clear" w:color="auto" w:fill="FFFFFF"/>
                <w:lang w:val="en-US" w:eastAsia="zh-CN" w:bidi="ar"/>
              </w:rPr>
              <w:t>国道以南。</w:t>
            </w:r>
          </w:p>
          <w:p w14:paraId="560A1C5B">
            <w:pPr>
              <w:pStyle w:val="138"/>
              <w:keepNext w:val="0"/>
              <w:keepLines w:val="0"/>
              <w:pageBreakBefore w:val="0"/>
              <w:widowControl/>
              <w:numPr>
                <w:ilvl w:val="0"/>
                <w:numId w:val="0"/>
              </w:numPr>
              <w:kinsoku/>
              <w:wordWrap/>
              <w:overflowPunct/>
              <w:topLinePunct w:val="0"/>
              <w:autoSpaceDE/>
              <w:autoSpaceDN/>
              <w:bidi w:val="0"/>
              <w:adjustRightInd w:val="0"/>
              <w:snapToGrid w:val="0"/>
              <w:ind w:firstLine="480" w:firstLineChars="200"/>
              <w:textAlignment w:val="auto"/>
              <w:rPr>
                <w:rFonts w:hint="default" w:ascii="Times New Roman" w:hAnsi="Times New Roman" w:eastAsia="宋体" w:cs="Times New Roman"/>
                <w:color w:val="auto"/>
                <w:kern w:val="0"/>
                <w:sz w:val="24"/>
                <w:szCs w:val="24"/>
              </w:rPr>
            </w:pPr>
            <w:r>
              <w:rPr>
                <w:rFonts w:hint="eastAsia"/>
                <w:color w:val="auto"/>
              </w:rPr>
              <w:t>本项目位于</w:t>
            </w:r>
            <w:r>
              <w:rPr>
                <w:rFonts w:hint="eastAsia"/>
                <w:color w:val="auto"/>
                <w:sz w:val="24"/>
              </w:rPr>
              <w:t>闽侯县竹岐乡</w:t>
            </w:r>
            <w:r>
              <w:rPr>
                <w:rFonts w:hint="eastAsia"/>
                <w:color w:val="auto"/>
              </w:rPr>
              <w:t>，</w:t>
            </w:r>
            <w:r>
              <w:rPr>
                <w:rFonts w:hint="eastAsia"/>
                <w:color w:val="auto"/>
                <w:lang w:eastAsia="zh-CN"/>
              </w:rPr>
              <w:t>属于东部组团，项目</w:t>
            </w:r>
            <w:r>
              <w:rPr>
                <w:rFonts w:hint="eastAsia"/>
                <w:color w:val="auto"/>
              </w:rPr>
              <w:t>所在地规划为工业用地</w:t>
            </w:r>
            <w:r>
              <w:rPr>
                <w:rFonts w:hint="eastAsia"/>
                <w:color w:val="auto"/>
                <w:lang w:eastAsia="zh-CN"/>
              </w:rPr>
              <w:t>（</w:t>
            </w:r>
            <w:r>
              <w:rPr>
                <w:rFonts w:hint="eastAsia"/>
                <w:b/>
                <w:bCs w:val="0"/>
                <w:color w:val="auto"/>
                <w:lang w:eastAsia="zh-CN"/>
              </w:rPr>
              <w:t>见附图</w:t>
            </w:r>
            <w:r>
              <w:rPr>
                <w:rFonts w:hint="eastAsia"/>
                <w:b/>
                <w:bCs w:val="0"/>
                <w:color w:val="auto"/>
                <w:lang w:val="en-US" w:eastAsia="zh-CN"/>
              </w:rPr>
              <w:t>7</w:t>
            </w:r>
            <w:r>
              <w:rPr>
                <w:rFonts w:hint="eastAsia"/>
                <w:color w:val="auto"/>
                <w:lang w:eastAsia="zh-CN"/>
              </w:rPr>
              <w:t>）</w:t>
            </w:r>
            <w:r>
              <w:rPr>
                <w:rFonts w:hint="eastAsia"/>
                <w:color w:val="auto"/>
              </w:rPr>
              <w:t>，</w:t>
            </w:r>
            <w:r>
              <w:rPr>
                <w:rFonts w:hint="default" w:ascii="Times New Roman" w:hAnsi="Times New Roman" w:eastAsia="宋体" w:cs="Times New Roman"/>
                <w:color w:val="auto"/>
                <w:sz w:val="24"/>
                <w:szCs w:val="24"/>
                <w:highlight w:val="none"/>
              </w:rPr>
              <w:t>根据</w:t>
            </w:r>
            <w:r>
              <w:rPr>
                <w:rFonts w:hint="eastAsia"/>
                <w:color w:val="auto"/>
                <w:sz w:val="24"/>
                <w:shd w:val="clear" w:color="auto" w:fill="FFFFFF"/>
              </w:rPr>
              <w:t>泰德能源科技</w:t>
            </w:r>
            <w:r>
              <w:rPr>
                <w:rFonts w:hint="eastAsia"/>
                <w:color w:val="auto"/>
                <w:sz w:val="24"/>
                <w:shd w:val="clear" w:color="auto" w:fill="FFFFFF"/>
                <w:lang w:eastAsia="zh-CN"/>
              </w:rPr>
              <w:t>（</w:t>
            </w:r>
            <w:r>
              <w:rPr>
                <w:rFonts w:hint="eastAsia"/>
                <w:color w:val="auto"/>
                <w:sz w:val="24"/>
                <w:shd w:val="clear" w:color="auto" w:fill="FFFFFF"/>
              </w:rPr>
              <w:t>福建</w:t>
            </w:r>
            <w:r>
              <w:rPr>
                <w:rFonts w:hint="eastAsia"/>
                <w:color w:val="auto"/>
                <w:sz w:val="24"/>
                <w:shd w:val="clear" w:color="auto" w:fill="FFFFFF"/>
                <w:lang w:eastAsia="zh-CN"/>
              </w:rPr>
              <w:t>）</w:t>
            </w:r>
            <w:r>
              <w:rPr>
                <w:rFonts w:hint="eastAsia"/>
                <w:color w:val="auto"/>
                <w:sz w:val="24"/>
                <w:shd w:val="clear" w:color="auto" w:fill="FFFFFF"/>
              </w:rPr>
              <w:t>有限公司</w:t>
            </w:r>
            <w:r>
              <w:rPr>
                <w:rFonts w:hint="eastAsia" w:ascii="Times New Roman" w:hAnsi="Times New Roman" w:eastAsia="宋体" w:cs="Times New Roman"/>
                <w:color w:val="auto"/>
                <w:sz w:val="24"/>
                <w:szCs w:val="24"/>
                <w:highlight w:val="none"/>
                <w:lang w:eastAsia="zh-CN"/>
              </w:rPr>
              <w:t>不动产权证</w:t>
            </w:r>
            <w:r>
              <w:rPr>
                <w:rFonts w:hint="default" w:ascii="Times New Roman" w:hAnsi="Times New Roman" w:eastAsia="宋体" w:cs="Times New Roman"/>
                <w:color w:val="auto"/>
                <w:sz w:val="24"/>
                <w:szCs w:val="24"/>
                <w:highlight w:val="none"/>
              </w:rPr>
              <w:t>，项目用地性质为工业用地。</w:t>
            </w:r>
            <w:r>
              <w:rPr>
                <w:rFonts w:hint="eastAsia"/>
                <w:color w:val="auto"/>
              </w:rPr>
              <w:t>项目入驻符合《闽侯县竹岐片区控制性详细规划》</w:t>
            </w:r>
            <w:r>
              <w:rPr>
                <w:rFonts w:hint="eastAsia"/>
                <w:color w:val="auto"/>
                <w:lang w:eastAsia="zh-CN"/>
              </w:rPr>
              <w:t>中规划</w:t>
            </w:r>
            <w:r>
              <w:rPr>
                <w:rFonts w:hint="eastAsia"/>
                <w:color w:val="auto"/>
              </w:rPr>
              <w:t>要求</w:t>
            </w:r>
            <w:r>
              <w:rPr>
                <w:rFonts w:hint="eastAsia"/>
                <w:color w:val="auto"/>
                <w:lang w:eastAsia="zh-CN"/>
              </w:rPr>
              <w:t>。</w:t>
            </w:r>
            <w:r>
              <w:rPr>
                <w:rFonts w:hint="default" w:ascii="Times New Roman" w:hAnsi="Times New Roman" w:eastAsia="宋体" w:cs="Times New Roman"/>
                <w:color w:val="auto"/>
                <w:kern w:val="0"/>
                <w:sz w:val="24"/>
                <w:szCs w:val="24"/>
              </w:rPr>
              <w:t xml:space="preserve">                                                                                                                                                                                                                                                                                                                                                                                                                                                                                                                                                                                                                                                                                                                                                                                                                                                                                                                                                                                                                                                                                                                                                                                  </w:t>
            </w:r>
          </w:p>
        </w:tc>
      </w:tr>
      <w:tr w14:paraId="58B0FF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0" w:type="dxa"/>
            <w:vAlign w:val="center"/>
          </w:tcPr>
          <w:p w14:paraId="19EC2133">
            <w:pPr>
              <w:autoSpaceDE w:val="0"/>
              <w:autoSpaceDN w:val="0"/>
              <w:adjustRightInd w:val="0"/>
              <w:snapToGrid w:val="0"/>
              <w:spacing w:line="360" w:lineRule="auto"/>
              <w:jc w:val="center"/>
              <w:rPr>
                <w:color w:val="auto"/>
                <w:kern w:val="0"/>
                <w:sz w:val="24"/>
              </w:rPr>
            </w:pPr>
            <w:r>
              <w:rPr>
                <w:rFonts w:hint="eastAsia"/>
                <w:color w:val="auto"/>
                <w:kern w:val="0"/>
                <w:sz w:val="24"/>
              </w:rPr>
              <w:t>其他符合性分析</w:t>
            </w:r>
          </w:p>
        </w:tc>
        <w:tc>
          <w:tcPr>
            <w:tcW w:w="7748" w:type="dxa"/>
            <w:gridSpan w:val="3"/>
            <w:vAlign w:val="center"/>
          </w:tcPr>
          <w:p w14:paraId="6F4A060B">
            <w:pPr>
              <w:pStyle w:val="4"/>
              <w:ind w:firstLine="120"/>
              <w:rPr>
                <w:rFonts w:hint="default"/>
                <w:color w:val="auto"/>
              </w:rPr>
            </w:pPr>
            <w:r>
              <w:rPr>
                <w:rFonts w:hint="default"/>
                <w:color w:val="auto"/>
              </w:rPr>
              <w:t>1.</w:t>
            </w:r>
            <w:r>
              <w:rPr>
                <w:color w:val="auto"/>
              </w:rPr>
              <w:t>2</w:t>
            </w:r>
            <w:r>
              <w:rPr>
                <w:rFonts w:hint="default"/>
                <w:color w:val="auto"/>
              </w:rPr>
              <w:t>产业政策符合性分析</w:t>
            </w:r>
          </w:p>
          <w:p w14:paraId="03B2820D">
            <w:pPr>
              <w:widowControl/>
              <w:spacing w:line="360" w:lineRule="auto"/>
              <w:ind w:firstLine="480" w:firstLineChars="200"/>
              <w:rPr>
                <w:color w:val="auto"/>
                <w:kern w:val="0"/>
                <w:sz w:val="24"/>
                <w:lang w:bidi="ar"/>
              </w:rPr>
            </w:pPr>
            <w:r>
              <w:rPr>
                <w:color w:val="auto"/>
                <w:kern w:val="0"/>
                <w:sz w:val="24"/>
                <w:lang w:bidi="ar"/>
              </w:rPr>
              <w:t>本项目</w:t>
            </w:r>
            <w:r>
              <w:rPr>
                <w:rFonts w:hint="eastAsia"/>
                <w:color w:val="auto"/>
                <w:kern w:val="0"/>
                <w:sz w:val="24"/>
                <w:lang w:eastAsia="zh-CN" w:bidi="ar"/>
              </w:rPr>
              <w:t>不</w:t>
            </w:r>
            <w:r>
              <w:rPr>
                <w:color w:val="auto"/>
                <w:kern w:val="0"/>
                <w:sz w:val="24"/>
                <w:lang w:bidi="ar"/>
              </w:rPr>
              <w:t>属于《产业结构调整指导目录（20</w:t>
            </w:r>
            <w:r>
              <w:rPr>
                <w:rFonts w:hint="eastAsia"/>
                <w:color w:val="auto"/>
                <w:kern w:val="0"/>
                <w:sz w:val="24"/>
                <w:lang w:bidi="ar"/>
              </w:rPr>
              <w:t>24</w:t>
            </w:r>
            <w:r>
              <w:rPr>
                <w:color w:val="auto"/>
                <w:kern w:val="0"/>
                <w:sz w:val="24"/>
                <w:lang w:bidi="ar"/>
              </w:rPr>
              <w:t>年本）》</w:t>
            </w:r>
            <w:r>
              <w:rPr>
                <w:rFonts w:hint="eastAsia"/>
                <w:color w:val="auto"/>
                <w:kern w:val="0"/>
                <w:sz w:val="24"/>
                <w:lang w:eastAsia="zh-CN" w:bidi="ar"/>
              </w:rPr>
              <w:t>中“鼓励类”、“限制类”和“淘汰类”</w:t>
            </w:r>
            <w:r>
              <w:rPr>
                <w:rFonts w:hint="eastAsia"/>
                <w:color w:val="auto"/>
                <w:kern w:val="0"/>
                <w:sz w:val="24"/>
                <w:lang w:bidi="ar"/>
              </w:rPr>
              <w:t>的</w:t>
            </w:r>
            <w:r>
              <w:rPr>
                <w:rFonts w:hint="eastAsia"/>
                <w:color w:val="auto"/>
                <w:kern w:val="0"/>
                <w:sz w:val="24"/>
                <w:lang w:eastAsia="zh-CN" w:bidi="ar"/>
              </w:rPr>
              <w:t>项目</w:t>
            </w:r>
            <w:r>
              <w:rPr>
                <w:rFonts w:hint="eastAsia"/>
                <w:color w:val="auto"/>
                <w:kern w:val="0"/>
                <w:sz w:val="24"/>
                <w:lang w:bidi="ar"/>
              </w:rPr>
              <w:t>。根据《促进产业结构调整暂行规定》中第十三条“不属于鼓励类、限制类和淘汰类，且符合国家有关法律、法规和政策规定的，为允许类。”的规定，且项目于</w:t>
            </w:r>
            <w:r>
              <w:rPr>
                <w:rFonts w:hint="eastAsia"/>
                <w:color w:val="auto"/>
                <w:kern w:val="0"/>
                <w:sz w:val="24"/>
                <w:highlight w:val="none"/>
                <w:lang w:bidi="ar"/>
              </w:rPr>
              <w:t>202</w:t>
            </w:r>
            <w:r>
              <w:rPr>
                <w:rFonts w:hint="eastAsia"/>
                <w:color w:val="auto"/>
                <w:kern w:val="0"/>
                <w:sz w:val="24"/>
                <w:highlight w:val="none"/>
                <w:lang w:val="en-US" w:eastAsia="zh-CN" w:bidi="ar"/>
              </w:rPr>
              <w:t>6</w:t>
            </w:r>
            <w:r>
              <w:rPr>
                <w:rFonts w:hint="eastAsia"/>
                <w:color w:val="auto"/>
                <w:kern w:val="0"/>
                <w:sz w:val="24"/>
                <w:highlight w:val="none"/>
                <w:lang w:bidi="ar"/>
              </w:rPr>
              <w:t>年</w:t>
            </w:r>
            <w:r>
              <w:rPr>
                <w:rFonts w:hint="eastAsia"/>
                <w:color w:val="auto"/>
                <w:kern w:val="0"/>
                <w:sz w:val="24"/>
                <w:highlight w:val="none"/>
                <w:lang w:val="en-US" w:eastAsia="zh-CN" w:bidi="ar"/>
              </w:rPr>
              <w:t>7</w:t>
            </w:r>
            <w:r>
              <w:rPr>
                <w:rFonts w:hint="eastAsia"/>
                <w:color w:val="auto"/>
                <w:kern w:val="0"/>
                <w:sz w:val="24"/>
                <w:highlight w:val="none"/>
                <w:lang w:bidi="ar"/>
              </w:rPr>
              <w:t>月</w:t>
            </w:r>
            <w:r>
              <w:rPr>
                <w:rFonts w:hint="eastAsia"/>
                <w:color w:val="auto"/>
                <w:kern w:val="0"/>
                <w:sz w:val="24"/>
                <w:highlight w:val="none"/>
                <w:lang w:val="en-US" w:eastAsia="zh-CN" w:bidi="ar"/>
              </w:rPr>
              <w:t>14</w:t>
            </w:r>
            <w:r>
              <w:rPr>
                <w:rFonts w:hint="eastAsia"/>
                <w:color w:val="auto"/>
                <w:kern w:val="0"/>
                <w:sz w:val="24"/>
                <w:highlight w:val="none"/>
                <w:lang w:bidi="ar"/>
              </w:rPr>
              <w:t>日取</w:t>
            </w:r>
            <w:r>
              <w:rPr>
                <w:rFonts w:hint="eastAsia"/>
                <w:color w:val="auto"/>
                <w:kern w:val="0"/>
                <w:sz w:val="24"/>
                <w:lang w:bidi="ar"/>
              </w:rPr>
              <w:t>得</w:t>
            </w:r>
            <w:r>
              <w:rPr>
                <w:rFonts w:hint="eastAsia"/>
                <w:color w:val="auto"/>
                <w:kern w:val="0"/>
                <w:sz w:val="24"/>
                <w:lang w:eastAsia="zh-CN" w:bidi="ar"/>
              </w:rPr>
              <w:t>闽侯县发展和改革局备案证明（</w:t>
            </w:r>
            <w:r>
              <w:rPr>
                <w:rFonts w:hint="eastAsia"/>
                <w:color w:val="auto"/>
                <w:kern w:val="0"/>
                <w:sz w:val="24"/>
                <w:lang w:bidi="ar"/>
              </w:rPr>
              <w:t>编号</w:t>
            </w:r>
            <w:r>
              <w:rPr>
                <w:rFonts w:hint="eastAsia"/>
                <w:color w:val="auto"/>
                <w:kern w:val="0"/>
                <w:sz w:val="24"/>
                <w:lang w:eastAsia="zh-CN" w:bidi="ar"/>
              </w:rPr>
              <w:t>：闽发改外备〔2025〕A080010号</w:t>
            </w:r>
            <w:r>
              <w:rPr>
                <w:rFonts w:hint="eastAsia"/>
                <w:color w:val="auto"/>
                <w:kern w:val="0"/>
                <w:sz w:val="24"/>
                <w:lang w:bidi="ar"/>
              </w:rPr>
              <w:t>。对照《部分工业行业淘汰落后生产工艺装备和产品指导目录</w:t>
            </w:r>
            <w:r>
              <w:rPr>
                <w:rFonts w:hint="eastAsia"/>
                <w:color w:val="auto"/>
                <w:kern w:val="0"/>
                <w:sz w:val="24"/>
                <w:lang w:eastAsia="zh-CN" w:bidi="ar"/>
              </w:rPr>
              <w:t>（</w:t>
            </w:r>
            <w:r>
              <w:rPr>
                <w:rFonts w:hint="eastAsia"/>
                <w:color w:val="auto"/>
                <w:kern w:val="0"/>
                <w:sz w:val="24"/>
                <w:lang w:bidi="ar"/>
              </w:rPr>
              <w:t>2010年本</w:t>
            </w:r>
            <w:r>
              <w:rPr>
                <w:rFonts w:hint="eastAsia"/>
                <w:color w:val="auto"/>
                <w:kern w:val="0"/>
                <w:sz w:val="24"/>
                <w:lang w:eastAsia="zh-CN" w:bidi="ar"/>
              </w:rPr>
              <w:t>）</w:t>
            </w:r>
            <w:r>
              <w:rPr>
                <w:rFonts w:hint="eastAsia"/>
                <w:color w:val="auto"/>
                <w:kern w:val="0"/>
                <w:sz w:val="24"/>
                <w:lang w:bidi="ar"/>
              </w:rPr>
              <w:t>》和《高耗能落后机电设备</w:t>
            </w:r>
            <w:r>
              <w:rPr>
                <w:rFonts w:hint="eastAsia"/>
                <w:color w:val="auto"/>
                <w:kern w:val="0"/>
                <w:sz w:val="24"/>
                <w:lang w:eastAsia="zh-CN" w:bidi="ar"/>
              </w:rPr>
              <w:t>（</w:t>
            </w:r>
            <w:r>
              <w:rPr>
                <w:rFonts w:hint="eastAsia"/>
                <w:color w:val="auto"/>
                <w:kern w:val="0"/>
                <w:sz w:val="24"/>
                <w:lang w:bidi="ar"/>
              </w:rPr>
              <w:t>产品</w:t>
            </w:r>
            <w:r>
              <w:rPr>
                <w:rFonts w:hint="eastAsia"/>
                <w:color w:val="auto"/>
                <w:kern w:val="0"/>
                <w:sz w:val="24"/>
                <w:lang w:eastAsia="zh-CN" w:bidi="ar"/>
              </w:rPr>
              <w:t>）</w:t>
            </w:r>
            <w:r>
              <w:rPr>
                <w:rFonts w:hint="eastAsia"/>
                <w:color w:val="auto"/>
                <w:kern w:val="0"/>
                <w:sz w:val="24"/>
                <w:lang w:bidi="ar"/>
              </w:rPr>
              <w:t>淘汰目录</w:t>
            </w:r>
            <w:r>
              <w:rPr>
                <w:rFonts w:hint="eastAsia"/>
                <w:color w:val="auto"/>
                <w:kern w:val="0"/>
                <w:sz w:val="24"/>
                <w:lang w:eastAsia="zh-CN" w:bidi="ar"/>
              </w:rPr>
              <w:t>（</w:t>
            </w:r>
            <w:r>
              <w:rPr>
                <w:rFonts w:hint="eastAsia"/>
                <w:color w:val="auto"/>
                <w:kern w:val="0"/>
                <w:sz w:val="24"/>
                <w:lang w:bidi="ar"/>
              </w:rPr>
              <w:t>第一批</w:t>
            </w:r>
            <w:r>
              <w:rPr>
                <w:rFonts w:hint="eastAsia"/>
                <w:color w:val="auto"/>
                <w:kern w:val="0"/>
                <w:sz w:val="24"/>
                <w:lang w:eastAsia="zh-CN" w:bidi="ar"/>
              </w:rPr>
              <w:t>）～（</w:t>
            </w:r>
            <w:r>
              <w:rPr>
                <w:rFonts w:hint="eastAsia"/>
                <w:color w:val="auto"/>
                <w:kern w:val="0"/>
                <w:sz w:val="24"/>
                <w:lang w:bidi="ar"/>
              </w:rPr>
              <w:t>第四批</w:t>
            </w:r>
            <w:r>
              <w:rPr>
                <w:rFonts w:hint="eastAsia"/>
                <w:color w:val="auto"/>
                <w:kern w:val="0"/>
                <w:sz w:val="24"/>
                <w:lang w:eastAsia="zh-CN" w:bidi="ar"/>
              </w:rPr>
              <w:t>）</w:t>
            </w:r>
            <w:r>
              <w:rPr>
                <w:rFonts w:hint="eastAsia"/>
                <w:color w:val="auto"/>
                <w:kern w:val="0"/>
                <w:sz w:val="24"/>
                <w:lang w:bidi="ar"/>
              </w:rPr>
              <w:t>》，所选设备无国家明令淘汰落后的设备。因此，本项目的建设符合国家产业政策要求。</w:t>
            </w:r>
          </w:p>
          <w:p w14:paraId="0CC205E0">
            <w:pPr>
              <w:pStyle w:val="4"/>
              <w:ind w:firstLine="120"/>
              <w:rPr>
                <w:rFonts w:hint="default"/>
                <w:color w:val="auto"/>
              </w:rPr>
            </w:pPr>
            <w:r>
              <w:rPr>
                <w:rFonts w:hint="default"/>
                <w:color w:val="auto"/>
              </w:rPr>
              <w:t>1.</w:t>
            </w:r>
            <w:r>
              <w:rPr>
                <w:color w:val="auto"/>
              </w:rPr>
              <w:t>3</w:t>
            </w:r>
            <w:r>
              <w:rPr>
                <w:rFonts w:hint="eastAsia"/>
                <w:b/>
                <w:bCs/>
                <w:color w:val="auto"/>
                <w:sz w:val="24"/>
                <w:szCs w:val="24"/>
                <w:highlight w:val="none"/>
              </w:rPr>
              <w:t>与“《福州市生态环境分区管控方案（2023年更新）》</w:t>
            </w:r>
            <w:r>
              <w:rPr>
                <w:rFonts w:hint="eastAsia"/>
                <w:b/>
                <w:bCs/>
                <w:color w:val="auto"/>
                <w:sz w:val="24"/>
                <w:szCs w:val="24"/>
                <w:highlight w:val="none"/>
                <w:lang w:eastAsia="zh-CN"/>
              </w:rPr>
              <w:t>”</w:t>
            </w:r>
            <w:r>
              <w:rPr>
                <w:rFonts w:hint="eastAsia"/>
                <w:b/>
                <w:bCs/>
                <w:color w:val="auto"/>
                <w:sz w:val="24"/>
                <w:szCs w:val="24"/>
                <w:highlight w:val="none"/>
                <w:lang w:val="en-US" w:eastAsia="zh-CN"/>
              </w:rPr>
              <w:t>及“《关于发布福州市2024年生态环境分区管控动态更新成果的通知》”</w:t>
            </w:r>
            <w:r>
              <w:rPr>
                <w:rFonts w:hint="eastAsia"/>
                <w:b/>
                <w:bCs/>
                <w:color w:val="auto"/>
                <w:sz w:val="24"/>
                <w:szCs w:val="24"/>
                <w:highlight w:val="none"/>
              </w:rPr>
              <w:t>符合性分析</w:t>
            </w:r>
          </w:p>
          <w:p w14:paraId="50387476">
            <w:pPr>
              <w:keepNext w:val="0"/>
              <w:keepLines w:val="0"/>
              <w:pageBreakBefore w:val="0"/>
              <w:kinsoku/>
              <w:wordWrap/>
              <w:overflowPunct/>
              <w:topLinePunct w:val="0"/>
              <w:autoSpaceDE/>
              <w:autoSpaceDN/>
              <w:bidi w:val="0"/>
              <w:adjustRightInd/>
              <w:snapToGrid/>
              <w:spacing w:line="360" w:lineRule="auto"/>
              <w:ind w:firstLine="480" w:firstLineChars="0"/>
              <w:textAlignment w:val="auto"/>
              <w:rPr>
                <w:color w:val="auto"/>
                <w:kern w:val="0"/>
                <w:sz w:val="24"/>
              </w:rPr>
            </w:pPr>
            <w:r>
              <w:rPr>
                <w:rFonts w:hint="eastAsia"/>
                <w:color w:val="auto"/>
                <w:sz w:val="24"/>
                <w:szCs w:val="24"/>
                <w:highlight w:val="none"/>
                <w:lang w:val="en-US" w:eastAsia="zh-CN"/>
              </w:rPr>
              <w:t>根据</w:t>
            </w:r>
            <w:r>
              <w:rPr>
                <w:rFonts w:hint="eastAsia"/>
                <w:color w:val="auto"/>
                <w:sz w:val="24"/>
                <w:szCs w:val="24"/>
                <w:highlight w:val="none"/>
              </w:rPr>
              <w:t>《关于发布福州市2024年生态环境分区管控动态更新成果的通知》（榕环保综〔2025〕1号）相关要求</w:t>
            </w:r>
            <w:r>
              <w:rPr>
                <w:rFonts w:hint="eastAsia"/>
                <w:color w:val="auto"/>
                <w:sz w:val="24"/>
                <w:szCs w:val="24"/>
                <w:highlight w:val="none"/>
                <w:lang w:eastAsia="zh-CN"/>
              </w:rPr>
              <w:t>以及</w:t>
            </w:r>
            <w:r>
              <w:rPr>
                <w:rFonts w:hint="eastAsia"/>
                <w:color w:val="auto"/>
                <w:sz w:val="24"/>
                <w:szCs w:val="24"/>
                <w:highlight w:val="none"/>
              </w:rPr>
              <w:t>《福州市人民政府办公厅关于印发《福州市生态环境分区管控方案（2023年更新）》的通知</w:t>
            </w:r>
            <w:r>
              <w:rPr>
                <w:rFonts w:hint="eastAsia"/>
                <w:color w:val="auto"/>
                <w:sz w:val="24"/>
                <w:szCs w:val="24"/>
                <w:highlight w:val="none"/>
                <w:lang w:eastAsia="zh-CN"/>
              </w:rPr>
              <w:t>（</w:t>
            </w:r>
            <w:r>
              <w:rPr>
                <w:rFonts w:hint="eastAsia"/>
                <w:color w:val="auto"/>
                <w:sz w:val="24"/>
                <w:szCs w:val="24"/>
                <w:highlight w:val="none"/>
              </w:rPr>
              <w:t>榕政办规〔2024〕20号</w:t>
            </w:r>
            <w:r>
              <w:rPr>
                <w:rFonts w:hint="eastAsia"/>
                <w:color w:val="auto"/>
                <w:sz w:val="24"/>
                <w:szCs w:val="24"/>
                <w:highlight w:val="none"/>
                <w:lang w:eastAsia="zh-CN"/>
              </w:rPr>
              <w:t>），</w:t>
            </w:r>
            <w:r>
              <w:rPr>
                <w:rFonts w:hint="eastAsia" w:ascii="Times New Roman" w:hAnsi="Times New Roman" w:eastAsia="宋体" w:cs="Times New Roman"/>
                <w:color w:val="auto"/>
                <w:sz w:val="24"/>
                <w:szCs w:val="24"/>
                <w:highlight w:val="none"/>
              </w:rPr>
              <w:t>项目所在位置属于福建省福州市陆域区域，位于闽侯县重点管控单元3</w:t>
            </w:r>
            <w:r>
              <w:rPr>
                <w:rFonts w:hint="eastAsia" w:ascii="Times New Roman" w:hAnsi="Times New Roman"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rPr>
              <w:t>环境管控单元编码</w:t>
            </w:r>
            <w:r>
              <w:rPr>
                <w:rFonts w:hint="eastAsia"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rPr>
              <w:t>ZH35012120005</w:t>
            </w:r>
            <w:r>
              <w:rPr>
                <w:rFonts w:hint="eastAsia"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。符合性分析具体见</w:t>
            </w:r>
            <w:r>
              <w:rPr>
                <w:rFonts w:hint="eastAsia" w:ascii="Times New Roman" w:hAnsi="Times New Roman" w:eastAsia="宋体" w:cs="Times New Roman"/>
                <w:color w:val="auto"/>
                <w:sz w:val="24"/>
                <w:szCs w:val="24"/>
                <w:highlight w:val="none"/>
              </w:rPr>
              <w:t>下表1.</w:t>
            </w:r>
            <w:r>
              <w:rPr>
                <w:rFonts w:hint="eastAsia" w:ascii="Times New Roman" w:hAnsi="Times New Roman" w:cs="Times New Roman"/>
                <w:color w:val="auto"/>
                <w:sz w:val="24"/>
                <w:szCs w:val="24"/>
                <w:highlight w:val="none"/>
                <w:lang w:val="en-US" w:eastAsia="zh-CN"/>
              </w:rPr>
              <w:t>3</w:t>
            </w:r>
            <w:r>
              <w:rPr>
                <w:rFonts w:hint="eastAsia" w:ascii="Times New Roman" w:hAnsi="Times New Roman" w:eastAsia="宋体" w:cs="Times New Roman"/>
                <w:color w:val="auto"/>
                <w:sz w:val="24"/>
                <w:szCs w:val="24"/>
                <w:highlight w:val="none"/>
              </w:rPr>
              <w:t>-1</w:t>
            </w:r>
            <w:r>
              <w:rPr>
                <w:rFonts w:hint="eastAsia" w:ascii="Times New Roman" w:hAnsi="Times New Roman" w:cs="Times New Roman"/>
                <w:color w:val="auto"/>
                <w:sz w:val="24"/>
                <w:szCs w:val="24"/>
                <w:highlight w:val="none"/>
                <w:lang w:eastAsia="zh-CN"/>
              </w:rPr>
              <w:t>以及</w:t>
            </w:r>
            <w:r>
              <w:rPr>
                <w:rFonts w:hint="eastAsia" w:ascii="Times New Roman" w:hAnsi="Times New Roman" w:eastAsia="宋体" w:cs="Times New Roman"/>
                <w:color w:val="auto"/>
                <w:sz w:val="24"/>
                <w:szCs w:val="24"/>
                <w:highlight w:val="none"/>
              </w:rPr>
              <w:t>1.</w:t>
            </w:r>
            <w:r>
              <w:rPr>
                <w:rFonts w:hint="eastAsia" w:ascii="Times New Roman" w:hAnsi="Times New Roman" w:cs="Times New Roman"/>
                <w:color w:val="auto"/>
                <w:sz w:val="24"/>
                <w:szCs w:val="24"/>
                <w:highlight w:val="none"/>
                <w:lang w:val="en-US" w:eastAsia="zh-CN"/>
              </w:rPr>
              <w:t>3</w:t>
            </w:r>
            <w:r>
              <w:rPr>
                <w:rFonts w:hint="eastAsia" w:ascii="Times New Roman" w:hAnsi="Times New Roman" w:eastAsia="宋体" w:cs="Times New Roman"/>
                <w:color w:val="auto"/>
                <w:sz w:val="24"/>
                <w:szCs w:val="24"/>
                <w:highlight w:val="none"/>
              </w:rPr>
              <w:t>-2</w:t>
            </w:r>
            <w:r>
              <w:rPr>
                <w:color w:val="auto"/>
                <w:sz w:val="24"/>
              </w:rPr>
              <w:t>。</w:t>
            </w:r>
          </w:p>
        </w:tc>
      </w:tr>
    </w:tbl>
    <w:p w14:paraId="7D40CA8A">
      <w:pPr>
        <w:spacing w:line="360" w:lineRule="auto"/>
        <w:rPr>
          <w:rFonts w:eastAsia="黑体"/>
          <w:color w:val="auto"/>
          <w:sz w:val="30"/>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tbl>
      <w:tblPr>
        <w:tblStyle w:val="31"/>
        <w:tblW w:w="1337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78"/>
        <w:gridCol w:w="12492"/>
      </w:tblGrid>
      <w:tr w14:paraId="5BC395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75" w:hRule="atLeast"/>
          <w:jc w:val="center"/>
        </w:trPr>
        <w:tc>
          <w:tcPr>
            <w:tcW w:w="878" w:type="dxa"/>
            <w:vAlign w:val="center"/>
          </w:tcPr>
          <w:p w14:paraId="10EB9C02">
            <w:pPr>
              <w:autoSpaceDE w:val="0"/>
              <w:autoSpaceDN w:val="0"/>
              <w:adjustRightInd w:val="0"/>
              <w:snapToGrid w:val="0"/>
              <w:spacing w:line="360" w:lineRule="auto"/>
              <w:jc w:val="center"/>
              <w:rPr>
                <w:color w:val="auto"/>
                <w:kern w:val="0"/>
                <w:sz w:val="24"/>
              </w:rPr>
            </w:pPr>
            <w:r>
              <w:rPr>
                <w:rFonts w:hint="eastAsia"/>
                <w:color w:val="auto"/>
                <w:kern w:val="0"/>
                <w:sz w:val="24"/>
              </w:rPr>
              <w:t>其他符合性分析</w:t>
            </w:r>
          </w:p>
        </w:tc>
        <w:tc>
          <w:tcPr>
            <w:tcW w:w="12492" w:type="dxa"/>
            <w:vAlign w:val="center"/>
          </w:tcPr>
          <w:p w14:paraId="631C83F1">
            <w:pPr>
              <w:jc w:val="center"/>
              <w:rPr>
                <w:b/>
                <w:bCs/>
                <w:color w:val="auto"/>
                <w:sz w:val="24"/>
              </w:rPr>
            </w:pPr>
            <w:r>
              <w:rPr>
                <w:b/>
                <w:bCs/>
                <w:color w:val="auto"/>
                <w:sz w:val="24"/>
              </w:rPr>
              <w:t>表1</w:t>
            </w:r>
            <w:r>
              <w:rPr>
                <w:rFonts w:hint="eastAsia"/>
                <w:b/>
                <w:bCs/>
                <w:color w:val="auto"/>
                <w:sz w:val="24"/>
              </w:rPr>
              <w:t>.3</w:t>
            </w:r>
            <w:r>
              <w:rPr>
                <w:b/>
                <w:bCs/>
                <w:color w:val="auto"/>
                <w:sz w:val="24"/>
              </w:rPr>
              <w:t>-1</w:t>
            </w:r>
            <w:r>
              <w:rPr>
                <w:rFonts w:hint="eastAsia"/>
                <w:b/>
                <w:bCs/>
                <w:color w:val="auto"/>
                <w:sz w:val="24"/>
              </w:rPr>
              <w:t>与福州市全市总体准入要求符合性分析</w:t>
            </w:r>
          </w:p>
          <w:tbl>
            <w:tblPr>
              <w:tblStyle w:val="31"/>
              <w:tblW w:w="12395"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79" w:type="dxa"/>
                <w:bottom w:w="0" w:type="dxa"/>
                <w:right w:w="79" w:type="dxa"/>
              </w:tblCellMar>
            </w:tblPr>
            <w:tblGrid>
              <w:gridCol w:w="726"/>
              <w:gridCol w:w="669"/>
              <w:gridCol w:w="7472"/>
              <w:gridCol w:w="2653"/>
              <w:gridCol w:w="875"/>
            </w:tblGrid>
            <w:tr w14:paraId="3121A46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79" w:type="dxa"/>
                  <w:bottom w:w="0" w:type="dxa"/>
                  <w:right w:w="79" w:type="dxa"/>
                </w:tblCellMar>
              </w:tblPrEx>
              <w:trPr>
                <w:trHeight w:val="420" w:hRule="atLeast"/>
                <w:tblHeader/>
                <w:jc w:val="center"/>
              </w:trPr>
              <w:tc>
                <w:tcPr>
                  <w:tcW w:w="726" w:type="dxa"/>
                  <w:vAlign w:val="center"/>
                </w:tcPr>
                <w:p w14:paraId="5A19F0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适用范围</w:t>
                  </w:r>
                </w:p>
              </w:tc>
              <w:tc>
                <w:tcPr>
                  <w:tcW w:w="8141" w:type="dxa"/>
                  <w:gridSpan w:val="2"/>
                  <w:vAlign w:val="center"/>
                </w:tcPr>
                <w:p w14:paraId="7ECC0B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准入要求</w:t>
                  </w:r>
                </w:p>
              </w:tc>
              <w:tc>
                <w:tcPr>
                  <w:tcW w:w="2653" w:type="dxa"/>
                  <w:vAlign w:val="center"/>
                </w:tcPr>
                <w:p w14:paraId="6917B0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本项目情况</w:t>
                  </w:r>
                </w:p>
              </w:tc>
              <w:tc>
                <w:tcPr>
                  <w:tcW w:w="875" w:type="dxa"/>
                  <w:vAlign w:val="center"/>
                </w:tcPr>
                <w:p w14:paraId="58B46A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符合性</w:t>
                  </w:r>
                </w:p>
              </w:tc>
            </w:tr>
            <w:tr w14:paraId="182BA2F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79" w:type="dxa"/>
                  <w:bottom w:w="0" w:type="dxa"/>
                  <w:right w:w="79" w:type="dxa"/>
                </w:tblCellMar>
              </w:tblPrEx>
              <w:trPr>
                <w:trHeight w:val="420" w:hRule="atLeast"/>
                <w:jc w:val="center"/>
              </w:trPr>
              <w:tc>
                <w:tcPr>
                  <w:tcW w:w="726" w:type="dxa"/>
                  <w:vMerge w:val="restart"/>
                  <w:vAlign w:val="center"/>
                </w:tcPr>
                <w:p w14:paraId="001F03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福州市陆域</w:t>
                  </w:r>
                </w:p>
              </w:tc>
              <w:tc>
                <w:tcPr>
                  <w:tcW w:w="669" w:type="dxa"/>
                  <w:vMerge w:val="restart"/>
                  <w:vAlign w:val="center"/>
                </w:tcPr>
                <w:p w14:paraId="5B3F11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空间布局约束</w:t>
                  </w:r>
                </w:p>
              </w:tc>
              <w:tc>
                <w:tcPr>
                  <w:tcW w:w="7472" w:type="dxa"/>
                  <w:vAlign w:val="center"/>
                </w:tcPr>
                <w:p w14:paraId="50434C5E">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一、优先保护单元中的生态保护红线</w:t>
                  </w:r>
                </w:p>
                <w:p w14:paraId="7F13753A">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1.根据《关于在国土空间规划中统筹划定落实三条控制线的指导意见》《自然资源部 生态环境部 国家林业和草原局关于加强生态保护红线管理的通知（试行）》，加强生态保护红线管理，严守自然生态安全边界。生态保护红线内，自然保护地核心保护区原则上禁止人为活动，其它区域禁止开发性、生产性建设活动，在符合法律法规的前提下，仅允许以下对生态功能不造成破坏的有限人为活动。生态保护红线内自然保护区、风景名胜区、饮用水水源保护区等区域，依照法律法规执行。</w:t>
                  </w:r>
                </w:p>
                <w:p w14:paraId="35F48742">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（1）管护巡护、保护执法、科学研究、调查监测、测绘导航、防灾减灾救灾、军事国防、疫情防控等活动及相关的必要设施修筑。</w:t>
                  </w:r>
                </w:p>
                <w:p w14:paraId="1C7A7626">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2）原住居民和其他合法权益主体，允许在不扩大现有建设用地、用海用岛、耕地、水产养殖规模和放牧强度（符合草畜平衡管理规定）的前提下，开展种植、放牧、捕捞、养殖（不包括投礁型海洋牧场、围海养殖）等活动，修筑生产生活设施。</w:t>
                  </w:r>
                </w:p>
                <w:p w14:paraId="33806D10">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（3）经依法批准的考古调查发掘、古生物化石调查发掘、标本采集和文物保护活动。</w:t>
                  </w:r>
                </w:p>
                <w:p w14:paraId="19E30EDB">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（4）按规定对人工商品林进行抚育采伐，或以提升森林质量、优化栖息地、建设生物防火隔离带等为目的的树种更新，依法开展的竹林采伐经营。</w:t>
                  </w:r>
                </w:p>
                <w:p w14:paraId="243ADD4B">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（5）不破坏生态功能的适度参观旅游、科普宣教及符合相关规划的配套性服务设施和相关的必要公共设施建设及维护。</w:t>
                  </w:r>
                </w:p>
                <w:p w14:paraId="1D01C807">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（6）必须且无法避让、符合县级以上国土空间规划的线性基础设施、通讯和防洪、供水设施建设和船舶航行、航道疏浚清淤等活动；已有的合法水利、交通运输等设施运行维护改造。</w:t>
                  </w:r>
                </w:p>
                <w:p w14:paraId="033B6A45">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7）地质调查与矿产资源勘查开采。包括：基础地质调查和战略性矿产资源远景调查等公益性工作；铀矿勘查开采活动，可办理矿业权登记；已依法设立的油气探矿权继续勘查活动，可办理探矿权延续、变更（不含扩大勘查区块范围）、保留、注销，当发现可供开采油气资源并探明储量时，可将开采拟占用的地表或海域范围依照国家相关规定调出生态保护红线；已依法设立的油气采矿权不扩大用地用海范围，继续开采，可办理采矿权延续、变更（不含扩大矿区范围）、注销；已依法设立的矿泉水和地热采矿权，在不超出已经核定的生产规模、不新增生产设施的前提下继续开采，可办理采矿权延续、变更（不含扩大矿区范围）、注销；已依法设立和新立铬、铜、镍、锂、钴、锆、钾盐、（中）重稀土矿等战略性矿产探矿权开展勘查活动，可办理探矿权登记，因国家战略需要开展开采活动的，可办理采矿权登记。上述勘查开采活动，应落实减缓生态环境影响措施，严格执行绿色勘查、开采及矿山环境生态修复相关要求。</w:t>
                  </w:r>
                </w:p>
                <w:p w14:paraId="2B787BC1">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（8）依据县级以上国土空间规划和生态保护修复专项规划开展的生态修复。</w:t>
                  </w:r>
                </w:p>
                <w:p w14:paraId="61F44091">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（9）法律法规规定允许的其他人为活动。</w:t>
                  </w:r>
                </w:p>
                <w:p w14:paraId="37723883">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2.依据《福建省自然资源厅福建省生态环境厅福建省林业局关于进一步加强生态保护红线监管的通知（试行）》（闽自然资发〔2023〕56号），允许占用生态保护红线的重大项目范围：</w:t>
                  </w:r>
                </w:p>
                <w:p w14:paraId="57CA3B63">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（1）党中央、国务院发布文件或批准规划中明确具体名称的项目和国务院批准的项目。</w:t>
                  </w:r>
                </w:p>
                <w:p w14:paraId="167FE358">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（2）中央军委及其有关部门批准的军事国防项目。</w:t>
                  </w:r>
                </w:p>
                <w:p w14:paraId="70C552A7">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（3）国家级规划（指国务院及其有关部门正式颁布）明确的交通、水利项目。</w:t>
                  </w:r>
                </w:p>
                <w:p w14:paraId="6BBBEF0C">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（4）国家级规划明确的电网项目，国家级规划明确的且符合国家产业政策的能源矿产勘查开采、油气管线、水电、核电项目。</w:t>
                  </w:r>
                </w:p>
                <w:p w14:paraId="4641BA90">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（5）为贯彻落实党中央、国务院重大决策部署，国务院投资主管部门或国务院投资主管部门会同有关部门确认的交通、能源、水利等基础设施项目。</w:t>
                  </w:r>
                </w:p>
                <w:p w14:paraId="0F7B256F">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（6）按照国家重大项目用地保障工作机制要求，国家发展改革委会同有关部门确认的需中央加大建设用地保障力度，确实难以避让的国家重大项目。</w:t>
                  </w:r>
                </w:p>
              </w:tc>
              <w:tc>
                <w:tcPr>
                  <w:tcW w:w="2653" w:type="dxa"/>
                  <w:vAlign w:val="center"/>
                </w:tcPr>
                <w:p w14:paraId="697FD0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本项目位于福州市闽侯县</w:t>
                  </w:r>
                  <w:r>
                    <w:rPr>
                      <w:rFonts w:hint="eastAsia" w:cs="Times New Roman"/>
                      <w:color w:val="auto"/>
                      <w:sz w:val="21"/>
                      <w:szCs w:val="21"/>
                      <w:highlight w:val="none"/>
                      <w:lang w:eastAsia="zh-CN"/>
                    </w:rPr>
                    <w:t>竹岐乡</w:t>
                  </w:r>
                  <w:r>
                    <w:rPr>
                      <w:rFonts w:hint="eastAsia"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不涉及</w:t>
                  </w:r>
                  <w:r>
                    <w:rPr>
                      <w:rFonts w:hint="eastAsia" w:ascii="Times New Roman" w:hAnsi="Times New Roman" w:eastAsia="宋体" w:cs="Times New Roman"/>
                      <w:color w:val="auto"/>
                      <w:sz w:val="21"/>
                      <w:szCs w:val="21"/>
                      <w:highlight w:val="none"/>
                      <w:lang w:eastAsia="zh-CN"/>
                    </w:rPr>
                    <w:t>优先保护单元中的生态保护红线</w:t>
                  </w:r>
                </w:p>
              </w:tc>
              <w:tc>
                <w:tcPr>
                  <w:tcW w:w="875" w:type="dxa"/>
                  <w:vAlign w:val="center"/>
                </w:tcPr>
                <w:p w14:paraId="6D62B5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635EA63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79" w:type="dxa"/>
                  <w:bottom w:w="0" w:type="dxa"/>
                  <w:right w:w="79" w:type="dxa"/>
                </w:tblCellMar>
              </w:tblPrEx>
              <w:trPr>
                <w:trHeight w:val="420" w:hRule="atLeast"/>
                <w:jc w:val="center"/>
              </w:trPr>
              <w:tc>
                <w:tcPr>
                  <w:tcW w:w="726" w:type="dxa"/>
                  <w:vMerge w:val="continue"/>
                  <w:vAlign w:val="center"/>
                </w:tcPr>
                <w:p w14:paraId="406C02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669" w:type="dxa"/>
                  <w:vMerge w:val="continue"/>
                  <w:vAlign w:val="center"/>
                </w:tcPr>
                <w:p w14:paraId="6018A7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7472" w:type="dxa"/>
                  <w:vAlign w:val="center"/>
                </w:tcPr>
                <w:p w14:paraId="42847BDA">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二、优先保护单元中的一般生态空间</w:t>
                  </w:r>
                </w:p>
                <w:p w14:paraId="036C8950">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1.一般生态空间以保护和修复生态环境、提供生态产品和服务为首要任务，因地制宜地发展不影响主体功能定位的适宜产业。</w:t>
                  </w:r>
                </w:p>
                <w:p w14:paraId="31A36BF2">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2.一般生态空间内未纳入生态保护红线的饮用水水源保护区等各类法定保护地，其管控要求依照相关法律法规执行。</w:t>
                  </w:r>
                </w:p>
                <w:p w14:paraId="550B4E84">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3.一般生态空间内现有合法的水泥厂、矿山开发等生产性设施及生活垃圾处置等民生工程予以保留，应按照法律法规要求落实污染防治和生态保护措施，避免对生态功能造成破坏。</w:t>
                  </w:r>
                </w:p>
              </w:tc>
              <w:tc>
                <w:tcPr>
                  <w:tcW w:w="2653" w:type="dxa"/>
                  <w:vAlign w:val="center"/>
                </w:tcPr>
                <w:p w14:paraId="002776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本项目位于福州市闽侯县</w:t>
                  </w:r>
                  <w:r>
                    <w:rPr>
                      <w:rFonts w:hint="eastAsia" w:cs="Times New Roman"/>
                      <w:color w:val="auto"/>
                      <w:sz w:val="21"/>
                      <w:szCs w:val="21"/>
                      <w:highlight w:val="none"/>
                      <w:lang w:eastAsia="zh-CN"/>
                    </w:rPr>
                    <w:t>竹岐乡</w:t>
                  </w:r>
                  <w:r>
                    <w:rPr>
                      <w:rFonts w:hint="eastAsia"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不涉及</w:t>
                  </w:r>
                  <w:r>
                    <w:rPr>
                      <w:rFonts w:hint="eastAsia" w:ascii="Times New Roman" w:hAnsi="Times New Roman" w:eastAsia="宋体" w:cs="Times New Roman"/>
                      <w:color w:val="auto"/>
                      <w:sz w:val="21"/>
                      <w:szCs w:val="21"/>
                      <w:highlight w:val="none"/>
                      <w:lang w:eastAsia="zh-CN"/>
                    </w:rPr>
                    <w:t>优先保护单元中的一般生态空间</w:t>
                  </w:r>
                </w:p>
              </w:tc>
              <w:tc>
                <w:tcPr>
                  <w:tcW w:w="875" w:type="dxa"/>
                  <w:vAlign w:val="center"/>
                </w:tcPr>
                <w:p w14:paraId="39E4C9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4D4B0C7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79" w:type="dxa"/>
                  <w:bottom w:w="0" w:type="dxa"/>
                  <w:right w:w="79" w:type="dxa"/>
                </w:tblCellMar>
              </w:tblPrEx>
              <w:trPr>
                <w:trHeight w:val="420" w:hRule="atLeast"/>
                <w:jc w:val="center"/>
              </w:trPr>
              <w:tc>
                <w:tcPr>
                  <w:tcW w:w="726" w:type="dxa"/>
                  <w:vMerge w:val="continue"/>
                  <w:vAlign w:val="center"/>
                </w:tcPr>
                <w:p w14:paraId="0AE54A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669" w:type="dxa"/>
                  <w:vMerge w:val="continue"/>
                  <w:vAlign w:val="center"/>
                </w:tcPr>
                <w:p w14:paraId="7B18F4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7472" w:type="dxa"/>
                  <w:vAlign w:val="center"/>
                </w:tcPr>
                <w:p w14:paraId="68C7642E">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三、其它要求</w:t>
                  </w:r>
                </w:p>
                <w:p w14:paraId="4F90AAD9">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1.福州市石化中上游项目重点在福州江阴港城经济区、可门港经济区化工新材料产业园布局。</w:t>
                  </w:r>
                </w:p>
                <w:p w14:paraId="54FFD370">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2.禁止在闽江马尾罗星塔以上流域范围新、扩建制革项目，严控新（扩）建植物制浆、印染、合成革及人造革、电镀项目。</w:t>
                  </w:r>
                </w:p>
                <w:p w14:paraId="1389D353">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3.禁止在通风廊道和主导风向的上风向布局大气重污染企业，推进建成区大气重污染企业搬迁或升级改造、环境风险企业搬迁或关闭退出。</w:t>
                  </w:r>
                </w:p>
                <w:p w14:paraId="6FF20C97">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4.禁止新、改、扩建生产高VOCs含量有机溶剂型涂料、油墨和胶黏剂的项目。</w:t>
                  </w:r>
                </w:p>
                <w:p w14:paraId="1D8BDE8B">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5.持续加强闽清等地建陶产业的环境综合治理，充分衔接国土空间规划和生态环境分区管控，并对照产业政策、城市总体发展规划等要求，进一步明确发展定位，优化产业布局和规模。</w:t>
                  </w:r>
                </w:p>
                <w:p w14:paraId="6AC640C3">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6.新建、扩建的涉及重点重金属污染物</w:t>
                  </w:r>
                  <w:r>
                    <w:rPr>
                      <w:rFonts w:hint="default" w:ascii="Times New Roman" w:hAnsi="Times New Roman" w:eastAsia="宋体" w:cs="Times New Roman"/>
                      <w:color w:val="auto"/>
                      <w:sz w:val="21"/>
                      <w:szCs w:val="21"/>
                      <w:highlight w:val="none"/>
                      <w:vertAlign w:val="superscript"/>
                    </w:rPr>
                    <w:t>［1］</w:t>
                  </w:r>
                  <w:r>
                    <w:rPr>
                      <w:rFonts w:hint="default" w:ascii="Times New Roman" w:hAnsi="Times New Roman" w:eastAsia="宋体" w:cs="Times New Roman"/>
                      <w:color w:val="auto"/>
                      <w:sz w:val="21"/>
                      <w:szCs w:val="21"/>
                      <w:highlight w:val="none"/>
                    </w:rPr>
                    <w:t>的有色金属冶炼、电镀、制革、铅蓄电池制造企业应优先选择布设在依法合规设立并经规划环评、环境基础设施和环境风险防范措施齐全的产业园区。禁止低端落后产能向闽江中上游地区转移。禁止新建用汞的电石法（聚）氯乙烯生产工艺。加快推进专业电镀企业入园，到2025年底专业电镀企业入园率达到90%以上。</w:t>
                  </w:r>
                </w:p>
                <w:p w14:paraId="674AAE55">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7.禁止在流域上游新建、扩建重污染企业和项目。</w:t>
                  </w:r>
                </w:p>
                <w:p w14:paraId="3438E524">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8.重要敏感水体及富营养化湖库生态缓冲带除相关政府部门批准的科学研究活动外，禁止其它可能对保护区构成危害或不良影响的大规模生产、建设活动。</w:t>
                  </w:r>
                </w:p>
                <w:p w14:paraId="1E11EE40">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9.新、改、扩建煤电、钢铁、建材、石化、化工等“两高”项目，严格落实国家、省、市产业规划、产业政策、“三线一单”、规划环评，以及产能置换、煤炭消费减量替代、区域污染削减等相关要求。</w:t>
                  </w:r>
                </w:p>
                <w:p w14:paraId="04360A13">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10.单元内涉及永久基本农田的，应按照《福建省基本农田保护条例》（2010年修正本）、《国土资源部关于全面实行永久</w:t>
                  </w:r>
                  <w:r>
                    <w:rPr>
                      <w:rFonts w:hint="eastAsia" w:cs="Times New Roman"/>
                      <w:color w:val="auto"/>
                      <w:sz w:val="21"/>
                      <w:szCs w:val="21"/>
                      <w:highlight w:val="none"/>
                      <w:lang w:eastAsia="zh-CN"/>
                    </w:rPr>
                    <w:t>基本</w:t>
                  </w:r>
                  <w:r>
                    <w:rPr>
                      <w:rFonts w:hint="default" w:ascii="Times New Roman" w:hAnsi="Times New Roman" w:eastAsia="宋体" w:cs="Times New Roman"/>
                      <w:color w:val="auto"/>
                      <w:sz w:val="21"/>
                      <w:szCs w:val="21"/>
                      <w:highlight w:val="none"/>
                    </w:rPr>
                    <w:t>农田特殊保护的通知》（国土资规〔2018〕1号）、《中共中央国务院关于加强耕地保护和改进占补平衡的意见》（2017年1月9日）等相关文件要求进</w:t>
                  </w:r>
                  <w:r>
                    <w:rPr>
                      <w:rFonts w:hint="eastAsia" w:cs="Times New Roman"/>
                      <w:color w:val="auto"/>
                      <w:sz w:val="21"/>
                      <w:szCs w:val="21"/>
                      <w:highlight w:val="none"/>
                      <w:lang w:eastAsia="zh-CN"/>
                    </w:rPr>
                    <w:t>行严</w:t>
                  </w:r>
                  <w:r>
                    <w:rPr>
                      <w:rFonts w:hint="default" w:ascii="Times New Roman" w:hAnsi="Times New Roman" w:eastAsia="宋体" w:cs="Times New Roman"/>
                      <w:color w:val="auto"/>
                      <w:sz w:val="21"/>
                      <w:szCs w:val="21"/>
                      <w:highlight w:val="none"/>
                    </w:rPr>
                    <w:t>格管理，一般建设项目不得占用永久基本农田，重大建设项目选址确实难以避让永久基本农田的，必须依法依规办理。严禁通过擅自调整县乡国土空间规划，规避占用永久基本农田的审批。禁止随意砍伐防风固沙林和农田保护林。严格按照自然资源部、农业农村部、国家林业和草原局《关于严格耕地用途管制有关问题的通知》（自然资发〔2021〕166号）要求全面落实耕地用途管制。</w:t>
                  </w:r>
                </w:p>
              </w:tc>
              <w:tc>
                <w:tcPr>
                  <w:tcW w:w="2653" w:type="dxa"/>
                  <w:vAlign w:val="center"/>
                </w:tcPr>
                <w:p w14:paraId="62F4280D">
                  <w:pPr>
                    <w:pBdr>
                      <w:top w:val="none" w:color="auto" w:sz="0" w:space="1"/>
                      <w:left w:val="none" w:color="auto" w:sz="0" w:space="4"/>
                      <w:bottom w:val="none" w:color="auto" w:sz="0" w:space="1"/>
                      <w:right w:val="none" w:color="auto" w:sz="0" w:space="4"/>
                    </w:pBdr>
                    <w:adjustRightInd w:val="0"/>
                    <w:snapToGrid w:val="0"/>
                    <w:spacing w:line="340" w:lineRule="exact"/>
                    <w:jc w:val="center"/>
                    <w:rPr>
                      <w:color w:val="auto"/>
                      <w:szCs w:val="21"/>
                    </w:rPr>
                  </w:pPr>
                  <w:r>
                    <w:rPr>
                      <w:color w:val="auto"/>
                      <w:szCs w:val="21"/>
                    </w:rPr>
                    <w:t>1</w:t>
                  </w:r>
                  <w:r>
                    <w:rPr>
                      <w:rFonts w:hint="eastAsia"/>
                      <w:color w:val="auto"/>
                      <w:szCs w:val="21"/>
                    </w:rPr>
                    <w:t>.</w:t>
                  </w:r>
                  <w:r>
                    <w:rPr>
                      <w:color w:val="auto"/>
                      <w:szCs w:val="21"/>
                    </w:rPr>
                    <w:t>项目不属于石化企业；</w:t>
                  </w:r>
                </w:p>
                <w:p w14:paraId="5B87E552">
                  <w:pPr>
                    <w:pBdr>
                      <w:top w:val="none" w:color="auto" w:sz="0" w:space="1"/>
                      <w:left w:val="none" w:color="auto" w:sz="0" w:space="4"/>
                      <w:bottom w:val="none" w:color="auto" w:sz="0" w:space="1"/>
                      <w:right w:val="none" w:color="auto" w:sz="0" w:space="4"/>
                    </w:pBdr>
                    <w:spacing w:line="340" w:lineRule="exact"/>
                    <w:jc w:val="center"/>
                    <w:rPr>
                      <w:rFonts w:hint="eastAsia"/>
                      <w:color w:val="auto"/>
                      <w:szCs w:val="21"/>
                    </w:rPr>
                  </w:pPr>
                  <w:r>
                    <w:rPr>
                      <w:color w:val="auto"/>
                      <w:szCs w:val="21"/>
                    </w:rPr>
                    <w:t>2</w:t>
                  </w:r>
                  <w:r>
                    <w:rPr>
                      <w:rFonts w:hint="eastAsia"/>
                      <w:color w:val="auto"/>
                      <w:szCs w:val="21"/>
                    </w:rPr>
                    <w:t>.项目不属于制革、</w:t>
                  </w:r>
                  <w:r>
                    <w:rPr>
                      <w:color w:val="auto"/>
                      <w:szCs w:val="21"/>
                    </w:rPr>
                    <w:t>植物制浆、印染、合成革及人造革、电镀项目</w:t>
                  </w:r>
                  <w:r>
                    <w:rPr>
                      <w:rFonts w:hint="eastAsia"/>
                      <w:color w:val="auto"/>
                      <w:szCs w:val="21"/>
                    </w:rPr>
                    <w:t>；</w:t>
                  </w:r>
                </w:p>
                <w:p w14:paraId="34165F3B">
                  <w:pPr>
                    <w:pBdr>
                      <w:top w:val="none" w:color="auto" w:sz="0" w:space="1"/>
                      <w:left w:val="none" w:color="auto" w:sz="0" w:space="4"/>
                      <w:bottom w:val="none" w:color="auto" w:sz="0" w:space="1"/>
                      <w:right w:val="none" w:color="auto" w:sz="0" w:space="4"/>
                    </w:pBdr>
                    <w:spacing w:line="340" w:lineRule="exact"/>
                    <w:jc w:val="center"/>
                    <w:rPr>
                      <w:rFonts w:hint="eastAsia"/>
                      <w:color w:val="auto"/>
                      <w:szCs w:val="21"/>
                    </w:rPr>
                  </w:pPr>
                  <w:r>
                    <w:rPr>
                      <w:rFonts w:hint="eastAsia"/>
                      <w:color w:val="auto"/>
                      <w:szCs w:val="21"/>
                    </w:rPr>
                    <w:t>3.项目不属于大气重污染企业；</w:t>
                  </w:r>
                </w:p>
                <w:p w14:paraId="7AA4C976">
                  <w:pPr>
                    <w:pBdr>
                      <w:top w:val="none" w:color="auto" w:sz="0" w:space="1"/>
                      <w:left w:val="none" w:color="auto" w:sz="0" w:space="4"/>
                      <w:bottom w:val="none" w:color="auto" w:sz="0" w:space="1"/>
                      <w:right w:val="none" w:color="auto" w:sz="0" w:space="4"/>
                    </w:pBdr>
                    <w:spacing w:line="340" w:lineRule="exact"/>
                    <w:jc w:val="center"/>
                    <w:rPr>
                      <w:rFonts w:hint="eastAsia"/>
                      <w:color w:val="auto"/>
                      <w:szCs w:val="21"/>
                    </w:rPr>
                  </w:pPr>
                  <w:r>
                    <w:rPr>
                      <w:rFonts w:hint="eastAsia"/>
                      <w:color w:val="auto"/>
                      <w:szCs w:val="21"/>
                    </w:rPr>
                    <w:t>4.项目不属于生产</w:t>
                  </w:r>
                  <w:r>
                    <w:rPr>
                      <w:color w:val="auto"/>
                      <w:szCs w:val="21"/>
                    </w:rPr>
                    <w:t>高VOCs含量有机溶剂型涂料、油墨和胶黏剂的项目</w:t>
                  </w:r>
                  <w:r>
                    <w:rPr>
                      <w:rFonts w:hint="eastAsia"/>
                      <w:color w:val="auto"/>
                      <w:szCs w:val="21"/>
                    </w:rPr>
                    <w:t>；</w:t>
                  </w:r>
                </w:p>
                <w:p w14:paraId="4292B342">
                  <w:pPr>
                    <w:pBdr>
                      <w:top w:val="none" w:color="auto" w:sz="0" w:space="1"/>
                      <w:left w:val="none" w:color="auto" w:sz="0" w:space="4"/>
                      <w:bottom w:val="none" w:color="auto" w:sz="0" w:space="1"/>
                      <w:right w:val="none" w:color="auto" w:sz="0" w:space="4"/>
                    </w:pBdr>
                    <w:spacing w:line="340" w:lineRule="exact"/>
                    <w:jc w:val="center"/>
                    <w:rPr>
                      <w:rFonts w:hint="eastAsia"/>
                      <w:color w:val="auto"/>
                      <w:szCs w:val="21"/>
                    </w:rPr>
                  </w:pPr>
                  <w:r>
                    <w:rPr>
                      <w:rFonts w:hint="eastAsia"/>
                      <w:color w:val="auto"/>
                      <w:szCs w:val="21"/>
                    </w:rPr>
                    <w:t>5.项目不属于建陶产业；</w:t>
                  </w:r>
                </w:p>
                <w:p w14:paraId="20644FE8">
                  <w:pPr>
                    <w:pBdr>
                      <w:top w:val="none" w:color="auto" w:sz="0" w:space="1"/>
                      <w:left w:val="none" w:color="auto" w:sz="0" w:space="4"/>
                      <w:bottom w:val="none" w:color="auto" w:sz="0" w:space="1"/>
                      <w:right w:val="none" w:color="auto" w:sz="0" w:space="4"/>
                    </w:pBdr>
                    <w:spacing w:line="340" w:lineRule="exact"/>
                    <w:jc w:val="center"/>
                    <w:rPr>
                      <w:rFonts w:hint="eastAsia"/>
                      <w:color w:val="auto"/>
                      <w:szCs w:val="21"/>
                    </w:rPr>
                  </w:pPr>
                  <w:r>
                    <w:rPr>
                      <w:rFonts w:hint="eastAsia"/>
                      <w:color w:val="auto"/>
                      <w:szCs w:val="21"/>
                    </w:rPr>
                    <w:t>6.项目建设不涉及重点重金属污染物；</w:t>
                  </w:r>
                </w:p>
                <w:p w14:paraId="0CD62FC7">
                  <w:pPr>
                    <w:pBdr>
                      <w:top w:val="none" w:color="auto" w:sz="0" w:space="1"/>
                      <w:left w:val="none" w:color="auto" w:sz="0" w:space="4"/>
                      <w:bottom w:val="none" w:color="auto" w:sz="0" w:space="1"/>
                      <w:right w:val="none" w:color="auto" w:sz="0" w:space="4"/>
                    </w:pBdr>
                    <w:spacing w:line="340" w:lineRule="exact"/>
                    <w:jc w:val="center"/>
                    <w:rPr>
                      <w:rFonts w:hint="eastAsia"/>
                      <w:color w:val="auto"/>
                      <w:szCs w:val="21"/>
                    </w:rPr>
                  </w:pPr>
                  <w:r>
                    <w:rPr>
                      <w:rFonts w:hint="eastAsia"/>
                      <w:color w:val="auto"/>
                      <w:szCs w:val="21"/>
                    </w:rPr>
                    <w:t>7.项目不属于重污染企业；</w:t>
                  </w:r>
                </w:p>
                <w:p w14:paraId="65EDEA58">
                  <w:pPr>
                    <w:pBdr>
                      <w:top w:val="none" w:color="auto" w:sz="0" w:space="1"/>
                      <w:left w:val="none" w:color="auto" w:sz="0" w:space="4"/>
                      <w:bottom w:val="none" w:color="auto" w:sz="0" w:space="1"/>
                      <w:right w:val="none" w:color="auto" w:sz="0" w:space="4"/>
                    </w:pBdr>
                    <w:spacing w:line="340" w:lineRule="exact"/>
                    <w:jc w:val="center"/>
                    <w:rPr>
                      <w:rFonts w:hint="eastAsia"/>
                      <w:color w:val="auto"/>
                      <w:szCs w:val="21"/>
                    </w:rPr>
                  </w:pPr>
                  <w:r>
                    <w:rPr>
                      <w:rFonts w:hint="eastAsia"/>
                      <w:color w:val="auto"/>
                      <w:szCs w:val="21"/>
                    </w:rPr>
                    <w:t>8.项目用地不涉及重要敏感水体及富营养化湖库生态缓冲带；</w:t>
                  </w:r>
                </w:p>
                <w:p w14:paraId="7A98BAAE">
                  <w:pPr>
                    <w:pBdr>
                      <w:top w:val="none" w:color="auto" w:sz="0" w:space="1"/>
                      <w:left w:val="none" w:color="auto" w:sz="0" w:space="4"/>
                      <w:bottom w:val="none" w:color="auto" w:sz="0" w:space="1"/>
                      <w:right w:val="none" w:color="auto" w:sz="0" w:space="4"/>
                    </w:pBdr>
                    <w:spacing w:line="340" w:lineRule="exact"/>
                    <w:jc w:val="center"/>
                    <w:rPr>
                      <w:rFonts w:hint="eastAsia"/>
                      <w:color w:val="auto"/>
                      <w:szCs w:val="21"/>
                    </w:rPr>
                  </w:pPr>
                  <w:r>
                    <w:rPr>
                      <w:rFonts w:hint="eastAsia"/>
                      <w:color w:val="auto"/>
                      <w:szCs w:val="21"/>
                    </w:rPr>
                    <w:t>9.项目不属于</w:t>
                  </w:r>
                  <w:r>
                    <w:rPr>
                      <w:color w:val="auto"/>
                      <w:szCs w:val="21"/>
                    </w:rPr>
                    <w:t>煤电、钢铁、建材、石化、化工等“两高”项目</w:t>
                  </w:r>
                  <w:r>
                    <w:rPr>
                      <w:rFonts w:hint="eastAsia"/>
                      <w:color w:val="auto"/>
                      <w:szCs w:val="21"/>
                    </w:rPr>
                    <w:t>；</w:t>
                  </w:r>
                </w:p>
                <w:p w14:paraId="70B66E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color w:val="auto"/>
                      <w:szCs w:val="21"/>
                    </w:rPr>
                    <w:t>10.项目用地不涉及永久基本农田</w:t>
                  </w:r>
                  <w:r>
                    <w:rPr>
                      <w:color w:val="auto"/>
                      <w:szCs w:val="21"/>
                    </w:rPr>
                    <w:t>。</w:t>
                  </w:r>
                </w:p>
              </w:tc>
              <w:tc>
                <w:tcPr>
                  <w:tcW w:w="875" w:type="dxa"/>
                  <w:vAlign w:val="center"/>
                </w:tcPr>
                <w:p w14:paraId="17E54A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693B660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79" w:type="dxa"/>
                  <w:bottom w:w="0" w:type="dxa"/>
                  <w:right w:w="79" w:type="dxa"/>
                </w:tblCellMar>
              </w:tblPrEx>
              <w:trPr>
                <w:trHeight w:val="420" w:hRule="atLeast"/>
                <w:jc w:val="center"/>
              </w:trPr>
              <w:tc>
                <w:tcPr>
                  <w:tcW w:w="726" w:type="dxa"/>
                  <w:vMerge w:val="continue"/>
                  <w:vAlign w:val="center"/>
                </w:tcPr>
                <w:p w14:paraId="1AAF57F9">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auto"/>
                      <w:sz w:val="21"/>
                      <w:szCs w:val="21"/>
                      <w:highlight w:val="none"/>
                    </w:rPr>
                  </w:pPr>
                </w:p>
              </w:tc>
              <w:tc>
                <w:tcPr>
                  <w:tcW w:w="669" w:type="dxa"/>
                  <w:vAlign w:val="center"/>
                </w:tcPr>
                <w:p w14:paraId="5A6A96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污染物排放管控</w:t>
                  </w:r>
                </w:p>
              </w:tc>
              <w:tc>
                <w:tcPr>
                  <w:tcW w:w="7472" w:type="dxa"/>
                  <w:vAlign w:val="center"/>
                </w:tcPr>
                <w:p w14:paraId="2598A754">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工业类新（改、扩）建项目新增主要污染物（水污染物化学需氧量、氨氮和大气污染物二氧化硫、氮氧化物）排放总量指标应符合区域环境质量和总量控制要求，立足于通过“以新带老”、削减存量，努力实现区域、企业自身总量平衡。总量指标来源、审核和监督管理按照“榕环保综〔2017〕90号”等相关文件执行。</w:t>
                  </w:r>
                </w:p>
                <w:p w14:paraId="1C80BB25">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2.新、改、扩建涉VOCs排放项目污染物排放量应满足《福州市“十四五”空气质量持续改善计划》（榕环保综〔2023〕40号），应从源头加强控制，使用低（无）VOCs含量的原辅材料。</w:t>
                  </w:r>
                </w:p>
                <w:p w14:paraId="7F13D76D">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严格控制新建、改建、扩建钢铁、水泥、平板玻璃、有色金属冶炼、化工等工业项目。新改扩建钢铁、火电项目应执行超低排放限值，有色项目应当执行大气污染物特别排放限值。重点控制区新建化工、石化应当执行大气污染物特别排放限值。</w:t>
                  </w:r>
                </w:p>
                <w:p w14:paraId="0CEFF095">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4.氟化工、印染、电镀等行业企业实行水污染物特别排放限值。</w:t>
                  </w:r>
                </w:p>
                <w:p w14:paraId="0C6181D5">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5.新、改、扩建重点行业</w:t>
                  </w:r>
                  <w:r>
                    <w:rPr>
                      <w:rFonts w:hint="default" w:ascii="Times New Roman" w:hAnsi="Times New Roman" w:eastAsia="宋体" w:cs="Times New Roman"/>
                      <w:color w:val="auto"/>
                      <w:sz w:val="21"/>
                      <w:szCs w:val="21"/>
                      <w:highlight w:val="none"/>
                      <w:vertAlign w:val="superscript"/>
                    </w:rPr>
                    <w:t>［2］</w:t>
                  </w:r>
                  <w:r>
                    <w:rPr>
                      <w:rFonts w:hint="default" w:ascii="Times New Roman" w:hAnsi="Times New Roman" w:eastAsia="宋体" w:cs="Times New Roman"/>
                      <w:color w:val="auto"/>
                      <w:sz w:val="21"/>
                      <w:szCs w:val="21"/>
                      <w:highlight w:val="none"/>
                    </w:rPr>
                    <w:t>建设项目要遵循重点重金属污染物排放“等量替代”原则，总量来源原则上应是同一重点行业内的削减量，当同一重点行业无法满足时可从其他重点行业调剂。</w:t>
                  </w:r>
                </w:p>
                <w:p w14:paraId="055AC1E5">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6.每小时35（含）</w:t>
                  </w:r>
                  <w:r>
                    <w:rPr>
                      <w:rFonts w:hint="eastAsia"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65蒸吨燃煤锅炉和位于县级及以上城市建成区内保留的燃煤、燃油、燃生物质锅炉，原则上2024年底前必须全面实现超低排放。</w:t>
                  </w:r>
                </w:p>
                <w:p w14:paraId="5010509A">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7.水泥行业新</w:t>
                  </w:r>
                  <w:r>
                    <w:rPr>
                      <w:rFonts w:hint="eastAsia" w:ascii="Times New Roman" w:hAnsi="Times New Roman" w:eastAsia="宋体" w:cs="Times New Roman"/>
                      <w:color w:val="auto"/>
                      <w:sz w:val="21"/>
                      <w:szCs w:val="21"/>
                      <w:highlight w:val="none"/>
                      <w:lang w:eastAsia="zh-CN"/>
                    </w:rPr>
                    <w:t>项目</w:t>
                  </w:r>
                  <w:r>
                    <w:rPr>
                      <w:rFonts w:hint="default" w:ascii="Times New Roman" w:hAnsi="Times New Roman" w:eastAsia="宋体" w:cs="Times New Roman"/>
                      <w:color w:val="auto"/>
                      <w:sz w:val="21"/>
                      <w:szCs w:val="21"/>
                      <w:highlight w:val="none"/>
                    </w:rPr>
                    <w:t>严格对照超低排放、能效标杆水平建设实施；现有项目超低排放改造应按文件（闽环规〔2023〕2号）的时限要求分步推进，2025年底前全面完成</w:t>
                  </w:r>
                  <w:r>
                    <w:rPr>
                      <w:rFonts w:hint="default" w:ascii="Times New Roman" w:hAnsi="Times New Roman" w:eastAsia="宋体" w:cs="Times New Roman"/>
                      <w:color w:val="auto"/>
                      <w:sz w:val="21"/>
                      <w:szCs w:val="21"/>
                      <w:highlight w:val="none"/>
                      <w:vertAlign w:val="superscript"/>
                    </w:rPr>
                    <w:t>［3］［4］</w:t>
                  </w:r>
                  <w:r>
                    <w:rPr>
                      <w:rFonts w:hint="default" w:ascii="Times New Roman" w:hAnsi="Times New Roman" w:eastAsia="宋体" w:cs="Times New Roman"/>
                      <w:color w:val="auto"/>
                      <w:sz w:val="21"/>
                      <w:szCs w:val="21"/>
                      <w:highlight w:val="none"/>
                    </w:rPr>
                    <w:t>。</w:t>
                  </w:r>
                </w:p>
                <w:p w14:paraId="7EC322DE">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8.化工园区新建项目实施“禁限控”化学物质管控措施，项目在开展环境影响评价时应严格落实相关要求，严格涉新污染物建设项目源头防控和准入管理。以印染、皮革、农药、医药、涂料等行业为重点，推进有毒有害化学物质替代。严格落实废药品、废农药以及抗生素生产过程中产生的废母液、废反应基和废培养基等废物的收集利用处置要求。</w:t>
                  </w:r>
                </w:p>
              </w:tc>
              <w:tc>
                <w:tcPr>
                  <w:tcW w:w="2653" w:type="dxa"/>
                  <w:vAlign w:val="center"/>
                </w:tcPr>
                <w:p w14:paraId="3E66C9B8">
                  <w:pPr>
                    <w:pBdr>
                      <w:top w:val="none" w:color="auto" w:sz="0" w:space="1"/>
                      <w:left w:val="none" w:color="auto" w:sz="0" w:space="4"/>
                      <w:bottom w:val="none" w:color="auto" w:sz="0" w:space="1"/>
                      <w:right w:val="none" w:color="auto" w:sz="0" w:space="4"/>
                    </w:pBdr>
                    <w:spacing w:line="340" w:lineRule="exact"/>
                    <w:jc w:val="center"/>
                    <w:rPr>
                      <w:color w:val="auto"/>
                      <w:szCs w:val="21"/>
                    </w:rPr>
                  </w:pPr>
                  <w:r>
                    <w:rPr>
                      <w:color w:val="auto"/>
                      <w:szCs w:val="21"/>
                    </w:rPr>
                    <w:t>1</w:t>
                  </w:r>
                  <w:r>
                    <w:rPr>
                      <w:rFonts w:hint="eastAsia"/>
                      <w:color w:val="auto"/>
                      <w:szCs w:val="21"/>
                    </w:rPr>
                    <w:t>.</w:t>
                  </w:r>
                  <w:r>
                    <w:rPr>
                      <w:color w:val="auto"/>
                      <w:szCs w:val="21"/>
                    </w:rPr>
                    <w:t>项目</w:t>
                  </w:r>
                  <w:r>
                    <w:rPr>
                      <w:rFonts w:hint="eastAsia"/>
                      <w:color w:val="auto"/>
                      <w:szCs w:val="21"/>
                    </w:rPr>
                    <w:t>排放的二氧化硫、氮氧化物根据相关要求，执行倍量总量申购</w:t>
                  </w:r>
                  <w:r>
                    <w:rPr>
                      <w:color w:val="auto"/>
                      <w:szCs w:val="21"/>
                    </w:rPr>
                    <w:t>；</w:t>
                  </w:r>
                </w:p>
                <w:p w14:paraId="0E297D0A">
                  <w:pPr>
                    <w:pBdr>
                      <w:top w:val="none" w:color="auto" w:sz="0" w:space="1"/>
                      <w:left w:val="none" w:color="auto" w:sz="0" w:space="4"/>
                      <w:bottom w:val="none" w:color="auto" w:sz="0" w:space="1"/>
                      <w:right w:val="none" w:color="auto" w:sz="0" w:space="4"/>
                    </w:pBdr>
                    <w:spacing w:line="340" w:lineRule="exact"/>
                    <w:jc w:val="center"/>
                    <w:rPr>
                      <w:color w:val="auto"/>
                      <w:szCs w:val="21"/>
                      <w:highlight w:val="none"/>
                    </w:rPr>
                  </w:pPr>
                  <w:r>
                    <w:rPr>
                      <w:rFonts w:hint="eastAsia"/>
                      <w:color w:val="auto"/>
                      <w:szCs w:val="21"/>
                      <w:highlight w:val="none"/>
                    </w:rPr>
                    <w:t>2.</w:t>
                  </w:r>
                  <w:r>
                    <w:rPr>
                      <w:color w:val="auto"/>
                      <w:szCs w:val="21"/>
                      <w:highlight w:val="none"/>
                    </w:rPr>
                    <w:t>项目</w:t>
                  </w:r>
                  <w:r>
                    <w:rPr>
                      <w:rFonts w:hint="eastAsia"/>
                      <w:color w:val="auto"/>
                      <w:szCs w:val="21"/>
                      <w:highlight w:val="none"/>
                    </w:rPr>
                    <w:t>生产过程中</w:t>
                  </w:r>
                  <w:r>
                    <w:rPr>
                      <w:rFonts w:hint="eastAsia"/>
                      <w:color w:val="auto"/>
                      <w:szCs w:val="21"/>
                      <w:highlight w:val="none"/>
                      <w:lang w:eastAsia="zh-CN"/>
                    </w:rPr>
                    <w:t>不涉及使用</w:t>
                  </w:r>
                  <w:r>
                    <w:rPr>
                      <w:rFonts w:hint="eastAsia"/>
                      <w:color w:val="auto"/>
                      <w:szCs w:val="21"/>
                      <w:highlight w:val="none"/>
                    </w:rPr>
                    <w:t>VOCs含量涂料</w:t>
                  </w:r>
                  <w:r>
                    <w:rPr>
                      <w:color w:val="auto"/>
                      <w:szCs w:val="21"/>
                      <w:highlight w:val="none"/>
                    </w:rPr>
                    <w:t>；</w:t>
                  </w:r>
                </w:p>
                <w:p w14:paraId="7F1E990F">
                  <w:pPr>
                    <w:pBdr>
                      <w:top w:val="none" w:color="auto" w:sz="0" w:space="1"/>
                      <w:left w:val="none" w:color="auto" w:sz="0" w:space="4"/>
                      <w:bottom w:val="none" w:color="auto" w:sz="0" w:space="1"/>
                      <w:right w:val="none" w:color="auto" w:sz="0" w:space="4"/>
                    </w:pBdr>
                    <w:adjustRightInd w:val="0"/>
                    <w:snapToGrid w:val="0"/>
                    <w:spacing w:line="340" w:lineRule="exact"/>
                    <w:jc w:val="center"/>
                    <w:rPr>
                      <w:color w:val="auto"/>
                      <w:szCs w:val="21"/>
                    </w:rPr>
                  </w:pPr>
                  <w:r>
                    <w:rPr>
                      <w:color w:val="auto"/>
                      <w:szCs w:val="21"/>
                    </w:rPr>
                    <w:t>3</w:t>
                  </w:r>
                  <w:r>
                    <w:rPr>
                      <w:rFonts w:hint="eastAsia"/>
                      <w:color w:val="auto"/>
                      <w:szCs w:val="21"/>
                    </w:rPr>
                    <w:t>.项目不属于钢铁</w:t>
                  </w:r>
                  <w:r>
                    <w:rPr>
                      <w:color w:val="auto"/>
                      <w:szCs w:val="21"/>
                    </w:rPr>
                    <w:t>、水泥、平板玻璃、有色金属冶炼、化工等工业项目；</w:t>
                  </w:r>
                </w:p>
                <w:p w14:paraId="416D99D4">
                  <w:pPr>
                    <w:pBdr>
                      <w:top w:val="none" w:color="auto" w:sz="0" w:space="1"/>
                      <w:left w:val="none" w:color="auto" w:sz="0" w:space="4"/>
                      <w:bottom w:val="none" w:color="auto" w:sz="0" w:space="1"/>
                      <w:right w:val="none" w:color="auto" w:sz="0" w:space="4"/>
                    </w:pBdr>
                    <w:adjustRightInd w:val="0"/>
                    <w:snapToGrid w:val="0"/>
                    <w:spacing w:line="340" w:lineRule="exact"/>
                    <w:jc w:val="center"/>
                    <w:rPr>
                      <w:color w:val="auto"/>
                      <w:szCs w:val="21"/>
                    </w:rPr>
                  </w:pPr>
                  <w:r>
                    <w:rPr>
                      <w:rFonts w:hint="eastAsia"/>
                      <w:color w:val="auto"/>
                      <w:szCs w:val="21"/>
                    </w:rPr>
                    <w:t>4.项目不属于</w:t>
                  </w:r>
                  <w:r>
                    <w:rPr>
                      <w:color w:val="auto"/>
                      <w:szCs w:val="21"/>
                    </w:rPr>
                    <w:t>氟化工、印染、电镀等行业企业；</w:t>
                  </w:r>
                </w:p>
                <w:p w14:paraId="7B9181DA">
                  <w:pPr>
                    <w:pBdr>
                      <w:top w:val="none" w:color="auto" w:sz="0" w:space="1"/>
                      <w:left w:val="none" w:color="auto" w:sz="0" w:space="4"/>
                      <w:bottom w:val="none" w:color="auto" w:sz="0" w:space="1"/>
                      <w:right w:val="none" w:color="auto" w:sz="0" w:space="4"/>
                    </w:pBdr>
                    <w:adjustRightInd w:val="0"/>
                    <w:snapToGrid w:val="0"/>
                    <w:spacing w:line="340" w:lineRule="exact"/>
                    <w:jc w:val="center"/>
                    <w:rPr>
                      <w:rFonts w:hint="eastAsia"/>
                      <w:color w:val="auto"/>
                      <w:szCs w:val="21"/>
                    </w:rPr>
                  </w:pPr>
                  <w:r>
                    <w:rPr>
                      <w:rFonts w:hint="eastAsia"/>
                      <w:color w:val="auto"/>
                      <w:szCs w:val="21"/>
                    </w:rPr>
                    <w:t>5.</w:t>
                  </w:r>
                  <w:r>
                    <w:rPr>
                      <w:color w:val="auto"/>
                      <w:szCs w:val="21"/>
                    </w:rPr>
                    <w:t>项目</w:t>
                  </w:r>
                  <w:r>
                    <w:rPr>
                      <w:rFonts w:hint="eastAsia"/>
                      <w:color w:val="auto"/>
                      <w:szCs w:val="21"/>
                    </w:rPr>
                    <w:t>不涉及重金属污染物排放；</w:t>
                  </w:r>
                </w:p>
                <w:p w14:paraId="2D8B4E3D">
                  <w:pPr>
                    <w:pBdr>
                      <w:top w:val="none" w:color="auto" w:sz="0" w:space="1"/>
                      <w:left w:val="none" w:color="auto" w:sz="0" w:space="4"/>
                      <w:bottom w:val="none" w:color="auto" w:sz="0" w:space="1"/>
                      <w:right w:val="none" w:color="auto" w:sz="0" w:space="4"/>
                    </w:pBdr>
                    <w:adjustRightInd w:val="0"/>
                    <w:snapToGrid w:val="0"/>
                    <w:spacing w:line="340" w:lineRule="exact"/>
                    <w:jc w:val="center"/>
                    <w:rPr>
                      <w:rFonts w:hint="eastAsia"/>
                      <w:color w:val="auto"/>
                      <w:szCs w:val="21"/>
                    </w:rPr>
                  </w:pPr>
                  <w:r>
                    <w:rPr>
                      <w:rFonts w:hint="eastAsia"/>
                      <w:color w:val="auto"/>
                      <w:szCs w:val="21"/>
                    </w:rPr>
                    <w:t>6.项目不涉及燃煤、燃油、燃生物质锅炉；</w:t>
                  </w:r>
                </w:p>
                <w:p w14:paraId="02CC4037">
                  <w:pPr>
                    <w:pBdr>
                      <w:top w:val="none" w:color="auto" w:sz="0" w:space="1"/>
                      <w:left w:val="none" w:color="auto" w:sz="0" w:space="4"/>
                      <w:bottom w:val="none" w:color="auto" w:sz="0" w:space="1"/>
                      <w:right w:val="none" w:color="auto" w:sz="0" w:space="4"/>
                    </w:pBdr>
                    <w:adjustRightInd w:val="0"/>
                    <w:snapToGrid w:val="0"/>
                    <w:spacing w:line="340" w:lineRule="exact"/>
                    <w:jc w:val="center"/>
                    <w:rPr>
                      <w:rFonts w:hint="eastAsia"/>
                      <w:color w:val="auto"/>
                      <w:szCs w:val="21"/>
                    </w:rPr>
                  </w:pPr>
                  <w:r>
                    <w:rPr>
                      <w:rFonts w:hint="eastAsia"/>
                      <w:color w:val="auto"/>
                      <w:szCs w:val="21"/>
                    </w:rPr>
                    <w:t>7.项目不属于水泥行业；</w:t>
                  </w:r>
                </w:p>
                <w:p w14:paraId="7DD75AF0">
                  <w:pPr>
                    <w:pBdr>
                      <w:top w:val="none" w:color="auto" w:sz="0" w:space="1"/>
                      <w:left w:val="none" w:color="auto" w:sz="0" w:space="4"/>
                      <w:bottom w:val="none" w:color="auto" w:sz="0" w:space="1"/>
                      <w:right w:val="none" w:color="auto" w:sz="0" w:space="4"/>
                    </w:pBdr>
                    <w:adjustRightInd w:val="0"/>
                    <w:snapToGrid w:val="0"/>
                    <w:spacing w:line="340" w:lineRule="exact"/>
                    <w:jc w:val="center"/>
                    <w:rPr>
                      <w:color w:val="auto"/>
                      <w:szCs w:val="21"/>
                    </w:rPr>
                  </w:pPr>
                  <w:r>
                    <w:rPr>
                      <w:rFonts w:hint="eastAsia"/>
                      <w:color w:val="auto"/>
                      <w:szCs w:val="21"/>
                    </w:rPr>
                    <w:t>8.项目不属于化工行业，不位于化工园区内</w:t>
                  </w:r>
                  <w:r>
                    <w:rPr>
                      <w:color w:val="auto"/>
                      <w:szCs w:val="21"/>
                    </w:rPr>
                    <w:t>。</w:t>
                  </w:r>
                </w:p>
                <w:p w14:paraId="386EE9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875" w:type="dxa"/>
                  <w:vAlign w:val="center"/>
                </w:tcPr>
                <w:p w14:paraId="78D008D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233592F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79" w:type="dxa"/>
                  <w:bottom w:w="0" w:type="dxa"/>
                  <w:right w:w="79" w:type="dxa"/>
                </w:tblCellMar>
              </w:tblPrEx>
              <w:trPr>
                <w:trHeight w:val="420" w:hRule="atLeast"/>
                <w:jc w:val="center"/>
              </w:trPr>
              <w:tc>
                <w:tcPr>
                  <w:tcW w:w="726" w:type="dxa"/>
                  <w:vMerge w:val="continue"/>
                  <w:vAlign w:val="center"/>
                </w:tcPr>
                <w:p w14:paraId="1478DEF3">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auto"/>
                      <w:sz w:val="21"/>
                      <w:szCs w:val="21"/>
                      <w:highlight w:val="none"/>
                    </w:rPr>
                  </w:pPr>
                </w:p>
              </w:tc>
              <w:tc>
                <w:tcPr>
                  <w:tcW w:w="669" w:type="dxa"/>
                  <w:vAlign w:val="center"/>
                </w:tcPr>
                <w:p w14:paraId="4C11E6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资源开发效率要求</w:t>
                  </w:r>
                </w:p>
              </w:tc>
              <w:tc>
                <w:tcPr>
                  <w:tcW w:w="7472" w:type="dxa"/>
                  <w:vAlign w:val="center"/>
                </w:tcPr>
                <w:p w14:paraId="413773ED">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到2024年底，全市范围内每小时10蒸吨及以下燃煤锅炉全面淘汰；到2025年底，全市范围内每小时35蒸吨以下燃煤锅炉通过集中供热、清洁能源替代、深度治理等方式全面实现转型、升级、退出，县级及以上城市建成区在用锅炉（燃煤、燃油、燃生物质）全面改用电能等清洁能源或治理达到超低排放水平；禁止新建每小时35蒸吨以下燃煤锅炉，以及每小时10蒸吨及以下燃生物质和其他使用高污染燃料的锅炉。集中供热管网覆盖范围内禁止新建、扩建分散燃煤、燃油等供热锅炉。</w:t>
                  </w:r>
                </w:p>
                <w:p w14:paraId="229C8306">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2.按照“提气、转电、控煤”的发展思路，推动陶瓷行业进一步优化用能结构，实现能源消费清洁低碳化。</w:t>
                  </w:r>
                </w:p>
              </w:tc>
              <w:tc>
                <w:tcPr>
                  <w:tcW w:w="2653" w:type="dxa"/>
                  <w:vAlign w:val="center"/>
                </w:tcPr>
                <w:p w14:paraId="62B9CB97">
                  <w:pPr>
                    <w:pBdr>
                      <w:top w:val="none" w:color="auto" w:sz="0" w:space="1"/>
                      <w:left w:val="none" w:color="auto" w:sz="0" w:space="4"/>
                      <w:bottom w:val="none" w:color="auto" w:sz="0" w:space="1"/>
                      <w:right w:val="none" w:color="auto" w:sz="0" w:space="4"/>
                    </w:pBdr>
                    <w:spacing w:line="340" w:lineRule="exact"/>
                    <w:jc w:val="center"/>
                    <w:rPr>
                      <w:rFonts w:hint="eastAsia"/>
                      <w:color w:val="auto"/>
                      <w:szCs w:val="21"/>
                    </w:rPr>
                  </w:pPr>
                  <w:r>
                    <w:rPr>
                      <w:rFonts w:hint="eastAsia"/>
                      <w:color w:val="auto"/>
                      <w:szCs w:val="21"/>
                    </w:rPr>
                    <w:t>1.项目生产不涉及燃煤锅炉、燃生物质锅炉及其他使用高污染燃料的锅炉；不位于集中供热管网覆盖范围内；</w:t>
                  </w:r>
                </w:p>
                <w:p w14:paraId="4C3519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eastAsia"/>
                      <w:color w:val="auto"/>
                      <w:szCs w:val="21"/>
                    </w:rPr>
                    <w:t>2.项目不属于陶瓷行业。</w:t>
                  </w:r>
                </w:p>
              </w:tc>
              <w:tc>
                <w:tcPr>
                  <w:tcW w:w="875" w:type="dxa"/>
                  <w:vAlign w:val="center"/>
                </w:tcPr>
                <w:p w14:paraId="09D293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符合</w:t>
                  </w:r>
                </w:p>
              </w:tc>
            </w:tr>
          </w:tbl>
          <w:p w14:paraId="051C5138">
            <w:pPr>
              <w:spacing w:before="120" w:beforeLines="50"/>
              <w:jc w:val="center"/>
              <w:rPr>
                <w:b/>
                <w:bCs/>
                <w:color w:val="auto"/>
                <w:sz w:val="24"/>
              </w:rPr>
            </w:pPr>
            <w:r>
              <w:rPr>
                <w:b/>
                <w:bCs/>
                <w:color w:val="auto"/>
                <w:sz w:val="24"/>
              </w:rPr>
              <w:t>表1</w:t>
            </w:r>
            <w:r>
              <w:rPr>
                <w:rFonts w:hint="eastAsia"/>
                <w:b/>
                <w:bCs/>
                <w:color w:val="auto"/>
                <w:sz w:val="24"/>
              </w:rPr>
              <w:t>.3</w:t>
            </w:r>
            <w:r>
              <w:rPr>
                <w:b/>
                <w:bCs/>
                <w:color w:val="auto"/>
                <w:sz w:val="24"/>
              </w:rPr>
              <w:t>-</w:t>
            </w:r>
            <w:r>
              <w:rPr>
                <w:rFonts w:hint="eastAsia"/>
                <w:b/>
                <w:bCs/>
                <w:color w:val="auto"/>
                <w:sz w:val="24"/>
              </w:rPr>
              <w:t>2</w:t>
            </w:r>
            <w:r>
              <w:rPr>
                <w:rFonts w:hint="eastAsia"/>
                <w:b/>
                <w:bCs/>
                <w:color w:val="auto"/>
                <w:sz w:val="24"/>
                <w:lang w:eastAsia="zh-CN"/>
              </w:rPr>
              <w:t>与闽侯县重点管控单元3</w:t>
            </w:r>
            <w:r>
              <w:rPr>
                <w:rFonts w:hint="eastAsia"/>
                <w:b/>
                <w:bCs/>
                <w:color w:val="auto"/>
                <w:sz w:val="24"/>
              </w:rPr>
              <w:t>符合性分析</w:t>
            </w:r>
          </w:p>
          <w:tbl>
            <w:tblPr>
              <w:tblStyle w:val="31"/>
              <w:tblW w:w="12397"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19"/>
              <w:gridCol w:w="868"/>
              <w:gridCol w:w="1091"/>
              <w:gridCol w:w="5422"/>
              <w:gridCol w:w="3311"/>
              <w:gridCol w:w="786"/>
            </w:tblGrid>
            <w:tr w14:paraId="4C2ACC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919" w:type="dxa"/>
                  <w:tcBorders>
                    <w:tl2br w:val="nil"/>
                    <w:tr2bl w:val="nil"/>
                  </w:tcBorders>
                  <w:tcMar>
                    <w:top w:w="0" w:type="dxa"/>
                    <w:left w:w="51" w:type="dxa"/>
                    <w:bottom w:w="0" w:type="dxa"/>
                    <w:right w:w="51" w:type="dxa"/>
                  </w:tcMar>
                  <w:vAlign w:val="center"/>
                </w:tcPr>
                <w:p w14:paraId="3B52BE2A">
                  <w:pPr>
                    <w:adjustRightInd w:val="0"/>
                    <w:snapToGrid w:val="0"/>
                    <w:jc w:val="center"/>
                    <w:rPr>
                      <w:b/>
                      <w:bCs/>
                      <w:iCs/>
                      <w:color w:val="auto"/>
                      <w:kern w:val="0"/>
                      <w:szCs w:val="21"/>
                    </w:rPr>
                  </w:pPr>
                  <w:r>
                    <w:rPr>
                      <w:rFonts w:hint="eastAsia"/>
                      <w:b/>
                      <w:bCs/>
                      <w:iCs/>
                      <w:color w:val="auto"/>
                      <w:kern w:val="0"/>
                      <w:szCs w:val="21"/>
                    </w:rPr>
                    <w:t>环境管控单元编码</w:t>
                  </w:r>
                </w:p>
              </w:tc>
              <w:tc>
                <w:tcPr>
                  <w:tcW w:w="868" w:type="dxa"/>
                  <w:tcBorders>
                    <w:tl2br w:val="nil"/>
                    <w:tr2bl w:val="nil"/>
                  </w:tcBorders>
                  <w:tcMar>
                    <w:top w:w="0" w:type="dxa"/>
                    <w:left w:w="51" w:type="dxa"/>
                    <w:bottom w:w="0" w:type="dxa"/>
                    <w:right w:w="51" w:type="dxa"/>
                  </w:tcMar>
                  <w:vAlign w:val="center"/>
                </w:tcPr>
                <w:p w14:paraId="4331F011">
                  <w:pPr>
                    <w:adjustRightInd w:val="0"/>
                    <w:snapToGrid w:val="0"/>
                    <w:jc w:val="center"/>
                    <w:rPr>
                      <w:b/>
                      <w:bCs/>
                      <w:iCs/>
                      <w:color w:val="auto"/>
                      <w:kern w:val="0"/>
                      <w:szCs w:val="21"/>
                    </w:rPr>
                  </w:pPr>
                  <w:r>
                    <w:rPr>
                      <w:rFonts w:hint="eastAsia"/>
                      <w:b/>
                      <w:bCs/>
                      <w:iCs/>
                      <w:color w:val="auto"/>
                      <w:kern w:val="0"/>
                      <w:szCs w:val="21"/>
                    </w:rPr>
                    <w:t>环境管控单元名称</w:t>
                  </w:r>
                </w:p>
              </w:tc>
              <w:tc>
                <w:tcPr>
                  <w:tcW w:w="6513" w:type="dxa"/>
                  <w:gridSpan w:val="2"/>
                  <w:tcBorders>
                    <w:tl2br w:val="nil"/>
                    <w:tr2bl w:val="nil"/>
                  </w:tcBorders>
                  <w:tcMar>
                    <w:top w:w="0" w:type="dxa"/>
                    <w:left w:w="51" w:type="dxa"/>
                    <w:bottom w:w="0" w:type="dxa"/>
                    <w:right w:w="51" w:type="dxa"/>
                  </w:tcMar>
                  <w:vAlign w:val="center"/>
                </w:tcPr>
                <w:p w14:paraId="41FF8052">
                  <w:pPr>
                    <w:adjustRightInd w:val="0"/>
                    <w:snapToGrid w:val="0"/>
                    <w:jc w:val="center"/>
                    <w:rPr>
                      <w:b/>
                      <w:bCs/>
                      <w:iCs/>
                      <w:color w:val="auto"/>
                      <w:kern w:val="0"/>
                      <w:szCs w:val="21"/>
                    </w:rPr>
                  </w:pPr>
                  <w:r>
                    <w:rPr>
                      <w:rFonts w:hint="eastAsia"/>
                      <w:b/>
                      <w:bCs/>
                      <w:iCs/>
                      <w:color w:val="auto"/>
                      <w:kern w:val="0"/>
                      <w:szCs w:val="21"/>
                    </w:rPr>
                    <w:t>管控要求</w:t>
                  </w:r>
                </w:p>
              </w:tc>
              <w:tc>
                <w:tcPr>
                  <w:tcW w:w="3311" w:type="dxa"/>
                  <w:tcBorders>
                    <w:tl2br w:val="nil"/>
                    <w:tr2bl w:val="nil"/>
                  </w:tcBorders>
                  <w:tcMar>
                    <w:top w:w="0" w:type="dxa"/>
                    <w:left w:w="51" w:type="dxa"/>
                    <w:bottom w:w="0" w:type="dxa"/>
                    <w:right w:w="51" w:type="dxa"/>
                  </w:tcMar>
                  <w:vAlign w:val="center"/>
                </w:tcPr>
                <w:p w14:paraId="1720597F">
                  <w:pPr>
                    <w:adjustRightInd w:val="0"/>
                    <w:snapToGrid w:val="0"/>
                    <w:jc w:val="center"/>
                    <w:rPr>
                      <w:b/>
                      <w:bCs/>
                      <w:iCs/>
                      <w:color w:val="auto"/>
                      <w:kern w:val="0"/>
                      <w:szCs w:val="21"/>
                    </w:rPr>
                  </w:pPr>
                  <w:r>
                    <w:rPr>
                      <w:rFonts w:hint="eastAsia"/>
                      <w:b/>
                      <w:bCs/>
                      <w:iCs/>
                      <w:color w:val="auto"/>
                      <w:kern w:val="0"/>
                      <w:szCs w:val="21"/>
                    </w:rPr>
                    <w:t>项目情况</w:t>
                  </w:r>
                </w:p>
              </w:tc>
              <w:tc>
                <w:tcPr>
                  <w:tcW w:w="786" w:type="dxa"/>
                  <w:tcBorders>
                    <w:tl2br w:val="nil"/>
                    <w:tr2bl w:val="nil"/>
                  </w:tcBorders>
                  <w:tcMar>
                    <w:top w:w="0" w:type="dxa"/>
                    <w:left w:w="51" w:type="dxa"/>
                    <w:bottom w:w="0" w:type="dxa"/>
                    <w:right w:w="51" w:type="dxa"/>
                  </w:tcMar>
                  <w:vAlign w:val="center"/>
                </w:tcPr>
                <w:p w14:paraId="1BF396D0">
                  <w:pPr>
                    <w:adjustRightInd w:val="0"/>
                    <w:snapToGrid w:val="0"/>
                    <w:jc w:val="center"/>
                    <w:rPr>
                      <w:b/>
                      <w:bCs/>
                      <w:iCs/>
                      <w:color w:val="auto"/>
                      <w:kern w:val="0"/>
                      <w:szCs w:val="21"/>
                    </w:rPr>
                  </w:pPr>
                  <w:r>
                    <w:rPr>
                      <w:rFonts w:hint="eastAsia"/>
                      <w:b/>
                      <w:bCs/>
                      <w:iCs/>
                      <w:color w:val="auto"/>
                      <w:kern w:val="0"/>
                      <w:szCs w:val="21"/>
                    </w:rPr>
                    <w:t>符合性</w:t>
                  </w:r>
                </w:p>
              </w:tc>
            </w:tr>
            <w:tr w14:paraId="4CB9B0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38" w:hRule="atLeast"/>
                <w:jc w:val="center"/>
              </w:trPr>
              <w:tc>
                <w:tcPr>
                  <w:tcW w:w="919" w:type="dxa"/>
                  <w:vMerge w:val="restart"/>
                  <w:tcBorders>
                    <w:tl2br w:val="nil"/>
                    <w:tr2bl w:val="nil"/>
                  </w:tcBorders>
                  <w:tcMar>
                    <w:top w:w="0" w:type="dxa"/>
                    <w:left w:w="51" w:type="dxa"/>
                    <w:bottom w:w="0" w:type="dxa"/>
                    <w:right w:w="51" w:type="dxa"/>
                  </w:tcMar>
                  <w:vAlign w:val="center"/>
                </w:tcPr>
                <w:p w14:paraId="1843EF3B">
                  <w:pPr>
                    <w:adjustRightInd w:val="0"/>
                    <w:snapToGrid w:val="0"/>
                    <w:jc w:val="center"/>
                    <w:rPr>
                      <w:iCs/>
                      <w:color w:val="auto"/>
                      <w:kern w:val="0"/>
                      <w:szCs w:val="21"/>
                    </w:rPr>
                  </w:pPr>
                  <w:r>
                    <w:rPr>
                      <w:rFonts w:hint="eastAsia"/>
                      <w:iCs/>
                      <w:color w:val="auto"/>
                      <w:kern w:val="0"/>
                      <w:szCs w:val="21"/>
                    </w:rPr>
                    <w:t>ZH35012120005</w:t>
                  </w:r>
                </w:p>
              </w:tc>
              <w:tc>
                <w:tcPr>
                  <w:tcW w:w="868" w:type="dxa"/>
                  <w:vMerge w:val="restart"/>
                  <w:tcBorders>
                    <w:tl2br w:val="nil"/>
                    <w:tr2bl w:val="nil"/>
                  </w:tcBorders>
                  <w:tcMar>
                    <w:top w:w="0" w:type="dxa"/>
                    <w:left w:w="51" w:type="dxa"/>
                    <w:bottom w:w="0" w:type="dxa"/>
                    <w:right w:w="51" w:type="dxa"/>
                  </w:tcMar>
                  <w:vAlign w:val="center"/>
                </w:tcPr>
                <w:p w14:paraId="57F93F29">
                  <w:pPr>
                    <w:adjustRightInd w:val="0"/>
                    <w:snapToGrid w:val="0"/>
                    <w:jc w:val="center"/>
                    <w:rPr>
                      <w:rFonts w:hint="eastAsia" w:eastAsia="宋体"/>
                      <w:iCs/>
                      <w:color w:val="auto"/>
                      <w:kern w:val="0"/>
                      <w:szCs w:val="21"/>
                      <w:lang w:eastAsia="zh-CN"/>
                    </w:rPr>
                  </w:pPr>
                  <w:r>
                    <w:rPr>
                      <w:rFonts w:hint="eastAsia" w:eastAsia="宋体"/>
                      <w:iCs/>
                      <w:color w:val="auto"/>
                      <w:kern w:val="0"/>
                      <w:szCs w:val="21"/>
                      <w:lang w:eastAsia="zh-CN"/>
                    </w:rPr>
                    <w:t>闽侯县重点管控单元3</w:t>
                  </w:r>
                </w:p>
              </w:tc>
              <w:tc>
                <w:tcPr>
                  <w:tcW w:w="1091" w:type="dxa"/>
                  <w:tcBorders>
                    <w:tl2br w:val="nil"/>
                    <w:tr2bl w:val="nil"/>
                  </w:tcBorders>
                  <w:tcMar>
                    <w:top w:w="0" w:type="dxa"/>
                    <w:left w:w="51" w:type="dxa"/>
                    <w:bottom w:w="0" w:type="dxa"/>
                    <w:right w:w="51" w:type="dxa"/>
                  </w:tcMar>
                  <w:vAlign w:val="center"/>
                </w:tcPr>
                <w:p w14:paraId="611E8B41">
                  <w:pPr>
                    <w:adjustRightInd w:val="0"/>
                    <w:snapToGrid w:val="0"/>
                    <w:jc w:val="center"/>
                    <w:rPr>
                      <w:iCs/>
                      <w:color w:val="auto"/>
                      <w:kern w:val="0"/>
                      <w:szCs w:val="21"/>
                    </w:rPr>
                  </w:pPr>
                  <w:r>
                    <w:rPr>
                      <w:rFonts w:hint="eastAsia"/>
                      <w:iCs/>
                      <w:color w:val="auto"/>
                      <w:kern w:val="0"/>
                      <w:szCs w:val="21"/>
                    </w:rPr>
                    <w:t>空间布局约束</w:t>
                  </w:r>
                </w:p>
              </w:tc>
              <w:tc>
                <w:tcPr>
                  <w:tcW w:w="5422" w:type="dxa"/>
                  <w:tcBorders>
                    <w:tl2br w:val="nil"/>
                    <w:tr2bl w:val="nil"/>
                  </w:tcBorders>
                  <w:tcMar>
                    <w:top w:w="0" w:type="dxa"/>
                    <w:left w:w="51" w:type="dxa"/>
                    <w:bottom w:w="0" w:type="dxa"/>
                    <w:right w:w="51" w:type="dxa"/>
                  </w:tcMar>
                  <w:vAlign w:val="center"/>
                </w:tcPr>
                <w:p w14:paraId="474F8855">
                  <w:pPr>
                    <w:rPr>
                      <w:rFonts w:hint="eastAsia"/>
                      <w:color w:val="auto"/>
                      <w:vertAlign w:val="baseline"/>
                      <w:lang w:val="en-US" w:eastAsia="zh-CN"/>
                    </w:rPr>
                  </w:pPr>
                  <w:r>
                    <w:rPr>
                      <w:rFonts w:hint="eastAsia"/>
                      <w:color w:val="auto"/>
                      <w:vertAlign w:val="baseline"/>
                      <w:lang w:val="en-US" w:eastAsia="zh-CN"/>
                    </w:rPr>
                    <w:t>1.严禁在城镇人口密集区新建危险化学品生产企业；现有不符合安全和卫生防护距离要求的危险化学品生产企业2025年底前完成就地改造达标、搬迁进入规范化工园区或关闭退出。城市建成区内现有化工等污染较重的企业应有序搬迁改造或依法关闭。</w:t>
                  </w:r>
                </w:p>
                <w:p w14:paraId="6655FA32">
                  <w:pPr>
                    <w:rPr>
                      <w:rFonts w:hint="eastAsia"/>
                      <w:color w:val="auto"/>
                      <w:vertAlign w:val="baseline"/>
                      <w:lang w:val="en-US" w:eastAsia="zh-CN"/>
                    </w:rPr>
                  </w:pPr>
                  <w:r>
                    <w:rPr>
                      <w:rFonts w:hint="eastAsia"/>
                      <w:color w:val="auto"/>
                      <w:vertAlign w:val="baseline"/>
                      <w:lang w:val="en-US" w:eastAsia="zh-CN"/>
                    </w:rPr>
                    <w:t>2.禁止在通风廊道和主导风向的上风向布局大气重污染企业。严格控制包装印刷、工业涂装、制鞋等高VOCs排放的项目建设，相关新建项目必须进入工业园区。</w:t>
                  </w:r>
                </w:p>
                <w:p w14:paraId="17D4F6A1">
                  <w:pPr>
                    <w:rPr>
                      <w:iCs/>
                      <w:color w:val="auto"/>
                      <w:kern w:val="0"/>
                      <w:szCs w:val="21"/>
                    </w:rPr>
                  </w:pPr>
                  <w:r>
                    <w:rPr>
                      <w:rFonts w:hint="eastAsia"/>
                      <w:color w:val="auto"/>
                      <w:vertAlign w:val="baseline"/>
                      <w:lang w:val="en-US" w:eastAsia="zh-CN"/>
                    </w:rPr>
                    <w:t>3.禁止开发利用未经评估和无害化处理的列入建设用地污染地块名录及开发利用负面清单的土地。</w:t>
                  </w:r>
                </w:p>
              </w:tc>
              <w:tc>
                <w:tcPr>
                  <w:tcW w:w="3311" w:type="dxa"/>
                  <w:tcBorders>
                    <w:tl2br w:val="nil"/>
                    <w:tr2bl w:val="nil"/>
                  </w:tcBorders>
                  <w:tcMar>
                    <w:top w:w="0" w:type="dxa"/>
                    <w:left w:w="51" w:type="dxa"/>
                    <w:bottom w:w="0" w:type="dxa"/>
                    <w:right w:w="51" w:type="dxa"/>
                  </w:tcMar>
                  <w:vAlign w:val="center"/>
                </w:tcPr>
                <w:p w14:paraId="6202DC32">
                  <w:pPr>
                    <w:adjustRightInd w:val="0"/>
                    <w:snapToGrid w:val="0"/>
                    <w:jc w:val="left"/>
                    <w:rPr>
                      <w:rFonts w:hint="eastAsia"/>
                      <w:color w:val="auto"/>
                      <w:vertAlign w:val="baseline"/>
                      <w:lang w:val="en-US" w:eastAsia="zh-CN"/>
                    </w:rPr>
                  </w:pPr>
                  <w:r>
                    <w:rPr>
                      <w:rFonts w:hint="eastAsia"/>
                      <w:iCs/>
                      <w:color w:val="auto"/>
                      <w:kern w:val="0"/>
                      <w:szCs w:val="21"/>
                      <w:lang w:val="en-US" w:eastAsia="zh-CN"/>
                    </w:rPr>
                    <w:t>1.项目不属于</w:t>
                  </w:r>
                  <w:r>
                    <w:rPr>
                      <w:rFonts w:hint="eastAsia"/>
                      <w:color w:val="auto"/>
                      <w:vertAlign w:val="baseline"/>
                      <w:lang w:val="en-US" w:eastAsia="zh-CN"/>
                    </w:rPr>
                    <w:t>危险化学品生产企业；</w:t>
                  </w:r>
                </w:p>
                <w:p w14:paraId="1E08D4A6">
                  <w:pPr>
                    <w:adjustRightInd w:val="0"/>
                    <w:snapToGrid w:val="0"/>
                    <w:jc w:val="left"/>
                    <w:rPr>
                      <w:rFonts w:hint="eastAsia"/>
                      <w:color w:val="auto"/>
                      <w:vertAlign w:val="baseline"/>
                      <w:lang w:val="en-US" w:eastAsia="zh-CN"/>
                    </w:rPr>
                  </w:pPr>
                  <w:r>
                    <w:rPr>
                      <w:rFonts w:hint="eastAsia"/>
                      <w:color w:val="auto"/>
                      <w:vertAlign w:val="baseline"/>
                      <w:lang w:val="en-US" w:eastAsia="zh-CN"/>
                    </w:rPr>
                    <w:t>2.项目不属于包装印刷、工业涂装、制鞋等高VOCs排放的项目；</w:t>
                  </w:r>
                </w:p>
                <w:p w14:paraId="7AFAF5A6">
                  <w:pPr>
                    <w:adjustRightInd w:val="0"/>
                    <w:snapToGrid w:val="0"/>
                    <w:jc w:val="left"/>
                    <w:rPr>
                      <w:iCs/>
                      <w:color w:val="auto"/>
                      <w:kern w:val="0"/>
                      <w:szCs w:val="21"/>
                    </w:rPr>
                  </w:pPr>
                  <w:r>
                    <w:rPr>
                      <w:rFonts w:hint="eastAsia"/>
                      <w:color w:val="auto"/>
                      <w:vertAlign w:val="baseline"/>
                      <w:lang w:val="en-US" w:eastAsia="zh-CN"/>
                    </w:rPr>
                    <w:t>3.</w:t>
                  </w:r>
                  <w:r>
                    <w:rPr>
                      <w:rFonts w:hint="eastAsia"/>
                      <w:iCs/>
                      <w:color w:val="auto"/>
                      <w:kern w:val="0"/>
                      <w:szCs w:val="21"/>
                    </w:rPr>
                    <w:t>项目</w:t>
                  </w:r>
                  <w:r>
                    <w:rPr>
                      <w:rFonts w:hint="eastAsia"/>
                      <w:iCs/>
                      <w:color w:val="auto"/>
                      <w:kern w:val="0"/>
                      <w:szCs w:val="21"/>
                      <w:lang w:eastAsia="zh-CN"/>
                    </w:rPr>
                    <w:t>用地不属于</w:t>
                  </w:r>
                  <w:r>
                    <w:rPr>
                      <w:rFonts w:hint="eastAsia"/>
                      <w:color w:val="auto"/>
                      <w:vertAlign w:val="baseline"/>
                      <w:lang w:val="en-US" w:eastAsia="zh-CN"/>
                    </w:rPr>
                    <w:t>列入建设用地污染地块名录及开发利用负面清单的土地</w:t>
                  </w:r>
                  <w:r>
                    <w:rPr>
                      <w:rFonts w:hint="eastAsia"/>
                      <w:iCs/>
                      <w:color w:val="auto"/>
                      <w:kern w:val="0"/>
                      <w:szCs w:val="21"/>
                    </w:rPr>
                    <w:t>。</w:t>
                  </w:r>
                </w:p>
              </w:tc>
              <w:tc>
                <w:tcPr>
                  <w:tcW w:w="786" w:type="dxa"/>
                  <w:tcBorders>
                    <w:tl2br w:val="nil"/>
                    <w:tr2bl w:val="nil"/>
                  </w:tcBorders>
                  <w:tcMar>
                    <w:top w:w="0" w:type="dxa"/>
                    <w:left w:w="51" w:type="dxa"/>
                    <w:bottom w:w="0" w:type="dxa"/>
                    <w:right w:w="51" w:type="dxa"/>
                  </w:tcMar>
                  <w:vAlign w:val="center"/>
                </w:tcPr>
                <w:p w14:paraId="17798DA3">
                  <w:pPr>
                    <w:adjustRightInd w:val="0"/>
                    <w:snapToGrid w:val="0"/>
                    <w:jc w:val="center"/>
                    <w:rPr>
                      <w:iCs/>
                      <w:color w:val="auto"/>
                      <w:kern w:val="0"/>
                      <w:szCs w:val="21"/>
                    </w:rPr>
                  </w:pPr>
                  <w:r>
                    <w:rPr>
                      <w:rFonts w:hint="eastAsia"/>
                      <w:iCs/>
                      <w:color w:val="auto"/>
                      <w:kern w:val="0"/>
                      <w:szCs w:val="21"/>
                    </w:rPr>
                    <w:t>符合</w:t>
                  </w:r>
                </w:p>
              </w:tc>
            </w:tr>
            <w:tr w14:paraId="680FF0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47" w:hRule="atLeast"/>
                <w:jc w:val="center"/>
              </w:trPr>
              <w:tc>
                <w:tcPr>
                  <w:tcW w:w="919" w:type="dxa"/>
                  <w:vMerge w:val="continue"/>
                  <w:tcBorders>
                    <w:tl2br w:val="nil"/>
                    <w:tr2bl w:val="nil"/>
                  </w:tcBorders>
                  <w:tcMar>
                    <w:top w:w="0" w:type="dxa"/>
                    <w:left w:w="51" w:type="dxa"/>
                    <w:bottom w:w="0" w:type="dxa"/>
                    <w:right w:w="51" w:type="dxa"/>
                  </w:tcMar>
                  <w:vAlign w:val="center"/>
                </w:tcPr>
                <w:p w14:paraId="0FEF308C">
                  <w:pPr>
                    <w:adjustRightInd w:val="0"/>
                    <w:snapToGrid w:val="0"/>
                    <w:jc w:val="center"/>
                    <w:rPr>
                      <w:rFonts w:hint="eastAsia"/>
                      <w:color w:val="auto"/>
                      <w:vertAlign w:val="baseline"/>
                      <w:lang w:val="en-US" w:eastAsia="zh-CN"/>
                    </w:rPr>
                  </w:pPr>
                </w:p>
              </w:tc>
              <w:tc>
                <w:tcPr>
                  <w:tcW w:w="868" w:type="dxa"/>
                  <w:vMerge w:val="continue"/>
                  <w:tcBorders>
                    <w:tl2br w:val="nil"/>
                    <w:tr2bl w:val="nil"/>
                  </w:tcBorders>
                  <w:tcMar>
                    <w:top w:w="0" w:type="dxa"/>
                    <w:left w:w="51" w:type="dxa"/>
                    <w:bottom w:w="0" w:type="dxa"/>
                    <w:right w:w="51" w:type="dxa"/>
                  </w:tcMar>
                  <w:vAlign w:val="center"/>
                </w:tcPr>
                <w:p w14:paraId="06360919">
                  <w:pPr>
                    <w:adjustRightInd w:val="0"/>
                    <w:snapToGrid w:val="0"/>
                    <w:jc w:val="center"/>
                    <w:rPr>
                      <w:rFonts w:hint="eastAsia"/>
                      <w:iCs/>
                      <w:color w:val="auto"/>
                      <w:kern w:val="0"/>
                      <w:szCs w:val="21"/>
                    </w:rPr>
                  </w:pPr>
                </w:p>
              </w:tc>
              <w:tc>
                <w:tcPr>
                  <w:tcW w:w="1091" w:type="dxa"/>
                  <w:tcBorders>
                    <w:tl2br w:val="nil"/>
                    <w:tr2bl w:val="nil"/>
                  </w:tcBorders>
                  <w:tcMar>
                    <w:top w:w="0" w:type="dxa"/>
                    <w:left w:w="51" w:type="dxa"/>
                    <w:bottom w:w="0" w:type="dxa"/>
                    <w:right w:w="51" w:type="dxa"/>
                  </w:tcMar>
                  <w:vAlign w:val="center"/>
                </w:tcPr>
                <w:p w14:paraId="1360824C">
                  <w:pPr>
                    <w:adjustRightInd w:val="0"/>
                    <w:snapToGrid w:val="0"/>
                    <w:jc w:val="center"/>
                    <w:rPr>
                      <w:rFonts w:hint="eastAsia" w:eastAsia="宋体"/>
                      <w:iCs/>
                      <w:color w:val="auto"/>
                      <w:kern w:val="0"/>
                      <w:szCs w:val="21"/>
                      <w:lang w:eastAsia="zh-CN"/>
                    </w:rPr>
                  </w:pPr>
                  <w:r>
                    <w:rPr>
                      <w:rFonts w:hint="eastAsia"/>
                      <w:iCs/>
                      <w:color w:val="auto"/>
                      <w:kern w:val="0"/>
                      <w:szCs w:val="21"/>
                      <w:lang w:eastAsia="zh-CN"/>
                    </w:rPr>
                    <w:t>污染物排放管控</w:t>
                  </w:r>
                </w:p>
              </w:tc>
              <w:tc>
                <w:tcPr>
                  <w:tcW w:w="5422" w:type="dxa"/>
                  <w:tcBorders>
                    <w:tl2br w:val="nil"/>
                    <w:tr2bl w:val="nil"/>
                  </w:tcBorders>
                  <w:tcMar>
                    <w:top w:w="0" w:type="dxa"/>
                    <w:left w:w="51" w:type="dxa"/>
                    <w:bottom w:w="0" w:type="dxa"/>
                    <w:right w:w="51" w:type="dxa"/>
                  </w:tcMar>
                  <w:vAlign w:val="center"/>
                </w:tcPr>
                <w:p w14:paraId="2FA6FCDA">
                  <w:pPr>
                    <w:numPr>
                      <w:ilvl w:val="0"/>
                      <w:numId w:val="0"/>
                    </w:numPr>
                    <w:rPr>
                      <w:rFonts w:hint="eastAsia"/>
                      <w:color w:val="auto"/>
                      <w:vertAlign w:val="baseline"/>
                      <w:lang w:val="en-US" w:eastAsia="zh-CN"/>
                    </w:rPr>
                  </w:pPr>
                  <w:r>
                    <w:rPr>
                      <w:rFonts w:hint="eastAsia"/>
                      <w:color w:val="auto"/>
                      <w:vertAlign w:val="baseline"/>
                      <w:lang w:val="en-US" w:eastAsia="zh-CN"/>
                    </w:rPr>
                    <w:t>1.禁止向农田灌溉渠道排放工业废水或者医疗污水。向农田灌溉渠道排放城镇污水以及未综合利用的畜禽养殖废水、农产品加工废水的，应当保证其下游最近的灌溉取水点的水质符合农田灌溉水质标准。</w:t>
                  </w:r>
                </w:p>
                <w:p w14:paraId="0226E03D">
                  <w:pPr>
                    <w:numPr>
                      <w:ilvl w:val="0"/>
                      <w:numId w:val="0"/>
                    </w:numPr>
                    <w:rPr>
                      <w:rFonts w:hint="default"/>
                      <w:color w:val="auto"/>
                      <w:vertAlign w:val="baseline"/>
                      <w:lang w:val="en-US" w:eastAsia="zh-CN"/>
                    </w:rPr>
                  </w:pPr>
                  <w:r>
                    <w:rPr>
                      <w:rFonts w:hint="eastAsia"/>
                      <w:color w:val="auto"/>
                      <w:vertAlign w:val="baseline"/>
                      <w:lang w:val="en-US" w:eastAsia="zh-CN"/>
                    </w:rPr>
                    <w:t>2.落实新增二氧化硫、氮氧化物和VOCs排放总量控制要求。</w:t>
                  </w:r>
                </w:p>
              </w:tc>
              <w:tc>
                <w:tcPr>
                  <w:tcW w:w="3311" w:type="dxa"/>
                  <w:tcBorders>
                    <w:tl2br w:val="nil"/>
                    <w:tr2bl w:val="nil"/>
                  </w:tcBorders>
                  <w:tcMar>
                    <w:top w:w="0" w:type="dxa"/>
                    <w:left w:w="51" w:type="dxa"/>
                    <w:bottom w:w="0" w:type="dxa"/>
                    <w:right w:w="51" w:type="dxa"/>
                  </w:tcMar>
                  <w:vAlign w:val="center"/>
                </w:tcPr>
                <w:p w14:paraId="612C3B0E">
                  <w:pPr>
                    <w:adjustRightInd w:val="0"/>
                    <w:snapToGrid w:val="0"/>
                    <w:jc w:val="left"/>
                    <w:rPr>
                      <w:rFonts w:hint="eastAsia"/>
                      <w:color w:val="auto"/>
                    </w:rPr>
                  </w:pPr>
                  <w:r>
                    <w:rPr>
                      <w:rFonts w:hint="eastAsia"/>
                      <w:color w:val="auto"/>
                    </w:rPr>
                    <w:t>1</w:t>
                  </w:r>
                  <w:r>
                    <w:rPr>
                      <w:rFonts w:hint="eastAsia"/>
                      <w:color w:val="auto"/>
                      <w:highlight w:val="none"/>
                    </w:rPr>
                    <w:t>.项目</w:t>
                  </w:r>
                  <w:r>
                    <w:rPr>
                      <w:rFonts w:hint="eastAsia"/>
                      <w:color w:val="auto"/>
                      <w:highlight w:val="none"/>
                      <w:lang w:eastAsia="zh-CN"/>
                    </w:rPr>
                    <w:t>生活污水</w:t>
                  </w:r>
                  <w:r>
                    <w:rPr>
                      <w:rFonts w:hint="eastAsia"/>
                      <w:color w:val="auto"/>
                      <w:highlight w:val="none"/>
                    </w:rPr>
                    <w:t>经厂内</w:t>
                  </w:r>
                  <w:r>
                    <w:rPr>
                      <w:rFonts w:hint="eastAsia"/>
                      <w:color w:val="auto"/>
                      <w:highlight w:val="none"/>
                      <w:lang w:eastAsia="zh-CN"/>
                    </w:rPr>
                    <w:t>化粪池</w:t>
                  </w:r>
                  <w:r>
                    <w:rPr>
                      <w:rFonts w:hint="eastAsia"/>
                      <w:color w:val="auto"/>
                      <w:highlight w:val="none"/>
                    </w:rPr>
                    <w:t>处理后，接入市政污水管网，送</w:t>
                  </w:r>
                  <w:r>
                    <w:rPr>
                      <w:rFonts w:hint="eastAsia"/>
                      <w:color w:val="auto"/>
                      <w:highlight w:val="none"/>
                      <w:lang w:eastAsia="zh-CN"/>
                    </w:rPr>
                    <w:t>竹岐乡污水处理厂</w:t>
                  </w:r>
                  <w:r>
                    <w:rPr>
                      <w:rFonts w:hint="eastAsia"/>
                      <w:color w:val="auto"/>
                      <w:highlight w:val="none"/>
                    </w:rPr>
                    <w:t>深度处理。</w:t>
                  </w:r>
                </w:p>
                <w:p w14:paraId="58BE8493">
                  <w:pPr>
                    <w:adjustRightInd w:val="0"/>
                    <w:snapToGrid w:val="0"/>
                    <w:jc w:val="left"/>
                    <w:rPr>
                      <w:rFonts w:hint="eastAsia" w:eastAsia="宋体"/>
                      <w:iCs/>
                      <w:color w:val="auto"/>
                      <w:kern w:val="0"/>
                      <w:szCs w:val="21"/>
                      <w:lang w:eastAsia="zh-CN"/>
                    </w:rPr>
                  </w:pPr>
                  <w:r>
                    <w:rPr>
                      <w:rFonts w:hint="eastAsia"/>
                      <w:color w:val="auto"/>
                    </w:rPr>
                    <w:t>2</w:t>
                  </w:r>
                  <w:r>
                    <w:rPr>
                      <w:rFonts w:hint="eastAsia"/>
                      <w:color w:val="auto"/>
                      <w:lang w:val="en-US" w:eastAsia="zh-CN"/>
                    </w:rPr>
                    <w:t>.</w:t>
                  </w:r>
                  <w:r>
                    <w:rPr>
                      <w:rFonts w:hint="default" w:ascii="Times New Roman" w:hAnsi="Times New Roman" w:eastAsia="宋体" w:cs="Times New Roman"/>
                      <w:color w:val="auto"/>
                      <w:sz w:val="21"/>
                      <w:szCs w:val="21"/>
                      <w:highlight w:val="none"/>
                    </w:rPr>
                    <w:t>本项目</w:t>
                  </w:r>
                  <w:r>
                    <w:rPr>
                      <w:rFonts w:hint="eastAsia"/>
                      <w:color w:val="auto"/>
                      <w:vertAlign w:val="baseline"/>
                      <w:lang w:val="en-US" w:eastAsia="zh-CN"/>
                    </w:rPr>
                    <w:t>新增二氧化硫、氮氧化物</w:t>
                  </w:r>
                  <w:r>
                    <w:rPr>
                      <w:rFonts w:hint="default" w:ascii="Times New Roman" w:hAnsi="Times New Roman" w:eastAsia="宋体" w:cs="Times New Roman"/>
                      <w:color w:val="auto"/>
                      <w:sz w:val="21"/>
                      <w:szCs w:val="21"/>
                      <w:highlight w:val="none"/>
                    </w:rPr>
                    <w:t>执行倍量总量申购</w:t>
                  </w:r>
                  <w:r>
                    <w:rPr>
                      <w:rFonts w:hint="default" w:ascii="Times New Roman" w:hAnsi="Times New Roman" w:eastAsia="宋体" w:cs="Times New Roman"/>
                      <w:color w:val="auto"/>
                      <w:sz w:val="21"/>
                      <w:szCs w:val="21"/>
                      <w:highlight w:val="none"/>
                      <w:lang w:eastAsia="zh-CN"/>
                    </w:rPr>
                    <w:t>。</w:t>
                  </w:r>
                </w:p>
              </w:tc>
              <w:tc>
                <w:tcPr>
                  <w:tcW w:w="786" w:type="dxa"/>
                  <w:tcBorders>
                    <w:tl2br w:val="nil"/>
                    <w:tr2bl w:val="nil"/>
                  </w:tcBorders>
                  <w:tcMar>
                    <w:top w:w="0" w:type="dxa"/>
                    <w:left w:w="51" w:type="dxa"/>
                    <w:bottom w:w="0" w:type="dxa"/>
                    <w:right w:w="51" w:type="dxa"/>
                  </w:tcMar>
                  <w:vAlign w:val="center"/>
                </w:tcPr>
                <w:p w14:paraId="4D7F6DEA">
                  <w:pPr>
                    <w:adjustRightInd w:val="0"/>
                    <w:snapToGrid w:val="0"/>
                    <w:jc w:val="center"/>
                    <w:rPr>
                      <w:rFonts w:hint="eastAsia"/>
                      <w:iCs/>
                      <w:color w:val="auto"/>
                      <w:kern w:val="0"/>
                      <w:szCs w:val="21"/>
                    </w:rPr>
                  </w:pPr>
                  <w:r>
                    <w:rPr>
                      <w:rFonts w:hint="eastAsia"/>
                      <w:iCs/>
                      <w:color w:val="auto"/>
                      <w:kern w:val="0"/>
                      <w:szCs w:val="21"/>
                    </w:rPr>
                    <w:t>符合</w:t>
                  </w:r>
                </w:p>
              </w:tc>
            </w:tr>
            <w:tr w14:paraId="02C8E5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77" w:hRule="atLeast"/>
                <w:jc w:val="center"/>
              </w:trPr>
              <w:tc>
                <w:tcPr>
                  <w:tcW w:w="919" w:type="dxa"/>
                  <w:vMerge w:val="continue"/>
                  <w:tcBorders>
                    <w:tl2br w:val="nil"/>
                    <w:tr2bl w:val="nil"/>
                  </w:tcBorders>
                  <w:tcMar>
                    <w:top w:w="0" w:type="dxa"/>
                    <w:left w:w="51" w:type="dxa"/>
                    <w:bottom w:w="0" w:type="dxa"/>
                    <w:right w:w="51" w:type="dxa"/>
                  </w:tcMar>
                  <w:vAlign w:val="center"/>
                </w:tcPr>
                <w:p w14:paraId="17BA59D3">
                  <w:pPr>
                    <w:adjustRightInd w:val="0"/>
                    <w:snapToGrid w:val="0"/>
                    <w:jc w:val="center"/>
                    <w:rPr>
                      <w:rFonts w:hint="eastAsia"/>
                      <w:color w:val="auto"/>
                      <w:vertAlign w:val="baseline"/>
                      <w:lang w:val="en-US" w:eastAsia="zh-CN"/>
                    </w:rPr>
                  </w:pPr>
                </w:p>
              </w:tc>
              <w:tc>
                <w:tcPr>
                  <w:tcW w:w="868" w:type="dxa"/>
                  <w:vMerge w:val="continue"/>
                  <w:tcBorders>
                    <w:tl2br w:val="nil"/>
                    <w:tr2bl w:val="nil"/>
                  </w:tcBorders>
                  <w:tcMar>
                    <w:top w:w="0" w:type="dxa"/>
                    <w:left w:w="51" w:type="dxa"/>
                    <w:bottom w:w="0" w:type="dxa"/>
                    <w:right w:w="51" w:type="dxa"/>
                  </w:tcMar>
                  <w:vAlign w:val="center"/>
                </w:tcPr>
                <w:p w14:paraId="048DDE31">
                  <w:pPr>
                    <w:adjustRightInd w:val="0"/>
                    <w:snapToGrid w:val="0"/>
                    <w:jc w:val="center"/>
                    <w:rPr>
                      <w:rFonts w:hint="eastAsia"/>
                      <w:iCs/>
                      <w:color w:val="auto"/>
                      <w:kern w:val="0"/>
                      <w:szCs w:val="21"/>
                    </w:rPr>
                  </w:pPr>
                </w:p>
              </w:tc>
              <w:tc>
                <w:tcPr>
                  <w:tcW w:w="1091" w:type="dxa"/>
                  <w:tcBorders>
                    <w:tl2br w:val="nil"/>
                    <w:tr2bl w:val="nil"/>
                  </w:tcBorders>
                  <w:shd w:val="clear" w:color="auto" w:fill="auto"/>
                  <w:tcMar>
                    <w:top w:w="0" w:type="dxa"/>
                    <w:left w:w="51" w:type="dxa"/>
                    <w:bottom w:w="0" w:type="dxa"/>
                    <w:right w:w="51" w:type="dxa"/>
                  </w:tcMar>
                  <w:vAlign w:val="center"/>
                </w:tcPr>
                <w:p w14:paraId="229F4524">
                  <w:pPr>
                    <w:adjustRightInd w:val="0"/>
                    <w:snapToGrid w:val="0"/>
                    <w:jc w:val="center"/>
                    <w:rPr>
                      <w:rFonts w:hint="eastAsia" w:ascii="Times New Roman" w:hAnsi="Times New Roman" w:cs="Times New Roman"/>
                      <w:iCs/>
                      <w:color w:val="auto"/>
                      <w:kern w:val="0"/>
                      <w:szCs w:val="21"/>
                      <w:lang w:val="en-US" w:eastAsia="zh-CN"/>
                    </w:rPr>
                  </w:pPr>
                  <w:r>
                    <w:rPr>
                      <w:rFonts w:hint="eastAsia" w:ascii="Times New Roman" w:hAnsi="Times New Roman" w:cs="Times New Roman"/>
                      <w:iCs/>
                      <w:color w:val="auto"/>
                      <w:kern w:val="0"/>
                      <w:szCs w:val="21"/>
                      <w:lang w:eastAsia="zh-CN"/>
                    </w:rPr>
                    <w:t>环境风险防控</w:t>
                  </w:r>
                </w:p>
              </w:tc>
              <w:tc>
                <w:tcPr>
                  <w:tcW w:w="5422" w:type="dxa"/>
                  <w:tcBorders>
                    <w:tl2br w:val="nil"/>
                    <w:tr2bl w:val="nil"/>
                  </w:tcBorders>
                  <w:tcMar>
                    <w:top w:w="0" w:type="dxa"/>
                    <w:left w:w="51" w:type="dxa"/>
                    <w:bottom w:w="0" w:type="dxa"/>
                    <w:right w:w="51" w:type="dxa"/>
                  </w:tcMar>
                  <w:vAlign w:val="center"/>
                </w:tcPr>
                <w:p w14:paraId="555D6711">
                  <w:pPr>
                    <w:rPr>
                      <w:rFonts w:hint="eastAsia"/>
                      <w:color w:val="auto"/>
                      <w:vertAlign w:val="baseline"/>
                      <w:lang w:val="en-US" w:eastAsia="zh-CN"/>
                    </w:rPr>
                  </w:pPr>
                  <w:r>
                    <w:rPr>
                      <w:rFonts w:hint="eastAsia"/>
                      <w:color w:val="auto"/>
                      <w:vertAlign w:val="baseline"/>
                      <w:lang w:val="en-US" w:eastAsia="zh-CN"/>
                    </w:rPr>
                    <w:t>单元内现有化学原料和化学制品制造业等具有潜在土壤污染环境风险的企业退役后，应开展土壤环境状况评估，经评估认为污染地块可能损害人体健康和环境，应当进行修复的，由造成污染的单位和个人负责被污染土壤的修复。</w:t>
                  </w:r>
                </w:p>
              </w:tc>
              <w:tc>
                <w:tcPr>
                  <w:tcW w:w="3311" w:type="dxa"/>
                  <w:tcBorders>
                    <w:tl2br w:val="nil"/>
                    <w:tr2bl w:val="nil"/>
                  </w:tcBorders>
                  <w:tcMar>
                    <w:top w:w="0" w:type="dxa"/>
                    <w:left w:w="51" w:type="dxa"/>
                    <w:bottom w:w="0" w:type="dxa"/>
                    <w:right w:w="51" w:type="dxa"/>
                  </w:tcMar>
                  <w:vAlign w:val="center"/>
                </w:tcPr>
                <w:p w14:paraId="5143F78F">
                  <w:pPr>
                    <w:adjustRightInd w:val="0"/>
                    <w:snapToGrid w:val="0"/>
                    <w:jc w:val="left"/>
                    <w:rPr>
                      <w:rFonts w:hint="eastAsia"/>
                      <w:iCs/>
                      <w:color w:val="auto"/>
                      <w:kern w:val="0"/>
                      <w:szCs w:val="21"/>
                    </w:rPr>
                  </w:pPr>
                  <w:r>
                    <w:rPr>
                      <w:rFonts w:hint="eastAsia"/>
                      <w:iCs/>
                      <w:color w:val="auto"/>
                      <w:kern w:val="0"/>
                      <w:szCs w:val="21"/>
                    </w:rPr>
                    <w:t>1.本项目不新增风险物质</w:t>
                  </w:r>
                  <w:r>
                    <w:rPr>
                      <w:rFonts w:hint="eastAsia"/>
                      <w:iCs/>
                      <w:color w:val="auto"/>
                      <w:kern w:val="0"/>
                      <w:szCs w:val="21"/>
                      <w:lang w:eastAsia="zh-CN"/>
                    </w:rPr>
                    <w:t>，</w:t>
                  </w:r>
                  <w:r>
                    <w:rPr>
                      <w:rFonts w:hint="eastAsia"/>
                      <w:iCs/>
                      <w:color w:val="auto"/>
                      <w:kern w:val="0"/>
                      <w:szCs w:val="21"/>
                    </w:rPr>
                    <w:t>现有环境风险防控体系较为完善，满足</w:t>
                  </w:r>
                  <w:r>
                    <w:rPr>
                      <w:rFonts w:hint="eastAsia"/>
                      <w:iCs/>
                      <w:color w:val="auto"/>
                      <w:kern w:val="0"/>
                      <w:szCs w:val="21"/>
                      <w:lang w:eastAsia="zh-CN"/>
                    </w:rPr>
                    <w:t>本</w:t>
                  </w:r>
                  <w:r>
                    <w:rPr>
                      <w:rFonts w:hint="eastAsia"/>
                      <w:iCs/>
                      <w:color w:val="auto"/>
                      <w:kern w:val="0"/>
                      <w:szCs w:val="21"/>
                    </w:rPr>
                    <w:t>项目需求。</w:t>
                  </w:r>
                </w:p>
                <w:p w14:paraId="370EAD06">
                  <w:pPr>
                    <w:adjustRightInd w:val="0"/>
                    <w:snapToGrid w:val="0"/>
                    <w:jc w:val="left"/>
                    <w:rPr>
                      <w:iCs/>
                      <w:color w:val="auto"/>
                      <w:kern w:val="0"/>
                      <w:szCs w:val="21"/>
                    </w:rPr>
                  </w:pPr>
                  <w:r>
                    <w:rPr>
                      <w:rFonts w:hint="eastAsia"/>
                      <w:iCs/>
                      <w:color w:val="auto"/>
                      <w:kern w:val="0"/>
                      <w:szCs w:val="21"/>
                    </w:rPr>
                    <w:t>2.厂区内地面已硬化</w:t>
                  </w:r>
                  <w:r>
                    <w:rPr>
                      <w:rFonts w:hint="eastAsia"/>
                      <w:iCs/>
                      <w:color w:val="auto"/>
                      <w:kern w:val="0"/>
                      <w:szCs w:val="21"/>
                      <w:lang w:eastAsia="zh-CN"/>
                    </w:rPr>
                    <w:t>，</w:t>
                  </w:r>
                  <w:r>
                    <w:rPr>
                      <w:rFonts w:hint="eastAsia"/>
                      <w:iCs/>
                      <w:color w:val="auto"/>
                      <w:kern w:val="0"/>
                      <w:szCs w:val="21"/>
                    </w:rPr>
                    <w:t>危废</w:t>
                  </w:r>
                  <w:r>
                    <w:rPr>
                      <w:rFonts w:hint="eastAsia"/>
                      <w:iCs/>
                      <w:color w:val="auto"/>
                      <w:kern w:val="0"/>
                      <w:szCs w:val="21"/>
                      <w:lang w:eastAsia="zh-CN"/>
                    </w:rPr>
                    <w:t>暂存间</w:t>
                  </w:r>
                  <w:r>
                    <w:rPr>
                      <w:rFonts w:hint="eastAsia"/>
                      <w:iCs/>
                      <w:color w:val="auto"/>
                      <w:kern w:val="0"/>
                      <w:szCs w:val="21"/>
                    </w:rPr>
                    <w:t>做防腐、防渗处理，对土壤、地下水的影响较小。</w:t>
                  </w:r>
                </w:p>
              </w:tc>
              <w:tc>
                <w:tcPr>
                  <w:tcW w:w="786" w:type="dxa"/>
                  <w:tcBorders>
                    <w:tl2br w:val="nil"/>
                    <w:tr2bl w:val="nil"/>
                  </w:tcBorders>
                  <w:tcMar>
                    <w:top w:w="0" w:type="dxa"/>
                    <w:left w:w="51" w:type="dxa"/>
                    <w:bottom w:w="0" w:type="dxa"/>
                    <w:right w:w="51" w:type="dxa"/>
                  </w:tcMar>
                  <w:vAlign w:val="center"/>
                </w:tcPr>
                <w:p w14:paraId="44C05AC1">
                  <w:pPr>
                    <w:adjustRightInd w:val="0"/>
                    <w:snapToGrid w:val="0"/>
                    <w:jc w:val="center"/>
                    <w:rPr>
                      <w:rFonts w:hint="eastAsia"/>
                      <w:iCs/>
                      <w:color w:val="auto"/>
                      <w:kern w:val="0"/>
                      <w:szCs w:val="21"/>
                    </w:rPr>
                  </w:pPr>
                  <w:r>
                    <w:rPr>
                      <w:rFonts w:hint="eastAsia"/>
                      <w:iCs/>
                      <w:color w:val="auto"/>
                      <w:kern w:val="0"/>
                      <w:szCs w:val="21"/>
                    </w:rPr>
                    <w:t>符合</w:t>
                  </w:r>
                </w:p>
              </w:tc>
            </w:tr>
          </w:tbl>
          <w:p w14:paraId="57A0C5F6">
            <w:pPr>
              <w:autoSpaceDE w:val="0"/>
              <w:autoSpaceDN w:val="0"/>
              <w:adjustRightInd w:val="0"/>
              <w:snapToGrid w:val="0"/>
              <w:spacing w:line="360" w:lineRule="auto"/>
              <w:ind w:firstLine="480" w:firstLineChars="200"/>
              <w:jc w:val="left"/>
              <w:rPr>
                <w:color w:val="auto"/>
                <w:kern w:val="0"/>
                <w:sz w:val="24"/>
              </w:rPr>
            </w:pPr>
          </w:p>
        </w:tc>
      </w:tr>
    </w:tbl>
    <w:p w14:paraId="2C7E81F6">
      <w:pPr>
        <w:spacing w:line="360" w:lineRule="auto"/>
        <w:rPr>
          <w:rFonts w:eastAsia="黑体"/>
          <w:color w:val="auto"/>
          <w:sz w:val="30"/>
        </w:rPr>
        <w:sectPr>
          <w:pgSz w:w="16838" w:h="11906" w:orient="landscape"/>
          <w:pgMar w:top="1531" w:right="1701" w:bottom="1531" w:left="1701" w:header="851" w:footer="1077" w:gutter="0"/>
          <w:pgBorders>
            <w:top w:val="none" w:sz="0" w:space="0"/>
            <w:left w:val="none" w:sz="0" w:space="0"/>
            <w:bottom w:val="none" w:sz="0" w:space="0"/>
            <w:right w:val="none" w:sz="0" w:space="0"/>
          </w:pgBorders>
          <w:pgNumType w:fmt="decimal"/>
          <w:cols w:space="720" w:num="1"/>
          <w:docGrid w:linePitch="312" w:charSpace="0"/>
        </w:sectPr>
      </w:pPr>
    </w:p>
    <w:tbl>
      <w:tblPr>
        <w:tblStyle w:val="31"/>
        <w:tblW w:w="879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65"/>
        <w:gridCol w:w="7829"/>
      </w:tblGrid>
      <w:tr w14:paraId="7DDC64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5" w:type="dxa"/>
            <w:vAlign w:val="center"/>
          </w:tcPr>
          <w:p w14:paraId="0F1E2A56">
            <w:pPr>
              <w:autoSpaceDE w:val="0"/>
              <w:autoSpaceDN w:val="0"/>
              <w:adjustRightInd w:val="0"/>
              <w:snapToGrid w:val="0"/>
              <w:spacing w:line="360" w:lineRule="auto"/>
              <w:jc w:val="center"/>
              <w:rPr>
                <w:color w:val="auto"/>
                <w:kern w:val="0"/>
                <w:sz w:val="24"/>
              </w:rPr>
            </w:pPr>
            <w:r>
              <w:rPr>
                <w:rFonts w:hint="eastAsia"/>
                <w:color w:val="auto"/>
                <w:kern w:val="0"/>
                <w:sz w:val="24"/>
              </w:rPr>
              <w:t>其他符合性分析</w:t>
            </w:r>
          </w:p>
        </w:tc>
        <w:tc>
          <w:tcPr>
            <w:tcW w:w="7829" w:type="dxa"/>
            <w:vAlign w:val="center"/>
          </w:tcPr>
          <w:p w14:paraId="33F95103">
            <w:pPr>
              <w:pStyle w:val="4"/>
              <w:spacing w:before="120" w:beforeLines="50"/>
              <w:ind w:firstLine="120"/>
              <w:rPr>
                <w:rFonts w:hint="default"/>
                <w:color w:val="auto"/>
              </w:rPr>
            </w:pPr>
            <w:r>
              <w:rPr>
                <w:rFonts w:hint="default"/>
                <w:color w:val="auto"/>
              </w:rPr>
              <w:t>1.</w:t>
            </w:r>
            <w:r>
              <w:rPr>
                <w:rFonts w:hint="eastAsia"/>
                <w:color w:val="auto"/>
                <w:lang w:val="en-US" w:eastAsia="zh-CN"/>
              </w:rPr>
              <w:t>4</w:t>
            </w:r>
            <w:r>
              <w:rPr>
                <w:rFonts w:hint="default"/>
                <w:color w:val="auto"/>
              </w:rPr>
              <w:t>选址合理性分析</w:t>
            </w:r>
          </w:p>
          <w:p w14:paraId="4140BA87">
            <w:pPr>
              <w:pStyle w:val="5"/>
              <w:ind w:firstLine="241"/>
              <w:rPr>
                <w:rFonts w:hint="default"/>
                <w:bCs/>
                <w:color w:val="auto"/>
              </w:rPr>
            </w:pPr>
            <w:r>
              <w:rPr>
                <w:rFonts w:hint="default"/>
                <w:bCs/>
                <w:color w:val="auto"/>
              </w:rPr>
              <w:t>1.</w:t>
            </w:r>
            <w:r>
              <w:rPr>
                <w:rFonts w:hint="eastAsia"/>
                <w:bCs/>
                <w:color w:val="auto"/>
                <w:lang w:val="en-US" w:eastAsia="zh-CN"/>
              </w:rPr>
              <w:t>4</w:t>
            </w:r>
            <w:r>
              <w:rPr>
                <w:rFonts w:hint="default"/>
                <w:bCs/>
                <w:color w:val="auto"/>
              </w:rPr>
              <w:t>.1环境功能区划符合性分析</w:t>
            </w:r>
          </w:p>
          <w:p w14:paraId="5FB5DBA1">
            <w:pPr>
              <w:spacing w:line="360" w:lineRule="auto"/>
              <w:ind w:firstLine="480" w:firstLineChars="200"/>
              <w:rPr>
                <w:color w:val="auto"/>
                <w:sz w:val="24"/>
                <w:szCs w:val="24"/>
              </w:rPr>
            </w:pPr>
            <w:r>
              <w:rPr>
                <w:rFonts w:hint="eastAsia"/>
                <w:color w:val="auto"/>
                <w:sz w:val="24"/>
                <w:szCs w:val="24"/>
              </w:rPr>
              <w:t>（1）地表水环境</w:t>
            </w:r>
          </w:p>
          <w:p w14:paraId="67831682">
            <w:pPr>
              <w:spacing w:line="360" w:lineRule="auto"/>
              <w:ind w:firstLine="480" w:firstLineChars="200"/>
              <w:rPr>
                <w:color w:val="auto"/>
                <w:sz w:val="24"/>
                <w:szCs w:val="24"/>
              </w:rPr>
            </w:pPr>
            <w:r>
              <w:rPr>
                <w:rFonts w:hint="eastAsia"/>
                <w:color w:val="auto"/>
                <w:sz w:val="24"/>
                <w:szCs w:val="24"/>
                <w:highlight w:val="none"/>
              </w:rPr>
              <w:t>项目</w:t>
            </w:r>
            <w:r>
              <w:rPr>
                <w:rFonts w:hint="eastAsia"/>
                <w:color w:val="auto"/>
                <w:sz w:val="24"/>
                <w:szCs w:val="24"/>
                <w:highlight w:val="none"/>
                <w:lang w:eastAsia="zh-CN"/>
              </w:rPr>
              <w:t>生活污水</w:t>
            </w:r>
            <w:r>
              <w:rPr>
                <w:rFonts w:hint="eastAsia"/>
                <w:color w:val="auto"/>
                <w:sz w:val="24"/>
                <w:szCs w:val="24"/>
                <w:highlight w:val="none"/>
              </w:rPr>
              <w:t>经</w:t>
            </w:r>
            <w:r>
              <w:rPr>
                <w:rFonts w:hint="eastAsia"/>
                <w:color w:val="auto"/>
                <w:sz w:val="24"/>
                <w:szCs w:val="24"/>
                <w:highlight w:val="none"/>
                <w:lang w:eastAsia="zh-CN"/>
              </w:rPr>
              <w:t>厂区内化粪池</w:t>
            </w:r>
            <w:r>
              <w:rPr>
                <w:rFonts w:hint="eastAsia"/>
                <w:color w:val="auto"/>
                <w:sz w:val="24"/>
                <w:szCs w:val="24"/>
                <w:highlight w:val="none"/>
              </w:rPr>
              <w:t>处理达标后排入市政污水管网，纳入闽侯县竹岐乡污水处理厂深度处理。</w:t>
            </w:r>
            <w:r>
              <w:rPr>
                <w:rFonts w:hint="eastAsia"/>
                <w:color w:val="auto"/>
                <w:sz w:val="24"/>
                <w:szCs w:val="24"/>
              </w:rPr>
              <w:t>项目</w:t>
            </w:r>
            <w:r>
              <w:rPr>
                <w:rFonts w:hint="eastAsia"/>
                <w:color w:val="auto"/>
                <w:sz w:val="24"/>
                <w:szCs w:val="24"/>
                <w:lang w:eastAsia="zh-CN"/>
              </w:rPr>
              <w:t>生活污水不直接排入周边地表水体，对区域地表水环境影响较小</w:t>
            </w:r>
            <w:r>
              <w:rPr>
                <w:rFonts w:hint="eastAsia"/>
                <w:color w:val="auto"/>
                <w:sz w:val="24"/>
                <w:szCs w:val="24"/>
              </w:rPr>
              <w:t>，项目的建设符合水环境功能区划的要求。</w:t>
            </w:r>
          </w:p>
          <w:p w14:paraId="41F0DD9A">
            <w:pPr>
              <w:spacing w:line="360" w:lineRule="auto"/>
              <w:ind w:firstLine="480" w:firstLineChars="200"/>
              <w:rPr>
                <w:color w:val="auto"/>
                <w:sz w:val="24"/>
              </w:rPr>
            </w:pPr>
            <w:r>
              <w:rPr>
                <w:rFonts w:hint="eastAsia"/>
                <w:color w:val="auto"/>
                <w:sz w:val="24"/>
              </w:rPr>
              <w:t>（2）大气环境</w:t>
            </w:r>
          </w:p>
          <w:p w14:paraId="4611271A">
            <w:pPr>
              <w:spacing w:line="360" w:lineRule="auto"/>
              <w:ind w:firstLine="480" w:firstLineChars="200"/>
              <w:rPr>
                <w:rFonts w:hint="eastAsia"/>
                <w:color w:val="auto"/>
                <w:sz w:val="24"/>
                <w:highlight w:val="none"/>
                <w:lang w:eastAsia="zh-CN"/>
              </w:rPr>
            </w:pPr>
            <w:r>
              <w:rPr>
                <w:rFonts w:hint="eastAsia"/>
                <w:color w:val="auto"/>
                <w:sz w:val="24"/>
              </w:rPr>
              <w:t>项目区域环境空气质量符合</w:t>
            </w:r>
            <w:r>
              <w:rPr>
                <w:rFonts w:hint="eastAsia"/>
                <w:color w:val="auto"/>
                <w:sz w:val="24"/>
                <w:lang w:eastAsia="zh-CN"/>
              </w:rPr>
              <w:t>《环境空气质量标准》（GB3095-2026）</w:t>
            </w:r>
            <w:r>
              <w:rPr>
                <w:rFonts w:hint="eastAsia" w:hAnsi="Times New Roman" w:cs="Times New Roman"/>
                <w:color w:val="auto"/>
                <w:sz w:val="24"/>
                <w:szCs w:val="20"/>
                <w:lang w:eastAsia="zh-CN"/>
              </w:rPr>
              <w:t>表</w:t>
            </w:r>
            <w:r>
              <w:rPr>
                <w:rFonts w:hint="eastAsia" w:hAnsi="Times New Roman" w:cs="Times New Roman"/>
                <w:color w:val="auto"/>
                <w:sz w:val="24"/>
                <w:szCs w:val="20"/>
                <w:lang w:val="en-US" w:eastAsia="zh-CN"/>
              </w:rPr>
              <w:t>1</w:t>
            </w:r>
            <w:r>
              <w:rPr>
                <w:rFonts w:hint="eastAsia" w:hAnsi="Times New Roman" w:cs="Times New Roman"/>
                <w:color w:val="auto"/>
                <w:sz w:val="24"/>
                <w:szCs w:val="20"/>
              </w:rPr>
              <w:t>中</w:t>
            </w:r>
            <w:r>
              <w:rPr>
                <w:rFonts w:hint="eastAsia" w:hAnsi="Times New Roman" w:cs="Times New Roman"/>
                <w:color w:val="auto"/>
                <w:sz w:val="24"/>
                <w:szCs w:val="20"/>
                <w:lang w:eastAsia="zh-CN"/>
              </w:rPr>
              <w:t>“过渡阶段浓度限值”</w:t>
            </w:r>
            <w:r>
              <w:rPr>
                <w:rFonts w:hint="eastAsia" w:hAnsi="Times New Roman" w:cs="Times New Roman"/>
                <w:color w:val="auto"/>
                <w:sz w:val="24"/>
                <w:szCs w:val="20"/>
              </w:rPr>
              <w:t>二级标准</w:t>
            </w:r>
            <w:r>
              <w:rPr>
                <w:rFonts w:hint="eastAsia"/>
                <w:color w:val="auto"/>
                <w:sz w:val="24"/>
                <w:highlight w:val="none"/>
              </w:rPr>
              <w:t>，</w:t>
            </w:r>
            <w:r>
              <w:rPr>
                <w:rFonts w:hint="eastAsia"/>
                <w:color w:val="auto"/>
                <w:sz w:val="24"/>
                <w:highlight w:val="none"/>
                <w:lang w:eastAsia="zh-CN"/>
              </w:rPr>
              <w:t>项目从事发电机及发电机组制造</w:t>
            </w:r>
            <w:r>
              <w:rPr>
                <w:rFonts w:hint="eastAsia"/>
                <w:color w:val="auto"/>
                <w:sz w:val="24"/>
                <w:highlight w:val="none"/>
              </w:rPr>
              <w:t>，</w:t>
            </w:r>
            <w:r>
              <w:rPr>
                <w:rFonts w:hint="eastAsia"/>
                <w:color w:val="auto"/>
                <w:sz w:val="24"/>
                <w:highlight w:val="none"/>
                <w:lang w:eastAsia="zh-CN"/>
              </w:rPr>
              <w:t>主要产污环节为钣金过程中激光切割、抛丸、喷砂、打磨等工序产生的颗粒物；焊接工序产生的焊接烟尘；电气测试工序产生颗粒物、二氧化硫、氮氧化物。</w:t>
            </w:r>
          </w:p>
          <w:p w14:paraId="562BF23F">
            <w:pPr>
              <w:spacing w:line="360" w:lineRule="auto"/>
              <w:ind w:firstLine="480" w:firstLineChars="200"/>
              <w:rPr>
                <w:color w:val="auto"/>
                <w:sz w:val="24"/>
              </w:rPr>
            </w:pPr>
            <w:r>
              <w:rPr>
                <w:rFonts w:hint="eastAsia"/>
                <w:color w:val="auto"/>
                <w:sz w:val="24"/>
                <w:highlight w:val="none"/>
                <w:lang w:eastAsia="zh-CN"/>
              </w:rPr>
              <w:t>项目切割粉尘经收集后通过1套布袋除尘治理后，引至1根</w:t>
            </w:r>
            <w:r>
              <w:rPr>
                <w:rFonts w:hint="eastAsia"/>
                <w:color w:val="auto"/>
                <w:sz w:val="24"/>
                <w:highlight w:val="none"/>
                <w:lang w:val="en-US" w:eastAsia="zh-CN"/>
              </w:rPr>
              <w:t>2</w:t>
            </w:r>
            <w:r>
              <w:rPr>
                <w:rFonts w:hint="eastAsia"/>
                <w:color w:val="auto"/>
                <w:sz w:val="24"/>
                <w:highlight w:val="none"/>
                <w:lang w:eastAsia="zh-CN"/>
              </w:rPr>
              <w:t>5m高排气筒排放（DA001）；项目抛丸、喷砂粉尘废气经收集后通过1套布袋除尘治理后，引至1根</w:t>
            </w:r>
            <w:r>
              <w:rPr>
                <w:rFonts w:hint="eastAsia"/>
                <w:color w:val="auto"/>
                <w:sz w:val="24"/>
                <w:highlight w:val="none"/>
                <w:lang w:val="en-US" w:eastAsia="zh-CN"/>
              </w:rPr>
              <w:t>2</w:t>
            </w:r>
            <w:r>
              <w:rPr>
                <w:rFonts w:hint="eastAsia"/>
                <w:color w:val="auto"/>
                <w:sz w:val="24"/>
                <w:highlight w:val="none"/>
                <w:lang w:eastAsia="zh-CN"/>
              </w:rPr>
              <w:t>5m高排气筒排放（DA002）；项目打磨粉尘废气经收集后通过1套布袋除尘治理后，引至1根</w:t>
            </w:r>
            <w:r>
              <w:rPr>
                <w:rFonts w:hint="eastAsia"/>
                <w:color w:val="auto"/>
                <w:sz w:val="24"/>
                <w:highlight w:val="none"/>
                <w:lang w:val="en-US" w:eastAsia="zh-CN"/>
              </w:rPr>
              <w:t>2</w:t>
            </w:r>
            <w:r>
              <w:rPr>
                <w:rFonts w:hint="eastAsia"/>
                <w:color w:val="auto"/>
                <w:sz w:val="24"/>
                <w:highlight w:val="none"/>
                <w:lang w:eastAsia="zh-CN"/>
              </w:rPr>
              <w:t>5m高排气筒排放（DA003）；</w:t>
            </w:r>
            <w:r>
              <w:rPr>
                <w:rFonts w:hint="eastAsia"/>
                <w:color w:val="auto"/>
                <w:sz w:val="24"/>
                <w:highlight w:val="none"/>
                <w:lang w:val="en-US" w:eastAsia="zh-CN"/>
              </w:rPr>
              <w:t>发电机测试废气经黑烟净化器+SCR脱硝反应器处理后通过2</w:t>
            </w:r>
            <w:r>
              <w:rPr>
                <w:rFonts w:hint="eastAsia"/>
                <w:color w:val="auto"/>
                <w:sz w:val="24"/>
                <w:highlight w:val="none"/>
                <w:lang w:eastAsia="zh-CN"/>
              </w:rPr>
              <w:t>5m排气筒（DA00</w:t>
            </w:r>
            <w:r>
              <w:rPr>
                <w:rFonts w:hint="eastAsia"/>
                <w:color w:val="auto"/>
                <w:sz w:val="24"/>
                <w:highlight w:val="none"/>
                <w:lang w:val="en-US" w:eastAsia="zh-CN"/>
              </w:rPr>
              <w:t>4</w:t>
            </w:r>
            <w:r>
              <w:rPr>
                <w:rFonts w:hint="eastAsia"/>
                <w:color w:val="auto"/>
                <w:sz w:val="24"/>
                <w:highlight w:val="none"/>
                <w:lang w:eastAsia="zh-CN"/>
              </w:rPr>
              <w:t>）</w:t>
            </w:r>
            <w:r>
              <w:rPr>
                <w:rFonts w:hint="eastAsia"/>
                <w:color w:val="auto"/>
                <w:sz w:val="24"/>
                <w:highlight w:val="none"/>
                <w:lang w:val="en-US" w:eastAsia="zh-CN"/>
              </w:rPr>
              <w:t>；焊接烟尘采用移动式焊烟除尘设施处理，以无组织形式排放</w:t>
            </w:r>
            <w:r>
              <w:rPr>
                <w:rFonts w:hint="eastAsia"/>
                <w:color w:val="auto"/>
                <w:sz w:val="24"/>
                <w:highlight w:val="none"/>
                <w:lang w:eastAsia="zh-CN"/>
              </w:rPr>
              <w:t>。项目废气经处理后</w:t>
            </w:r>
            <w:r>
              <w:rPr>
                <w:rFonts w:hint="eastAsia"/>
                <w:color w:val="auto"/>
                <w:sz w:val="24"/>
                <w:highlight w:val="none"/>
              </w:rPr>
              <w:t>对周边</w:t>
            </w:r>
            <w:r>
              <w:rPr>
                <w:rFonts w:hint="eastAsia"/>
                <w:color w:val="auto"/>
                <w:sz w:val="24"/>
                <w:highlight w:val="none"/>
                <w:lang w:eastAsia="zh-CN"/>
              </w:rPr>
              <w:t>大气</w:t>
            </w:r>
            <w:r>
              <w:rPr>
                <w:rFonts w:hint="eastAsia"/>
                <w:color w:val="auto"/>
                <w:sz w:val="24"/>
                <w:highlight w:val="none"/>
              </w:rPr>
              <w:t>环境影响较小，</w:t>
            </w:r>
            <w:r>
              <w:rPr>
                <w:rFonts w:hint="eastAsia"/>
                <w:color w:val="auto"/>
                <w:sz w:val="24"/>
              </w:rPr>
              <w:t>项目的建设符合大气环境功能区划的要求。</w:t>
            </w:r>
          </w:p>
          <w:p w14:paraId="7C7CAC8E">
            <w:pPr>
              <w:spacing w:line="360" w:lineRule="auto"/>
              <w:ind w:firstLine="480" w:firstLineChars="200"/>
              <w:rPr>
                <w:color w:val="auto"/>
                <w:sz w:val="24"/>
              </w:rPr>
            </w:pPr>
            <w:r>
              <w:rPr>
                <w:rFonts w:hint="eastAsia"/>
                <w:color w:val="auto"/>
                <w:sz w:val="24"/>
              </w:rPr>
              <w:t>（3）声环境</w:t>
            </w:r>
          </w:p>
          <w:p w14:paraId="2EDE2516">
            <w:pPr>
              <w:spacing w:line="360" w:lineRule="auto"/>
              <w:ind w:firstLine="480" w:firstLineChars="200"/>
              <w:rPr>
                <w:color w:val="auto"/>
                <w:sz w:val="24"/>
              </w:rPr>
            </w:pPr>
            <w:r>
              <w:rPr>
                <w:rFonts w:hint="eastAsia" w:hAnsi="Times New Roman" w:cs="Times New Roman"/>
                <w:bCs/>
                <w:color w:val="auto"/>
                <w:sz w:val="24"/>
                <w:lang w:eastAsia="zh-CN"/>
              </w:rPr>
              <w:t>根据</w:t>
            </w:r>
            <w:r>
              <w:rPr>
                <w:rFonts w:hAnsi="Times New Roman" w:cs="Times New Roman"/>
                <w:bCs/>
                <w:color w:val="auto"/>
                <w:sz w:val="24"/>
              </w:rPr>
              <w:t>《</w:t>
            </w:r>
            <w:r>
              <w:rPr>
                <w:rFonts w:hint="eastAsia" w:hAnsi="Times New Roman" w:cs="Times New Roman"/>
                <w:bCs/>
                <w:color w:val="auto"/>
                <w:sz w:val="24"/>
              </w:rPr>
              <w:t>竹岐乡镇区声环境功能区划分图</w:t>
            </w:r>
            <w:r>
              <w:rPr>
                <w:rFonts w:hint="eastAsia" w:hAnsi="Times New Roman" w:cs="Times New Roman"/>
                <w:bCs/>
                <w:color w:val="auto"/>
                <w:sz w:val="24"/>
                <w:lang w:eastAsia="zh-CN"/>
              </w:rPr>
              <w:t>（</w:t>
            </w:r>
            <w:r>
              <w:rPr>
                <w:rFonts w:hint="eastAsia" w:hAnsi="Times New Roman" w:cs="Times New Roman"/>
                <w:bCs/>
                <w:color w:val="auto"/>
                <w:sz w:val="24"/>
              </w:rPr>
              <w:t>2011-2030</w:t>
            </w:r>
            <w:r>
              <w:rPr>
                <w:rFonts w:hint="eastAsia" w:hAnsi="Times New Roman" w:cs="Times New Roman"/>
                <w:bCs/>
                <w:color w:val="auto"/>
                <w:sz w:val="24"/>
                <w:lang w:eastAsia="zh-CN"/>
              </w:rPr>
              <w:t>）</w:t>
            </w:r>
            <w:r>
              <w:rPr>
                <w:rFonts w:hAnsi="Times New Roman" w:cs="Times New Roman"/>
                <w:bCs/>
                <w:color w:val="auto"/>
                <w:sz w:val="24"/>
              </w:rPr>
              <w:t>》</w:t>
            </w:r>
            <w:r>
              <w:rPr>
                <w:rFonts w:hint="eastAsia" w:hAnsi="Times New Roman" w:cs="Times New Roman"/>
                <w:bCs/>
                <w:color w:val="auto"/>
                <w:sz w:val="24"/>
                <w:lang w:eastAsia="zh-CN"/>
              </w:rPr>
              <w:t>，</w:t>
            </w:r>
            <w:r>
              <w:rPr>
                <w:rFonts w:hint="eastAsia"/>
                <w:color w:val="auto"/>
                <w:sz w:val="24"/>
              </w:rPr>
              <w:t>项目区域声环境现状符合声环境功能区划要求的《声环境质量标准》（GB3096-2008）</w:t>
            </w:r>
            <w:r>
              <w:rPr>
                <w:rFonts w:hint="eastAsia"/>
                <w:color w:val="auto"/>
                <w:sz w:val="24"/>
                <w:lang w:val="en-US" w:eastAsia="zh-CN"/>
              </w:rPr>
              <w:t>3</w:t>
            </w:r>
            <w:r>
              <w:rPr>
                <w:rFonts w:hint="eastAsia"/>
                <w:color w:val="auto"/>
                <w:sz w:val="24"/>
              </w:rPr>
              <w:t>类区标准，项目运营噪声经隔声、距离衰减后厂界噪声可满足相应的厂界标准，对周围声环境贡献较小，可满足《工业企业厂界环境噪声排放标准》（GB12348-2008）</w:t>
            </w:r>
            <w:r>
              <w:rPr>
                <w:rFonts w:hint="eastAsia"/>
                <w:color w:val="auto"/>
                <w:sz w:val="24"/>
                <w:lang w:val="en-US" w:eastAsia="zh-CN"/>
              </w:rPr>
              <w:t>3</w:t>
            </w:r>
            <w:r>
              <w:rPr>
                <w:rFonts w:hint="eastAsia"/>
                <w:color w:val="auto"/>
                <w:sz w:val="24"/>
              </w:rPr>
              <w:t>类标准，项目的建设符合声环境功能区划的要求。</w:t>
            </w:r>
          </w:p>
          <w:p w14:paraId="660D9134">
            <w:pPr>
              <w:spacing w:line="360" w:lineRule="auto"/>
              <w:ind w:firstLine="480" w:firstLineChars="200"/>
              <w:rPr>
                <w:color w:val="auto"/>
                <w:sz w:val="24"/>
              </w:rPr>
            </w:pPr>
            <w:r>
              <w:rPr>
                <w:rFonts w:hint="eastAsia"/>
                <w:color w:val="auto"/>
                <w:sz w:val="24"/>
              </w:rPr>
              <w:t>综上所述，从环境功能区划符合性方面分析，本项目在采取有效的治理措施并保证各项污染物达标排放的前提下，选址基本可行。</w:t>
            </w:r>
          </w:p>
          <w:p w14:paraId="6500AB11">
            <w:pPr>
              <w:pStyle w:val="5"/>
              <w:ind w:firstLine="241"/>
              <w:rPr>
                <w:rFonts w:hint="default"/>
                <w:bCs/>
                <w:color w:val="auto"/>
              </w:rPr>
            </w:pPr>
            <w:r>
              <w:rPr>
                <w:rFonts w:hint="default"/>
                <w:bCs/>
                <w:color w:val="auto"/>
              </w:rPr>
              <w:t>1.</w:t>
            </w:r>
            <w:r>
              <w:rPr>
                <w:rFonts w:hint="eastAsia"/>
                <w:bCs/>
                <w:color w:val="auto"/>
                <w:lang w:val="en-US" w:eastAsia="zh-CN"/>
              </w:rPr>
              <w:t>5</w:t>
            </w:r>
            <w:r>
              <w:rPr>
                <w:rFonts w:hint="default"/>
                <w:bCs/>
                <w:color w:val="auto"/>
              </w:rPr>
              <w:t>.</w:t>
            </w:r>
            <w:r>
              <w:rPr>
                <w:bCs/>
                <w:color w:val="auto"/>
              </w:rPr>
              <w:t>2周边环境协调性</w:t>
            </w:r>
            <w:r>
              <w:rPr>
                <w:rFonts w:hint="default"/>
                <w:bCs/>
                <w:color w:val="auto"/>
              </w:rPr>
              <w:t>分析</w:t>
            </w:r>
          </w:p>
          <w:p w14:paraId="312DF204">
            <w:pPr>
              <w:autoSpaceDE w:val="0"/>
              <w:autoSpaceDN w:val="0"/>
              <w:adjustRightInd w:val="0"/>
              <w:snapToGrid w:val="0"/>
              <w:spacing w:line="360" w:lineRule="auto"/>
              <w:ind w:firstLine="480" w:firstLineChars="200"/>
              <w:jc w:val="left"/>
              <w:rPr>
                <w:color w:val="auto"/>
                <w:kern w:val="0"/>
                <w:sz w:val="24"/>
              </w:rPr>
            </w:pPr>
            <w:r>
              <w:rPr>
                <w:rFonts w:hint="eastAsia"/>
                <w:color w:val="auto"/>
                <w:kern w:val="0"/>
                <w:sz w:val="24"/>
              </w:rPr>
              <w:t>根据现场踏勘，项目位于福州市</w:t>
            </w:r>
            <w:r>
              <w:rPr>
                <w:rFonts w:hint="eastAsia"/>
                <w:color w:val="auto"/>
                <w:sz w:val="24"/>
              </w:rPr>
              <w:t>闽侯县竹岐乡</w:t>
            </w:r>
            <w:r>
              <w:rPr>
                <w:rFonts w:hint="eastAsia"/>
                <w:color w:val="auto"/>
                <w:kern w:val="0"/>
                <w:sz w:val="24"/>
              </w:rPr>
              <w:t>，</w:t>
            </w:r>
            <w:r>
              <w:rPr>
                <w:rFonts w:hint="default" w:ascii="Times New Roman" w:hAnsi="Times New Roman" w:eastAsia="宋体" w:cs="Times New Roman"/>
                <w:color w:val="auto"/>
                <w:sz w:val="24"/>
                <w:szCs w:val="24"/>
                <w:highlight w:val="none"/>
              </w:rPr>
              <w:t>项目周围无生活饮用水水源保护区、无重大文物古迹、无国家重点保护的</w:t>
            </w:r>
            <w:r>
              <w:rPr>
                <w:rFonts w:hint="eastAsia" w:cs="Times New Roman"/>
                <w:color w:val="auto"/>
                <w:sz w:val="24"/>
                <w:szCs w:val="24"/>
                <w:highlight w:val="none"/>
                <w:lang w:eastAsia="zh-CN"/>
              </w:rPr>
              <w:t>珍稀动物</w:t>
            </w:r>
            <w:r>
              <w:rPr>
                <w:rFonts w:hint="default" w:ascii="Times New Roman" w:hAnsi="Times New Roman" w:eastAsia="宋体" w:cs="Times New Roman"/>
                <w:color w:val="auto"/>
                <w:sz w:val="24"/>
                <w:szCs w:val="24"/>
                <w:highlight w:val="none"/>
              </w:rPr>
              <w:t>和濒危植物。</w:t>
            </w:r>
            <w:r>
              <w:rPr>
                <w:rFonts w:hint="eastAsia" w:cs="Times New Roman"/>
                <w:color w:val="auto"/>
                <w:sz w:val="24"/>
                <w:szCs w:val="24"/>
                <w:highlight w:val="none"/>
                <w:lang w:eastAsia="zh-CN"/>
              </w:rPr>
              <w:t>项目周边距离最近的敏感目标为东北侧</w:t>
            </w:r>
            <w:r>
              <w:rPr>
                <w:rFonts w:hint="eastAsia" w:cs="Times New Roman"/>
                <w:color w:val="auto"/>
                <w:sz w:val="24"/>
                <w:szCs w:val="24"/>
                <w:highlight w:val="none"/>
                <w:lang w:val="en-US" w:eastAsia="zh-CN"/>
              </w:rPr>
              <w:t>90m的</w:t>
            </w:r>
            <w:r>
              <w:rPr>
                <w:rFonts w:hint="eastAsia" w:cs="Times New Roman"/>
                <w:color w:val="auto"/>
                <w:sz w:val="24"/>
                <w:szCs w:val="24"/>
                <w:highlight w:val="none"/>
                <w:lang w:eastAsia="zh-CN"/>
              </w:rPr>
              <w:t>闽侯县竹岐高洲幼儿园，以及东北侧</w:t>
            </w:r>
            <w:r>
              <w:rPr>
                <w:rFonts w:hint="eastAsia" w:cs="Times New Roman"/>
                <w:color w:val="auto"/>
                <w:sz w:val="24"/>
                <w:szCs w:val="24"/>
                <w:highlight w:val="none"/>
                <w:lang w:val="en-US" w:eastAsia="zh-CN"/>
              </w:rPr>
              <w:t>94m的</w:t>
            </w:r>
            <w:r>
              <w:rPr>
                <w:rFonts w:hint="eastAsia" w:cs="Times New Roman"/>
                <w:color w:val="auto"/>
                <w:sz w:val="24"/>
                <w:szCs w:val="24"/>
                <w:highlight w:val="none"/>
                <w:lang w:eastAsia="zh-CN"/>
              </w:rPr>
              <w:t>春风及第住宅区。</w:t>
            </w:r>
            <w:r>
              <w:rPr>
                <w:rFonts w:hint="default" w:ascii="Times New Roman" w:hAnsi="Times New Roman" w:eastAsia="宋体" w:cs="Times New Roman"/>
                <w:color w:val="auto"/>
                <w:sz w:val="24"/>
                <w:szCs w:val="24"/>
                <w:highlight w:val="none"/>
              </w:rPr>
              <w:t>项目在生产过</w:t>
            </w:r>
            <w:r>
              <w:rPr>
                <w:rFonts w:hint="eastAsia" w:cs="Times New Roman"/>
                <w:color w:val="auto"/>
                <w:sz w:val="24"/>
                <w:szCs w:val="24"/>
                <w:highlight w:val="none"/>
                <w:lang w:eastAsia="zh-CN"/>
              </w:rPr>
              <w:t>程中</w:t>
            </w:r>
            <w:r>
              <w:rPr>
                <w:rFonts w:hint="default" w:ascii="Times New Roman" w:hAnsi="Times New Roman" w:eastAsia="宋体" w:cs="Times New Roman"/>
                <w:color w:val="auto"/>
                <w:sz w:val="24"/>
                <w:szCs w:val="24"/>
                <w:highlight w:val="none"/>
              </w:rPr>
              <w:t>产生的污染物经处理后可实现达标排放，对环境影响较小，项目与周围环境是相容且相互适应的。建设单位在确实落实本评价提出的各项污染治理措施的前提下，可实现污染物达标排放，且各污染物排放源强较低，运营期产生的</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三废</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及噪声对周边环境影响不明显，因此，项目建设与周边环境基本相容</w:t>
            </w:r>
            <w:r>
              <w:rPr>
                <w:rFonts w:hint="eastAsia"/>
                <w:color w:val="auto"/>
                <w:kern w:val="0"/>
                <w:sz w:val="24"/>
              </w:rPr>
              <w:t>。</w:t>
            </w:r>
          </w:p>
        </w:tc>
      </w:tr>
    </w:tbl>
    <w:p w14:paraId="6551270A">
      <w:pPr>
        <w:spacing w:line="360" w:lineRule="auto"/>
        <w:rPr>
          <w:rFonts w:eastAsia="黑体"/>
          <w:color w:val="auto"/>
          <w:sz w:val="30"/>
        </w:rPr>
        <w:sectPr>
          <w:pgSz w:w="11906" w:h="16838"/>
          <w:pgMar w:top="1587" w:right="1531" w:bottom="1587" w:left="1531" w:header="851" w:footer="1077" w:gutter="0"/>
          <w:pgBorders>
            <w:top w:val="none" w:sz="0" w:space="0"/>
            <w:left w:val="none" w:sz="0" w:space="0"/>
            <w:bottom w:val="none" w:sz="0" w:space="0"/>
            <w:right w:val="none" w:sz="0" w:space="0"/>
          </w:pgBorders>
          <w:pgNumType w:fmt="decimal"/>
          <w:cols w:space="720" w:num="1"/>
          <w:docGrid w:linePitch="312" w:charSpace="0"/>
        </w:sectPr>
      </w:pPr>
    </w:p>
    <w:p w14:paraId="0B081D75">
      <w:pPr>
        <w:spacing w:line="360" w:lineRule="auto"/>
        <w:jc w:val="center"/>
        <w:outlineLvl w:val="0"/>
        <w:rPr>
          <w:b/>
          <w:bCs/>
          <w:color w:val="auto"/>
          <w:sz w:val="32"/>
          <w:szCs w:val="32"/>
        </w:rPr>
      </w:pPr>
      <w:bookmarkStart w:id="6" w:name="_Toc18159"/>
      <w:bookmarkStart w:id="7" w:name="_Toc4069"/>
      <w:r>
        <w:rPr>
          <w:rFonts w:hint="eastAsia"/>
          <w:b/>
          <w:bCs/>
          <w:color w:val="auto"/>
          <w:sz w:val="32"/>
          <w:szCs w:val="32"/>
        </w:rPr>
        <w:t>二、建设项目工程分析</w:t>
      </w:r>
      <w:bookmarkEnd w:id="6"/>
      <w:bookmarkEnd w:id="7"/>
    </w:p>
    <w:tbl>
      <w:tblPr>
        <w:tblStyle w:val="31"/>
        <w:tblW w:w="8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8030"/>
      </w:tblGrid>
      <w:tr w14:paraId="66CF5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9" w:type="dxa"/>
            <w:vAlign w:val="center"/>
          </w:tcPr>
          <w:p w14:paraId="6D942F88">
            <w:pPr>
              <w:pStyle w:val="27"/>
              <w:adjustRightInd w:val="0"/>
              <w:snapToGrid w:val="0"/>
              <w:spacing w:before="0" w:beforeAutospacing="0" w:after="0" w:afterAutospacing="0"/>
              <w:jc w:val="center"/>
              <w:rPr>
                <w:rFonts w:ascii="Times New Roman" w:hAnsi="Times New Roman"/>
                <w:color w:val="auto"/>
                <w:szCs w:val="24"/>
              </w:rPr>
            </w:pPr>
            <w:r>
              <w:rPr>
                <w:rFonts w:ascii="Times New Roman" w:hAnsi="Times New Roman"/>
                <w:color w:val="auto"/>
                <w:szCs w:val="24"/>
              </w:rPr>
              <w:t>建设内容</w:t>
            </w:r>
          </w:p>
        </w:tc>
        <w:tc>
          <w:tcPr>
            <w:tcW w:w="8030" w:type="dxa"/>
          </w:tcPr>
          <w:p w14:paraId="5A89D45E">
            <w:pPr>
              <w:pStyle w:val="4"/>
              <w:ind w:firstLine="120"/>
              <w:rPr>
                <w:rFonts w:hint="default"/>
                <w:color w:val="auto"/>
              </w:rPr>
            </w:pPr>
            <w:r>
              <w:rPr>
                <w:color w:val="auto"/>
              </w:rPr>
              <w:t>2.1项目由来</w:t>
            </w:r>
          </w:p>
          <w:p w14:paraId="137F2630">
            <w:pPr>
              <w:spacing w:line="360" w:lineRule="auto"/>
              <w:ind w:firstLine="480" w:firstLineChars="200"/>
              <w:rPr>
                <w:rFonts w:hint="default" w:eastAsia="宋体"/>
                <w:color w:val="auto"/>
                <w:sz w:val="24"/>
                <w:highlight w:val="none"/>
                <w:shd w:val="clear" w:color="auto" w:fill="FFFFFF"/>
                <w:lang w:val="en-US" w:eastAsia="zh-CN"/>
              </w:rPr>
            </w:pPr>
            <w:r>
              <w:rPr>
                <w:rFonts w:hint="eastAsia"/>
                <w:color w:val="auto"/>
                <w:sz w:val="24"/>
                <w:shd w:val="clear" w:color="auto" w:fill="FFFFFF"/>
              </w:rPr>
              <w:t>泰德能源科技</w:t>
            </w:r>
            <w:r>
              <w:rPr>
                <w:rFonts w:hint="eastAsia"/>
                <w:color w:val="auto"/>
                <w:sz w:val="24"/>
                <w:shd w:val="clear" w:color="auto" w:fill="FFFFFF"/>
                <w:lang w:eastAsia="zh-CN"/>
              </w:rPr>
              <w:t>（</w:t>
            </w:r>
            <w:r>
              <w:rPr>
                <w:rFonts w:hint="eastAsia"/>
                <w:color w:val="auto"/>
                <w:sz w:val="24"/>
                <w:shd w:val="clear" w:color="auto" w:fill="FFFFFF"/>
              </w:rPr>
              <w:t>福建</w:t>
            </w:r>
            <w:r>
              <w:rPr>
                <w:rFonts w:hint="eastAsia"/>
                <w:color w:val="auto"/>
                <w:sz w:val="24"/>
                <w:shd w:val="clear" w:color="auto" w:fill="FFFFFF"/>
                <w:lang w:eastAsia="zh-CN"/>
              </w:rPr>
              <w:t>）</w:t>
            </w:r>
            <w:r>
              <w:rPr>
                <w:rFonts w:hint="eastAsia"/>
                <w:color w:val="auto"/>
                <w:sz w:val="24"/>
                <w:shd w:val="clear" w:color="auto" w:fill="FFFFFF"/>
              </w:rPr>
              <w:t>有限公司位于</w:t>
            </w:r>
            <w:r>
              <w:rPr>
                <w:rFonts w:hint="eastAsia"/>
                <w:color w:val="auto"/>
                <w:sz w:val="24"/>
              </w:rPr>
              <w:t>福建省福州市闽侯县竹岐乡</w:t>
            </w:r>
            <w:r>
              <w:rPr>
                <w:rFonts w:hint="eastAsia"/>
                <w:color w:val="auto"/>
                <w:sz w:val="24"/>
                <w:shd w:val="clear" w:color="auto" w:fill="FFFFFF"/>
              </w:rPr>
              <w:t>。建设单位于20</w:t>
            </w:r>
            <w:r>
              <w:rPr>
                <w:rFonts w:hint="eastAsia"/>
                <w:color w:val="auto"/>
                <w:sz w:val="24"/>
                <w:shd w:val="clear" w:color="auto" w:fill="FFFFFF"/>
                <w:lang w:val="en-US" w:eastAsia="zh-CN"/>
              </w:rPr>
              <w:t>25</w:t>
            </w:r>
            <w:r>
              <w:rPr>
                <w:rFonts w:hint="eastAsia"/>
                <w:color w:val="auto"/>
                <w:sz w:val="24"/>
                <w:shd w:val="clear" w:color="auto" w:fill="FFFFFF"/>
              </w:rPr>
              <w:t>年</w:t>
            </w:r>
            <w:r>
              <w:rPr>
                <w:rFonts w:hint="eastAsia"/>
                <w:color w:val="auto"/>
                <w:sz w:val="24"/>
                <w:shd w:val="clear" w:color="auto" w:fill="FFFFFF"/>
                <w:lang w:val="en-US" w:eastAsia="zh-CN"/>
              </w:rPr>
              <w:t>7</w:t>
            </w:r>
            <w:r>
              <w:rPr>
                <w:rFonts w:hint="eastAsia"/>
                <w:color w:val="auto"/>
                <w:sz w:val="24"/>
                <w:shd w:val="clear" w:color="auto" w:fill="FFFFFF"/>
              </w:rPr>
              <w:t>月</w:t>
            </w:r>
            <w:r>
              <w:rPr>
                <w:rFonts w:hint="eastAsia"/>
                <w:color w:val="auto"/>
                <w:sz w:val="24"/>
                <w:shd w:val="clear" w:color="auto" w:fill="FFFFFF"/>
                <w:lang w:eastAsia="zh-CN"/>
              </w:rPr>
              <w:t>购置位于闽侯县竹岐乡春风村的工业用地，用于建设</w:t>
            </w:r>
            <w:r>
              <w:rPr>
                <w:rFonts w:hint="eastAsia"/>
                <w:color w:val="auto"/>
                <w:sz w:val="24"/>
                <w:shd w:val="clear" w:color="auto" w:fill="FFFFFF"/>
              </w:rPr>
              <w:t>泰德能源科技</w:t>
            </w:r>
            <w:r>
              <w:rPr>
                <w:rFonts w:hint="eastAsia"/>
                <w:color w:val="auto"/>
                <w:sz w:val="24"/>
                <w:shd w:val="clear" w:color="auto" w:fill="FFFFFF"/>
                <w:lang w:eastAsia="zh-CN"/>
              </w:rPr>
              <w:t>（福建）</w:t>
            </w:r>
            <w:r>
              <w:rPr>
                <w:rFonts w:hint="eastAsia"/>
                <w:color w:val="auto"/>
                <w:sz w:val="24"/>
                <w:shd w:val="clear" w:color="auto" w:fill="FFFFFF"/>
              </w:rPr>
              <w:t>有限公司发电设备生产基地项目</w:t>
            </w:r>
            <w:r>
              <w:rPr>
                <w:rFonts w:hint="eastAsia"/>
                <w:color w:val="auto"/>
                <w:sz w:val="24"/>
                <w:shd w:val="clear" w:color="auto" w:fill="FFFFFF"/>
                <w:lang w:eastAsia="zh-CN"/>
              </w:rPr>
              <w:t>。项目拟投资</w:t>
            </w:r>
            <w:r>
              <w:rPr>
                <w:rFonts w:hint="eastAsia"/>
                <w:color w:val="auto"/>
                <w:sz w:val="24"/>
                <w:shd w:val="clear" w:color="auto" w:fill="FFFFFF"/>
                <w:lang w:val="en-US" w:eastAsia="zh-CN"/>
              </w:rPr>
              <w:t>100000万元，占地面积48655m</w:t>
            </w:r>
            <w:r>
              <w:rPr>
                <w:rFonts w:hint="eastAsia"/>
                <w:color w:val="auto"/>
                <w:sz w:val="24"/>
                <w:shd w:val="clear" w:color="auto" w:fill="FFFFFF"/>
                <w:vertAlign w:val="superscript"/>
                <w:lang w:val="en-US" w:eastAsia="zh-CN"/>
              </w:rPr>
              <w:t>2</w:t>
            </w:r>
            <w:r>
              <w:rPr>
                <w:rFonts w:hint="eastAsia"/>
                <w:color w:val="auto"/>
                <w:sz w:val="24"/>
                <w:shd w:val="clear" w:color="auto" w:fill="FFFFFF"/>
                <w:lang w:val="en-US" w:eastAsia="zh-CN"/>
              </w:rPr>
              <w:t>，总建筑面积78622.85m</w:t>
            </w:r>
            <w:r>
              <w:rPr>
                <w:rFonts w:hint="eastAsia"/>
                <w:color w:val="auto"/>
                <w:sz w:val="24"/>
                <w:shd w:val="clear" w:color="auto" w:fill="FFFFFF"/>
                <w:vertAlign w:val="superscript"/>
                <w:lang w:val="en-US" w:eastAsia="zh-CN"/>
              </w:rPr>
              <w:t>2</w:t>
            </w:r>
            <w:r>
              <w:rPr>
                <w:rFonts w:hint="eastAsia"/>
                <w:color w:val="auto"/>
                <w:sz w:val="24"/>
                <w:shd w:val="clear" w:color="auto" w:fill="FFFFFF"/>
                <w:lang w:val="en-US" w:eastAsia="zh-CN"/>
              </w:rPr>
              <w:t>，计入容积率的建筑面积92537.85m</w:t>
            </w:r>
            <w:r>
              <w:rPr>
                <w:rFonts w:hint="eastAsia"/>
                <w:color w:val="auto"/>
                <w:sz w:val="24"/>
                <w:shd w:val="clear" w:color="auto" w:fill="FFFFFF"/>
                <w:vertAlign w:val="superscript"/>
                <w:lang w:val="en-US" w:eastAsia="zh-CN"/>
              </w:rPr>
              <w:t>2</w:t>
            </w:r>
            <w:r>
              <w:rPr>
                <w:rFonts w:hint="eastAsia"/>
                <w:color w:val="auto"/>
                <w:sz w:val="24"/>
                <w:shd w:val="clear" w:color="auto" w:fill="FFFFFF"/>
                <w:lang w:val="en-US" w:eastAsia="zh-CN"/>
              </w:rPr>
              <w:t>，其中一栋十层研发大楼（1#厂房）建筑面积12147.21m</w:t>
            </w:r>
            <w:r>
              <w:rPr>
                <w:rFonts w:hint="eastAsia"/>
                <w:color w:val="auto"/>
                <w:sz w:val="24"/>
                <w:shd w:val="clear" w:color="auto" w:fill="FFFFFF"/>
                <w:vertAlign w:val="superscript"/>
                <w:lang w:val="en-US" w:eastAsia="zh-CN"/>
              </w:rPr>
              <w:t>2</w:t>
            </w:r>
            <w:r>
              <w:rPr>
                <w:rFonts w:hint="eastAsia"/>
                <w:color w:val="auto"/>
                <w:sz w:val="24"/>
                <w:shd w:val="clear" w:color="auto" w:fill="FFFFFF"/>
                <w:lang w:val="en-US" w:eastAsia="zh-CN"/>
              </w:rPr>
              <w:t>，一栋二层厂房（2#厂房）建筑面积78099.39m</w:t>
            </w:r>
            <w:r>
              <w:rPr>
                <w:rFonts w:hint="eastAsia"/>
                <w:color w:val="auto"/>
                <w:sz w:val="24"/>
                <w:shd w:val="clear" w:color="auto" w:fill="FFFFFF"/>
                <w:vertAlign w:val="superscript"/>
                <w:lang w:val="en-US" w:eastAsia="zh-CN"/>
              </w:rPr>
              <w:t>2</w:t>
            </w:r>
            <w:r>
              <w:rPr>
                <w:rFonts w:hint="eastAsia"/>
                <w:color w:val="auto"/>
                <w:sz w:val="24"/>
                <w:shd w:val="clear" w:color="auto" w:fill="FFFFFF"/>
                <w:lang w:val="en-US" w:eastAsia="zh-CN"/>
              </w:rPr>
              <w:t>，一栋四层厂房（3#厂房）建筑面积2235.84m</w:t>
            </w:r>
            <w:r>
              <w:rPr>
                <w:rFonts w:hint="eastAsia"/>
                <w:color w:val="auto"/>
                <w:sz w:val="24"/>
                <w:shd w:val="clear" w:color="auto" w:fill="FFFFFF"/>
                <w:vertAlign w:val="superscript"/>
                <w:lang w:val="en-US" w:eastAsia="zh-CN"/>
              </w:rPr>
              <w:t>2</w:t>
            </w:r>
            <w:r>
              <w:rPr>
                <w:rFonts w:hint="eastAsia"/>
                <w:color w:val="auto"/>
                <w:sz w:val="24"/>
                <w:shd w:val="clear" w:color="auto" w:fill="FFFFFF"/>
                <w:lang w:val="en-US" w:eastAsia="zh-CN"/>
              </w:rPr>
              <w:t>，购进先进设备建设4条自动化生产线，年产值达10亿元人民币。拟建项目规模为建设发电设备生产基地，年组装及加工发电机组设备6000台套（其中储能柜500台）</w:t>
            </w:r>
            <w:r>
              <w:rPr>
                <w:rFonts w:hint="eastAsia"/>
                <w:color w:val="auto"/>
                <w:sz w:val="24"/>
                <w:highlight w:val="none"/>
                <w:shd w:val="clear" w:color="auto" w:fill="FFFFFF"/>
                <w:lang w:val="en-US" w:eastAsia="zh-CN"/>
              </w:rPr>
              <w:t>。</w:t>
            </w:r>
          </w:p>
          <w:p w14:paraId="3B476298">
            <w:pPr>
              <w:adjustRightInd w:val="0"/>
              <w:snapToGrid w:val="0"/>
              <w:spacing w:line="360" w:lineRule="auto"/>
              <w:ind w:firstLine="480" w:firstLineChars="200"/>
              <w:rPr>
                <w:color w:val="auto"/>
                <w:sz w:val="24"/>
              </w:rPr>
            </w:pPr>
            <w:r>
              <w:rPr>
                <w:rFonts w:hint="eastAsia"/>
                <w:color w:val="auto"/>
                <w:sz w:val="24"/>
              </w:rPr>
              <w:t>根据《中华人民共和国环境影响评价法》、《建设项目环境保护管理条例》、《建设项目环境影响评价分类管理名录》（2021年版）等有关规定，本项目属于“三十</w:t>
            </w:r>
            <w:r>
              <w:rPr>
                <w:rFonts w:hint="eastAsia"/>
                <w:color w:val="auto"/>
                <w:sz w:val="24"/>
                <w:lang w:eastAsia="zh-CN"/>
              </w:rPr>
              <w:t>五</w:t>
            </w:r>
            <w:r>
              <w:rPr>
                <w:rFonts w:hint="eastAsia"/>
                <w:color w:val="auto"/>
                <w:sz w:val="24"/>
              </w:rPr>
              <w:t>、电气机械和器材制造业38</w:t>
            </w:r>
            <w:r>
              <w:rPr>
                <w:rFonts w:hint="eastAsia"/>
                <w:color w:val="auto"/>
                <w:sz w:val="24"/>
                <w:lang w:eastAsia="zh-CN"/>
              </w:rPr>
              <w:t>－电机制造</w:t>
            </w:r>
            <w:r>
              <w:rPr>
                <w:rFonts w:hint="eastAsia"/>
                <w:color w:val="auto"/>
                <w:sz w:val="24"/>
                <w:lang w:val="en-US" w:eastAsia="zh-CN"/>
              </w:rPr>
              <w:t>381－</w:t>
            </w:r>
            <w:r>
              <w:rPr>
                <w:rFonts w:hint="eastAsia"/>
                <w:color w:val="auto"/>
                <w:sz w:val="24"/>
              </w:rPr>
              <w:t>其他</w:t>
            </w:r>
            <w:r>
              <w:rPr>
                <w:rFonts w:hint="eastAsia"/>
                <w:color w:val="auto"/>
                <w:sz w:val="24"/>
                <w:lang w:eastAsia="zh-CN"/>
              </w:rPr>
              <w:t>（仅分割、焊接、组装的除外；年用非溶剂型低V</w:t>
            </w:r>
            <w:r>
              <w:rPr>
                <w:rFonts w:hint="eastAsia"/>
                <w:color w:val="auto"/>
                <w:sz w:val="24"/>
                <w:lang w:val="en-US" w:eastAsia="zh-CN"/>
              </w:rPr>
              <w:t>O</w:t>
            </w:r>
            <w:r>
              <w:rPr>
                <w:rFonts w:hint="eastAsia"/>
                <w:color w:val="auto"/>
                <w:sz w:val="24"/>
                <w:lang w:eastAsia="zh-CN"/>
              </w:rPr>
              <w:t>Cs含量涂料10吨以下的除外）”，</w:t>
            </w:r>
            <w:r>
              <w:rPr>
                <w:rFonts w:hint="eastAsia"/>
                <w:color w:val="auto"/>
                <w:sz w:val="24"/>
              </w:rPr>
              <w:t>项目应编制环境影响报告表。因此，建设单位委托</w:t>
            </w:r>
            <w:r>
              <w:rPr>
                <w:rFonts w:hint="eastAsia"/>
                <w:color w:val="auto"/>
                <w:sz w:val="24"/>
                <w:lang w:eastAsia="zh-CN"/>
              </w:rPr>
              <w:t>我司（福建九邦环境检测科研有限公司）</w:t>
            </w:r>
            <w:r>
              <w:rPr>
                <w:rFonts w:hint="eastAsia"/>
                <w:color w:val="auto"/>
                <w:sz w:val="24"/>
              </w:rPr>
              <w:t>编制该项目的环境影响报告表（委托书见附件1）。本环评单位接受委托后，立即派技术人员踏勘现场和收集有关资料，并依照 《中华人民共和国环境影响评价法》等的相关规定编写成报告表，供建设单位上报审批。</w:t>
            </w:r>
          </w:p>
          <w:p w14:paraId="32C4DCA1">
            <w:pPr>
              <w:jc w:val="center"/>
              <w:rPr>
                <w:b/>
                <w:bCs/>
                <w:color w:val="auto"/>
              </w:rPr>
            </w:pPr>
            <w:r>
              <w:rPr>
                <w:b/>
                <w:bCs/>
                <w:color w:val="auto"/>
              </w:rPr>
              <w:t>表</w:t>
            </w:r>
            <w:r>
              <w:rPr>
                <w:rFonts w:hint="eastAsia"/>
                <w:b/>
                <w:bCs/>
                <w:color w:val="auto"/>
              </w:rPr>
              <w:t>2.1</w:t>
            </w:r>
            <w:r>
              <w:rPr>
                <w:b/>
                <w:bCs/>
                <w:color w:val="auto"/>
              </w:rPr>
              <w:t>-1建设项目环境影响评价分类管理名录</w:t>
            </w:r>
          </w:p>
          <w:tbl>
            <w:tblPr>
              <w:tblStyle w:val="31"/>
              <w:tblW w:w="8178"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531"/>
              <w:gridCol w:w="2593"/>
              <w:gridCol w:w="2168"/>
              <w:gridCol w:w="1800"/>
              <w:gridCol w:w="1086"/>
            </w:tblGrid>
            <w:tr w14:paraId="5860129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712" w:hRule="atLeast"/>
                <w:jc w:val="center"/>
              </w:trPr>
              <w:tc>
                <w:tcPr>
                  <w:tcW w:w="3124" w:type="dxa"/>
                  <w:gridSpan w:val="2"/>
                  <w:tcBorders>
                    <w:tl2br w:val="single" w:color="auto" w:sz="4" w:space="0"/>
                  </w:tcBorders>
                  <w:vAlign w:val="center"/>
                </w:tcPr>
                <w:p w14:paraId="7EE5DAC4">
                  <w:pPr>
                    <w:pStyle w:val="120"/>
                    <w:adjustRightInd/>
                    <w:snapToGrid/>
                    <w:rPr>
                      <w:b/>
                      <w:bCs/>
                      <w:color w:val="auto"/>
                      <w:szCs w:val="21"/>
                      <w:lang w:val="zh-CN"/>
                    </w:rPr>
                  </w:pPr>
                  <w:r>
                    <w:rPr>
                      <w:b/>
                      <w:bCs/>
                      <w:color w:val="auto"/>
                      <w:szCs w:val="21"/>
                      <w:lang w:val="zh-CN"/>
                    </w:rPr>
                    <w:t xml:space="preserve">  </w:t>
                  </w:r>
                  <w:r>
                    <w:rPr>
                      <w:rFonts w:hint="eastAsia"/>
                      <w:b/>
                      <w:bCs/>
                      <w:color w:val="auto"/>
                      <w:szCs w:val="21"/>
                    </w:rPr>
                    <w:t xml:space="preserve">     </w:t>
                  </w:r>
                  <w:r>
                    <w:rPr>
                      <w:b/>
                      <w:bCs/>
                      <w:color w:val="auto"/>
                      <w:szCs w:val="21"/>
                      <w:lang w:val="zh-CN"/>
                    </w:rPr>
                    <w:t>环评类别</w:t>
                  </w:r>
                </w:p>
                <w:p w14:paraId="4433BF66">
                  <w:pPr>
                    <w:pStyle w:val="120"/>
                    <w:adjustRightInd/>
                    <w:snapToGrid/>
                    <w:jc w:val="both"/>
                    <w:rPr>
                      <w:b/>
                      <w:bCs/>
                      <w:color w:val="auto"/>
                      <w:szCs w:val="21"/>
                      <w:lang w:val="zh-CN"/>
                    </w:rPr>
                  </w:pPr>
                  <w:r>
                    <w:rPr>
                      <w:b/>
                      <w:bCs/>
                      <w:color w:val="auto"/>
                      <w:szCs w:val="21"/>
                      <w:lang w:val="zh-CN"/>
                    </w:rPr>
                    <w:t>项目类别</w:t>
                  </w:r>
                </w:p>
              </w:tc>
              <w:tc>
                <w:tcPr>
                  <w:tcW w:w="2168" w:type="dxa"/>
                  <w:vAlign w:val="center"/>
                </w:tcPr>
                <w:p w14:paraId="3F092DA1">
                  <w:pPr>
                    <w:pStyle w:val="120"/>
                    <w:adjustRightInd/>
                    <w:snapToGrid/>
                    <w:rPr>
                      <w:b/>
                      <w:bCs/>
                      <w:color w:val="auto"/>
                      <w:szCs w:val="21"/>
                      <w:lang w:val="zh-CN"/>
                    </w:rPr>
                  </w:pPr>
                  <w:r>
                    <w:rPr>
                      <w:b/>
                      <w:bCs/>
                      <w:color w:val="auto"/>
                      <w:szCs w:val="21"/>
                      <w:lang w:val="zh-CN"/>
                    </w:rPr>
                    <w:t>报告书</w:t>
                  </w:r>
                </w:p>
              </w:tc>
              <w:tc>
                <w:tcPr>
                  <w:tcW w:w="1800" w:type="dxa"/>
                  <w:vAlign w:val="center"/>
                </w:tcPr>
                <w:p w14:paraId="3D5039EE">
                  <w:pPr>
                    <w:pStyle w:val="120"/>
                    <w:adjustRightInd/>
                    <w:snapToGrid/>
                    <w:rPr>
                      <w:b/>
                      <w:bCs/>
                      <w:color w:val="auto"/>
                      <w:szCs w:val="21"/>
                      <w:lang w:val="zh-CN"/>
                    </w:rPr>
                  </w:pPr>
                  <w:r>
                    <w:rPr>
                      <w:b/>
                      <w:bCs/>
                      <w:color w:val="auto"/>
                      <w:szCs w:val="21"/>
                      <w:lang w:val="zh-CN"/>
                    </w:rPr>
                    <w:t>报告表</w:t>
                  </w:r>
                </w:p>
              </w:tc>
              <w:tc>
                <w:tcPr>
                  <w:tcW w:w="1086" w:type="dxa"/>
                  <w:vAlign w:val="center"/>
                </w:tcPr>
                <w:p w14:paraId="64A87E8D">
                  <w:pPr>
                    <w:pStyle w:val="120"/>
                    <w:adjustRightInd/>
                    <w:snapToGrid/>
                    <w:rPr>
                      <w:b/>
                      <w:bCs/>
                      <w:color w:val="auto"/>
                      <w:szCs w:val="21"/>
                      <w:lang w:val="zh-CN"/>
                    </w:rPr>
                  </w:pPr>
                  <w:r>
                    <w:rPr>
                      <w:b/>
                      <w:bCs/>
                      <w:color w:val="auto"/>
                      <w:szCs w:val="21"/>
                      <w:lang w:val="zh-CN"/>
                    </w:rPr>
                    <w:t>登记表</w:t>
                  </w:r>
                </w:p>
              </w:tc>
            </w:tr>
            <w:tr w14:paraId="1302AE7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8178" w:type="dxa"/>
                  <w:gridSpan w:val="5"/>
                  <w:vAlign w:val="center"/>
                </w:tcPr>
                <w:p w14:paraId="36880AA7">
                  <w:pPr>
                    <w:pStyle w:val="120"/>
                    <w:adjustRightInd/>
                    <w:snapToGrid/>
                    <w:jc w:val="both"/>
                    <w:rPr>
                      <w:rFonts w:hint="default" w:eastAsia="宋体"/>
                      <w:color w:val="auto"/>
                      <w:szCs w:val="21"/>
                      <w:lang w:val="en-US" w:eastAsia="zh-CN"/>
                    </w:rPr>
                  </w:pPr>
                  <w:r>
                    <w:rPr>
                      <w:rFonts w:hint="default" w:eastAsia="宋体"/>
                      <w:color w:val="auto"/>
                      <w:szCs w:val="21"/>
                      <w:lang w:val="en-US" w:eastAsia="zh-CN"/>
                    </w:rPr>
                    <w:t>三十五、电气机械和器材制造业38</w:t>
                  </w:r>
                </w:p>
              </w:tc>
            </w:tr>
            <w:tr w14:paraId="1BA24E8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40" w:hRule="atLeast"/>
                <w:jc w:val="center"/>
              </w:trPr>
              <w:tc>
                <w:tcPr>
                  <w:tcW w:w="531" w:type="dxa"/>
                  <w:shd w:val="clear" w:color="auto" w:fill="auto"/>
                  <w:vAlign w:val="center"/>
                </w:tcPr>
                <w:p w14:paraId="60D61047">
                  <w:pPr>
                    <w:pStyle w:val="120"/>
                    <w:adjustRightInd/>
                    <w:snapToGrid/>
                    <w:rPr>
                      <w:rFonts w:hint="default" w:eastAsia="宋体"/>
                      <w:color w:val="auto"/>
                      <w:szCs w:val="21"/>
                      <w:lang w:val="en-US" w:eastAsia="zh-CN"/>
                    </w:rPr>
                  </w:pPr>
                  <w:r>
                    <w:rPr>
                      <w:rFonts w:hint="eastAsia"/>
                      <w:color w:val="auto"/>
                      <w:szCs w:val="21"/>
                      <w:lang w:val="en-US" w:eastAsia="zh-CN"/>
                    </w:rPr>
                    <w:t>77</w:t>
                  </w:r>
                </w:p>
              </w:tc>
              <w:tc>
                <w:tcPr>
                  <w:tcW w:w="2593" w:type="dxa"/>
                  <w:shd w:val="clear" w:color="auto" w:fill="auto"/>
                  <w:vAlign w:val="center"/>
                </w:tcPr>
                <w:p w14:paraId="59AFD460">
                  <w:pPr>
                    <w:pStyle w:val="120"/>
                    <w:adjustRightInd/>
                    <w:snapToGrid/>
                    <w:rPr>
                      <w:color w:val="auto"/>
                      <w:szCs w:val="21"/>
                    </w:rPr>
                  </w:pPr>
                  <w:r>
                    <w:rPr>
                      <w:rFonts w:hint="eastAsia"/>
                      <w:color w:val="auto"/>
                    </w:rPr>
                    <w:t>电机制造381</w:t>
                  </w:r>
                  <w:r>
                    <w:rPr>
                      <w:rFonts w:hint="eastAsia"/>
                      <w:color w:val="auto"/>
                      <w:lang w:eastAsia="zh-CN"/>
                    </w:rPr>
                    <w:t>；</w:t>
                  </w:r>
                  <w:r>
                    <w:rPr>
                      <w:rFonts w:hint="eastAsia"/>
                      <w:color w:val="auto"/>
                    </w:rPr>
                    <w:t>输配电及控制设备制造382</w:t>
                  </w:r>
                  <w:r>
                    <w:rPr>
                      <w:rFonts w:hint="eastAsia"/>
                      <w:color w:val="auto"/>
                      <w:lang w:eastAsia="zh-CN"/>
                    </w:rPr>
                    <w:t>；</w:t>
                  </w:r>
                  <w:r>
                    <w:rPr>
                      <w:rFonts w:hint="eastAsia"/>
                      <w:color w:val="auto"/>
                    </w:rPr>
                    <w:t>电线、电缆、光缆及电工器材制造383</w:t>
                  </w:r>
                  <w:r>
                    <w:rPr>
                      <w:rFonts w:hint="eastAsia"/>
                      <w:color w:val="auto"/>
                      <w:lang w:eastAsia="zh-CN"/>
                    </w:rPr>
                    <w:t>；</w:t>
                  </w:r>
                  <w:r>
                    <w:rPr>
                      <w:rFonts w:hint="eastAsia"/>
                      <w:color w:val="auto"/>
                    </w:rPr>
                    <w:t>电池制造384</w:t>
                  </w:r>
                  <w:r>
                    <w:rPr>
                      <w:rFonts w:hint="eastAsia"/>
                      <w:color w:val="auto"/>
                      <w:lang w:eastAsia="zh-CN"/>
                    </w:rPr>
                    <w:t>；</w:t>
                  </w:r>
                  <w:r>
                    <w:rPr>
                      <w:rFonts w:hint="eastAsia"/>
                      <w:color w:val="auto"/>
                    </w:rPr>
                    <w:t>家用电力器具</w:t>
                  </w:r>
                  <w:r>
                    <w:rPr>
                      <w:rFonts w:hint="eastAsia"/>
                      <w:color w:val="auto"/>
                      <w:lang w:eastAsia="zh-CN"/>
                    </w:rPr>
                    <w:t>制造</w:t>
                  </w:r>
                  <w:r>
                    <w:rPr>
                      <w:rFonts w:hint="eastAsia"/>
                      <w:color w:val="auto"/>
                    </w:rPr>
                    <w:t>385</w:t>
                  </w:r>
                  <w:r>
                    <w:rPr>
                      <w:rFonts w:hint="eastAsia"/>
                      <w:color w:val="auto"/>
                      <w:lang w:eastAsia="zh-CN"/>
                    </w:rPr>
                    <w:t>；</w:t>
                  </w:r>
                  <w:r>
                    <w:rPr>
                      <w:rFonts w:hint="eastAsia"/>
                      <w:color w:val="auto"/>
                    </w:rPr>
                    <w:t>非电力家用器具制造386</w:t>
                  </w:r>
                  <w:r>
                    <w:rPr>
                      <w:rFonts w:hint="eastAsia"/>
                      <w:color w:val="auto"/>
                      <w:lang w:eastAsia="zh-CN"/>
                    </w:rPr>
                    <w:t>；</w:t>
                  </w:r>
                  <w:r>
                    <w:rPr>
                      <w:rFonts w:hint="eastAsia"/>
                      <w:color w:val="auto"/>
                    </w:rPr>
                    <w:t>照明器具制造387</w:t>
                  </w:r>
                  <w:r>
                    <w:rPr>
                      <w:rFonts w:hint="eastAsia"/>
                      <w:color w:val="auto"/>
                      <w:lang w:eastAsia="zh-CN"/>
                    </w:rPr>
                    <w:t>；</w:t>
                  </w:r>
                  <w:r>
                    <w:rPr>
                      <w:rFonts w:hint="eastAsia"/>
                      <w:color w:val="auto"/>
                    </w:rPr>
                    <w:t>其他电气机械及器材</w:t>
                  </w:r>
                  <w:r>
                    <w:rPr>
                      <w:rFonts w:hint="eastAsia"/>
                      <w:color w:val="auto"/>
                      <w:lang w:eastAsia="zh-CN"/>
                    </w:rPr>
                    <w:t>制造</w:t>
                  </w:r>
                  <w:r>
                    <w:rPr>
                      <w:rFonts w:hint="eastAsia"/>
                      <w:color w:val="auto"/>
                    </w:rPr>
                    <w:t>389</w:t>
                  </w:r>
                </w:p>
              </w:tc>
              <w:tc>
                <w:tcPr>
                  <w:tcW w:w="2168" w:type="dxa"/>
                  <w:shd w:val="clear" w:color="auto" w:fill="auto"/>
                  <w:vAlign w:val="center"/>
                </w:tcPr>
                <w:p w14:paraId="3B1B120A">
                  <w:pPr>
                    <w:pStyle w:val="120"/>
                    <w:adjustRightInd/>
                    <w:snapToGrid/>
                    <w:rPr>
                      <w:rFonts w:hint="eastAsia"/>
                      <w:color w:val="auto"/>
                      <w:szCs w:val="21"/>
                      <w:lang w:val="en-US" w:eastAsia="zh-CN"/>
                    </w:rPr>
                  </w:pPr>
                  <w:r>
                    <w:rPr>
                      <w:rFonts w:hint="eastAsia"/>
                      <w:color w:val="auto"/>
                      <w:szCs w:val="21"/>
                      <w:lang w:val="en-US" w:eastAsia="zh-CN"/>
                    </w:rPr>
                    <w:t>铅蓄电池制造；太阳能电池片生产；有电镀工艺的；年用溶剂型涂料（含稀释剂）10吨及以上的</w:t>
                  </w:r>
                </w:p>
              </w:tc>
              <w:tc>
                <w:tcPr>
                  <w:tcW w:w="1800" w:type="dxa"/>
                  <w:shd w:val="clear" w:color="auto" w:fill="D7D7D7"/>
                  <w:vAlign w:val="center"/>
                </w:tcPr>
                <w:p w14:paraId="03D3D193">
                  <w:pPr>
                    <w:pStyle w:val="120"/>
                    <w:adjustRightInd/>
                    <w:snapToGrid/>
                    <w:rPr>
                      <w:color w:val="auto"/>
                      <w:szCs w:val="21"/>
                      <w:lang w:val="zh-CN"/>
                    </w:rPr>
                  </w:pPr>
                  <w:r>
                    <w:rPr>
                      <w:rFonts w:hint="eastAsia"/>
                      <w:color w:val="auto"/>
                      <w:szCs w:val="21"/>
                      <w:lang w:val="zh-CN"/>
                    </w:rPr>
                    <w:t>其他（仅分割、焊接、组装的除外；年用非溶剂型低V</w:t>
                  </w:r>
                  <w:r>
                    <w:rPr>
                      <w:rFonts w:hint="eastAsia"/>
                      <w:color w:val="auto"/>
                      <w:szCs w:val="21"/>
                      <w:lang w:val="en-US" w:eastAsia="zh-CN"/>
                    </w:rPr>
                    <w:t>O</w:t>
                  </w:r>
                  <w:r>
                    <w:rPr>
                      <w:rFonts w:hint="eastAsia"/>
                      <w:color w:val="auto"/>
                      <w:szCs w:val="21"/>
                      <w:lang w:val="zh-CN"/>
                    </w:rPr>
                    <w:t>Cs含量涂料10吨以下的除外）</w:t>
                  </w:r>
                </w:p>
              </w:tc>
              <w:tc>
                <w:tcPr>
                  <w:tcW w:w="1086" w:type="dxa"/>
                  <w:vAlign w:val="center"/>
                </w:tcPr>
                <w:p w14:paraId="472C9587">
                  <w:pPr>
                    <w:pStyle w:val="120"/>
                    <w:adjustRightInd/>
                    <w:snapToGrid/>
                    <w:rPr>
                      <w:rFonts w:hint="default" w:eastAsia="宋体"/>
                      <w:color w:val="auto"/>
                      <w:szCs w:val="21"/>
                      <w:lang w:val="en-US" w:eastAsia="zh-CN"/>
                    </w:rPr>
                  </w:pPr>
                  <w:r>
                    <w:rPr>
                      <w:rFonts w:hint="eastAsia"/>
                      <w:color w:val="auto"/>
                      <w:szCs w:val="21"/>
                      <w:lang w:val="en-US" w:eastAsia="zh-CN"/>
                    </w:rPr>
                    <w:t>/</w:t>
                  </w:r>
                </w:p>
              </w:tc>
            </w:tr>
          </w:tbl>
          <w:p w14:paraId="527A3599">
            <w:pPr>
              <w:pStyle w:val="9"/>
              <w:rPr>
                <w:color w:val="auto"/>
              </w:rPr>
            </w:pPr>
          </w:p>
          <w:p w14:paraId="641AC544">
            <w:pPr>
              <w:pStyle w:val="4"/>
              <w:ind w:firstLine="120"/>
              <w:rPr>
                <w:rFonts w:hint="default"/>
                <w:color w:val="auto"/>
              </w:rPr>
            </w:pPr>
            <w:r>
              <w:rPr>
                <w:color w:val="auto"/>
              </w:rPr>
              <w:t>2.2项目概况</w:t>
            </w:r>
          </w:p>
          <w:p w14:paraId="468BA030">
            <w:pPr>
              <w:spacing w:line="360" w:lineRule="auto"/>
              <w:ind w:firstLine="480" w:firstLineChars="200"/>
              <w:rPr>
                <w:color w:val="auto"/>
                <w:sz w:val="24"/>
              </w:rPr>
            </w:pPr>
            <w:r>
              <w:rPr>
                <w:color w:val="auto"/>
                <w:sz w:val="24"/>
              </w:rPr>
              <w:t>项目名称：</w:t>
            </w:r>
            <w:r>
              <w:rPr>
                <w:rFonts w:hint="eastAsia"/>
                <w:color w:val="auto"/>
                <w:sz w:val="24"/>
                <w:shd w:val="clear" w:color="auto" w:fill="FFFFFF"/>
              </w:rPr>
              <w:t>泰德能源科技</w:t>
            </w:r>
            <w:r>
              <w:rPr>
                <w:rFonts w:hint="eastAsia"/>
                <w:color w:val="auto"/>
                <w:sz w:val="24"/>
                <w:shd w:val="clear" w:color="auto" w:fill="FFFFFF"/>
                <w:lang w:eastAsia="zh-CN"/>
              </w:rPr>
              <w:t>（福建）</w:t>
            </w:r>
            <w:r>
              <w:rPr>
                <w:rFonts w:hint="eastAsia"/>
                <w:color w:val="auto"/>
                <w:sz w:val="24"/>
                <w:shd w:val="clear" w:color="auto" w:fill="FFFFFF"/>
              </w:rPr>
              <w:t>有限公司发电设备生产基地项目</w:t>
            </w:r>
            <w:r>
              <w:rPr>
                <w:color w:val="auto"/>
                <w:sz w:val="24"/>
              </w:rPr>
              <w:t>；</w:t>
            </w:r>
          </w:p>
          <w:p w14:paraId="7763AA58">
            <w:pPr>
              <w:spacing w:line="360" w:lineRule="auto"/>
              <w:ind w:firstLine="480" w:firstLineChars="200"/>
              <w:rPr>
                <w:color w:val="auto"/>
                <w:sz w:val="24"/>
              </w:rPr>
            </w:pPr>
            <w:r>
              <w:rPr>
                <w:color w:val="auto"/>
                <w:sz w:val="24"/>
              </w:rPr>
              <w:t>建设单位：</w:t>
            </w:r>
            <w:r>
              <w:rPr>
                <w:rFonts w:hint="eastAsia"/>
                <w:color w:val="auto"/>
                <w:sz w:val="24"/>
                <w:lang w:eastAsia="zh-CN"/>
              </w:rPr>
              <w:t>泰德能源科技（福建）有限公司</w:t>
            </w:r>
            <w:r>
              <w:rPr>
                <w:color w:val="auto"/>
                <w:sz w:val="24"/>
              </w:rPr>
              <w:t>；</w:t>
            </w:r>
          </w:p>
          <w:p w14:paraId="502DE691">
            <w:pPr>
              <w:spacing w:line="360" w:lineRule="auto"/>
              <w:ind w:firstLine="480" w:firstLineChars="200"/>
              <w:rPr>
                <w:color w:val="auto"/>
                <w:sz w:val="24"/>
              </w:rPr>
            </w:pPr>
            <w:r>
              <w:rPr>
                <w:color w:val="auto"/>
                <w:sz w:val="24"/>
              </w:rPr>
              <w:t>项目选址：</w:t>
            </w:r>
            <w:r>
              <w:rPr>
                <w:rFonts w:hint="eastAsia"/>
                <w:color w:val="auto"/>
                <w:sz w:val="24"/>
                <w:lang w:eastAsia="zh-CN"/>
              </w:rPr>
              <w:t>福建省福州市闽侯县竹岐乡</w:t>
            </w:r>
            <w:r>
              <w:rPr>
                <w:rFonts w:hint="eastAsia"/>
                <w:color w:val="auto"/>
                <w:sz w:val="24"/>
              </w:rPr>
              <w:t>；</w:t>
            </w:r>
          </w:p>
          <w:p w14:paraId="51EA486D">
            <w:pPr>
              <w:spacing w:line="360" w:lineRule="auto"/>
              <w:ind w:firstLine="480" w:firstLineChars="200"/>
              <w:rPr>
                <w:rFonts w:hint="eastAsia" w:eastAsia="宋体"/>
                <w:color w:val="auto"/>
                <w:sz w:val="24"/>
                <w:lang w:eastAsia="zh-CN"/>
              </w:rPr>
            </w:pPr>
            <w:r>
              <w:rPr>
                <w:rFonts w:hint="eastAsia"/>
                <w:color w:val="auto"/>
                <w:sz w:val="24"/>
              </w:rPr>
              <w:t>用地面积：用地面积</w:t>
            </w:r>
            <w:r>
              <w:rPr>
                <w:rFonts w:hint="eastAsia"/>
                <w:color w:val="auto"/>
                <w:sz w:val="24"/>
                <w:lang w:val="en-US" w:eastAsia="zh-CN"/>
              </w:rPr>
              <w:t>48655m</w:t>
            </w:r>
            <w:r>
              <w:rPr>
                <w:rFonts w:hint="eastAsia"/>
                <w:color w:val="auto"/>
                <w:sz w:val="24"/>
                <w:vertAlign w:val="superscript"/>
                <w:lang w:val="en-US" w:eastAsia="zh-CN"/>
              </w:rPr>
              <w:t>2</w:t>
            </w:r>
            <w:r>
              <w:rPr>
                <w:rFonts w:hint="eastAsia"/>
                <w:color w:val="auto"/>
                <w:sz w:val="24"/>
                <w:lang w:eastAsia="zh-CN"/>
              </w:rPr>
              <w:t>，总建筑面积</w:t>
            </w:r>
            <w:r>
              <w:rPr>
                <w:rFonts w:hint="eastAsia"/>
                <w:color w:val="auto"/>
                <w:sz w:val="24"/>
                <w:shd w:val="clear" w:color="auto" w:fill="FFFFFF"/>
                <w:lang w:val="en-US" w:eastAsia="zh-CN"/>
              </w:rPr>
              <w:t>78622.85m</w:t>
            </w:r>
            <w:r>
              <w:rPr>
                <w:rFonts w:hint="eastAsia"/>
                <w:color w:val="auto"/>
                <w:sz w:val="24"/>
                <w:shd w:val="clear" w:color="auto" w:fill="FFFFFF"/>
                <w:vertAlign w:val="superscript"/>
                <w:lang w:val="en-US" w:eastAsia="zh-CN"/>
              </w:rPr>
              <w:t>2</w:t>
            </w:r>
            <w:r>
              <w:rPr>
                <w:rFonts w:hint="eastAsia"/>
                <w:color w:val="auto"/>
                <w:sz w:val="24"/>
              </w:rPr>
              <w:t>；</w:t>
            </w:r>
          </w:p>
          <w:p w14:paraId="47E908B5">
            <w:pPr>
              <w:spacing w:line="360" w:lineRule="auto"/>
              <w:ind w:firstLine="480" w:firstLineChars="200"/>
              <w:rPr>
                <w:color w:val="auto"/>
                <w:sz w:val="24"/>
              </w:rPr>
            </w:pPr>
            <w:r>
              <w:rPr>
                <w:color w:val="auto"/>
                <w:sz w:val="24"/>
              </w:rPr>
              <w:t>项目性质：</w:t>
            </w:r>
            <w:r>
              <w:rPr>
                <w:rFonts w:hint="eastAsia"/>
                <w:color w:val="auto"/>
                <w:sz w:val="24"/>
                <w:lang w:eastAsia="zh-CN"/>
              </w:rPr>
              <w:t>新</w:t>
            </w:r>
            <w:r>
              <w:rPr>
                <w:rFonts w:hint="eastAsia"/>
                <w:color w:val="auto"/>
                <w:sz w:val="24"/>
              </w:rPr>
              <w:t>建；</w:t>
            </w:r>
          </w:p>
          <w:p w14:paraId="113125F5">
            <w:pPr>
              <w:spacing w:line="360" w:lineRule="auto"/>
              <w:ind w:firstLine="480" w:firstLineChars="200"/>
              <w:rPr>
                <w:color w:val="auto"/>
                <w:sz w:val="24"/>
                <w:highlight w:val="none"/>
              </w:rPr>
            </w:pPr>
            <w:r>
              <w:rPr>
                <w:color w:val="auto"/>
                <w:sz w:val="24"/>
              </w:rPr>
              <w:t>建设</w:t>
            </w:r>
            <w:r>
              <w:rPr>
                <w:rFonts w:hint="eastAsia"/>
                <w:color w:val="auto"/>
                <w:sz w:val="24"/>
              </w:rPr>
              <w:t>规模</w:t>
            </w:r>
            <w:r>
              <w:rPr>
                <w:color w:val="auto"/>
                <w:sz w:val="24"/>
              </w:rPr>
              <w:t>：</w:t>
            </w:r>
            <w:r>
              <w:rPr>
                <w:rFonts w:hint="eastAsia"/>
                <w:color w:val="auto"/>
                <w:sz w:val="24"/>
                <w:shd w:val="clear" w:color="auto" w:fill="FFFFFF"/>
                <w:lang w:val="en-US" w:eastAsia="zh-CN"/>
              </w:rPr>
              <w:t>建设发电设备生产基地，年组装及加工发电机组设备6000台套（其中储能柜500台）</w:t>
            </w:r>
            <w:r>
              <w:rPr>
                <w:rFonts w:hint="eastAsia"/>
                <w:color w:val="auto"/>
                <w:sz w:val="24"/>
                <w:highlight w:val="none"/>
              </w:rPr>
              <w:t>。</w:t>
            </w:r>
          </w:p>
          <w:p w14:paraId="77921FA5">
            <w:pPr>
              <w:spacing w:line="360" w:lineRule="auto"/>
              <w:ind w:firstLine="480" w:firstLineChars="200"/>
              <w:rPr>
                <w:color w:val="auto"/>
                <w:sz w:val="24"/>
              </w:rPr>
            </w:pPr>
            <w:r>
              <w:rPr>
                <w:rFonts w:hint="eastAsia"/>
                <w:color w:val="auto"/>
                <w:sz w:val="24"/>
              </w:rPr>
              <w:t>劳动定员：</w:t>
            </w:r>
            <w:r>
              <w:rPr>
                <w:rFonts w:hint="eastAsia"/>
                <w:color w:val="auto"/>
                <w:sz w:val="24"/>
                <w:lang w:val="en-US" w:eastAsia="zh-CN"/>
              </w:rPr>
              <w:t>项目</w:t>
            </w:r>
            <w:r>
              <w:rPr>
                <w:rFonts w:hint="eastAsia"/>
                <w:color w:val="auto"/>
                <w:sz w:val="24"/>
                <w:lang w:eastAsia="zh-CN"/>
              </w:rPr>
              <w:t>新增</w:t>
            </w:r>
            <w:r>
              <w:rPr>
                <w:rFonts w:hint="eastAsia"/>
                <w:color w:val="auto"/>
                <w:sz w:val="24"/>
                <w:highlight w:val="none"/>
                <w:lang w:eastAsia="zh-CN"/>
              </w:rPr>
              <w:t>员工</w:t>
            </w:r>
            <w:r>
              <w:rPr>
                <w:rFonts w:hint="eastAsia"/>
                <w:color w:val="auto"/>
                <w:sz w:val="24"/>
                <w:highlight w:val="none"/>
                <w:lang w:val="en-US" w:eastAsia="zh-CN"/>
              </w:rPr>
              <w:t>30</w:t>
            </w:r>
            <w:r>
              <w:rPr>
                <w:rFonts w:hint="eastAsia"/>
                <w:color w:val="auto"/>
                <w:sz w:val="24"/>
                <w:highlight w:val="none"/>
              </w:rPr>
              <w:t>0人</w:t>
            </w:r>
            <w:r>
              <w:rPr>
                <w:rFonts w:hint="eastAsia"/>
                <w:color w:val="auto"/>
                <w:sz w:val="24"/>
                <w:highlight w:val="none"/>
                <w:lang w:val="en-US" w:eastAsia="zh-CN"/>
              </w:rPr>
              <w:t>，无住宿</w:t>
            </w:r>
            <w:r>
              <w:rPr>
                <w:rFonts w:hint="eastAsia"/>
                <w:color w:val="auto"/>
                <w:sz w:val="24"/>
                <w:highlight w:val="none"/>
              </w:rPr>
              <w:t>。</w:t>
            </w:r>
          </w:p>
          <w:p w14:paraId="2EAA014C">
            <w:pPr>
              <w:spacing w:line="360" w:lineRule="auto"/>
              <w:ind w:firstLine="480" w:firstLineChars="200"/>
              <w:rPr>
                <w:color w:val="auto"/>
                <w:sz w:val="24"/>
              </w:rPr>
            </w:pPr>
            <w:r>
              <w:rPr>
                <w:rFonts w:hint="eastAsia"/>
                <w:color w:val="auto"/>
                <w:sz w:val="24"/>
              </w:rPr>
              <w:t>工作制度：</w:t>
            </w:r>
            <w:r>
              <w:rPr>
                <w:rFonts w:hint="eastAsia"/>
                <w:color w:val="auto"/>
                <w:sz w:val="24"/>
                <w:lang w:val="en-US" w:eastAsia="zh-CN"/>
              </w:rPr>
              <w:t>12</w:t>
            </w:r>
            <w:r>
              <w:rPr>
                <w:rFonts w:hint="eastAsia"/>
                <w:color w:val="auto"/>
                <w:sz w:val="24"/>
              </w:rPr>
              <w:t>小时工作制</w:t>
            </w:r>
            <w:r>
              <w:rPr>
                <w:rFonts w:hint="eastAsia"/>
                <w:color w:val="auto"/>
                <w:sz w:val="24"/>
                <w:lang w:eastAsia="zh-CN"/>
              </w:rPr>
              <w:t>（</w:t>
            </w:r>
            <w:r>
              <w:rPr>
                <w:rFonts w:hint="eastAsia"/>
                <w:color w:val="auto"/>
                <w:sz w:val="24"/>
                <w:lang w:val="en-US" w:eastAsia="zh-CN"/>
              </w:rPr>
              <w:t>8:00-20:00</w:t>
            </w:r>
            <w:r>
              <w:rPr>
                <w:rFonts w:hint="eastAsia"/>
                <w:color w:val="auto"/>
                <w:sz w:val="24"/>
                <w:lang w:eastAsia="zh-CN"/>
              </w:rPr>
              <w:t>）</w:t>
            </w:r>
            <w:r>
              <w:rPr>
                <w:rFonts w:hint="eastAsia"/>
                <w:color w:val="auto"/>
                <w:sz w:val="24"/>
              </w:rPr>
              <w:t>，年工作日3</w:t>
            </w:r>
            <w:r>
              <w:rPr>
                <w:rFonts w:hint="eastAsia"/>
                <w:color w:val="auto"/>
                <w:sz w:val="24"/>
                <w:lang w:val="en-US" w:eastAsia="zh-CN"/>
              </w:rPr>
              <w:t>00</w:t>
            </w:r>
            <w:r>
              <w:rPr>
                <w:rFonts w:hint="eastAsia"/>
                <w:color w:val="auto"/>
                <w:sz w:val="24"/>
              </w:rPr>
              <w:t>天。</w:t>
            </w:r>
          </w:p>
          <w:p w14:paraId="7D704FA4">
            <w:pPr>
              <w:pStyle w:val="5"/>
              <w:keepNext/>
              <w:keepLines/>
              <w:pageBreakBefore w:val="0"/>
              <w:widowControl w:val="0"/>
              <w:kinsoku/>
              <w:wordWrap/>
              <w:overflowPunct/>
              <w:topLinePunct w:val="0"/>
              <w:autoSpaceDE/>
              <w:autoSpaceDN/>
              <w:bidi w:val="0"/>
              <w:adjustRightInd/>
              <w:snapToGrid/>
              <w:ind w:firstLine="241"/>
              <w:textAlignment w:val="auto"/>
              <w:rPr>
                <w:rFonts w:hint="default"/>
                <w:color w:val="auto"/>
              </w:rPr>
            </w:pPr>
            <w:r>
              <w:rPr>
                <w:color w:val="auto"/>
              </w:rPr>
              <w:t>2.2.</w:t>
            </w:r>
            <w:r>
              <w:rPr>
                <w:rFonts w:hint="eastAsia"/>
                <w:color w:val="auto"/>
                <w:lang w:val="en-US" w:eastAsia="zh-CN"/>
              </w:rPr>
              <w:t>2</w:t>
            </w:r>
            <w:r>
              <w:rPr>
                <w:color w:val="auto"/>
              </w:rPr>
              <w:t>项目工程组成及建设内容</w:t>
            </w:r>
          </w:p>
          <w:p w14:paraId="22EE2F41">
            <w:pPr>
              <w:spacing w:line="360" w:lineRule="auto"/>
              <w:ind w:firstLine="480" w:firstLineChars="200"/>
              <w:rPr>
                <w:b/>
                <w:bCs/>
                <w:color w:val="auto"/>
                <w:lang w:val="en-GB"/>
              </w:rPr>
            </w:pPr>
            <w:r>
              <w:rPr>
                <w:rFonts w:hint="eastAsia"/>
                <w:color w:val="auto"/>
                <w:sz w:val="24"/>
              </w:rPr>
              <w:t>项目</w:t>
            </w:r>
            <w:r>
              <w:rPr>
                <w:rFonts w:hint="eastAsia"/>
                <w:color w:val="auto"/>
                <w:sz w:val="24"/>
                <w:szCs w:val="24"/>
                <w:shd w:val="clear" w:color="auto" w:fill="FFFFFF"/>
                <w:lang w:val="en-US" w:eastAsia="zh-CN"/>
              </w:rPr>
              <w:t>总建筑面积</w:t>
            </w:r>
            <w:r>
              <w:rPr>
                <w:rFonts w:hint="eastAsia"/>
                <w:color w:val="auto"/>
                <w:sz w:val="24"/>
                <w:shd w:val="clear" w:color="auto" w:fill="FFFFFF"/>
                <w:lang w:val="en-US" w:eastAsia="zh-CN"/>
              </w:rPr>
              <w:t>78622.85</w:t>
            </w:r>
            <w:r>
              <w:rPr>
                <w:rFonts w:hint="eastAsia"/>
                <w:color w:val="auto"/>
                <w:sz w:val="24"/>
                <w:szCs w:val="24"/>
                <w:shd w:val="clear" w:color="auto" w:fill="FFFFFF"/>
                <w:lang w:val="en-US" w:eastAsia="zh-CN"/>
              </w:rPr>
              <w:t>m</w:t>
            </w:r>
            <w:r>
              <w:rPr>
                <w:rFonts w:hint="eastAsia"/>
                <w:color w:val="auto"/>
                <w:sz w:val="24"/>
                <w:szCs w:val="24"/>
                <w:shd w:val="clear" w:color="auto" w:fill="FFFFFF"/>
                <w:vertAlign w:val="superscript"/>
                <w:lang w:val="en-US" w:eastAsia="zh-CN"/>
              </w:rPr>
              <w:t>2</w:t>
            </w:r>
            <w:r>
              <w:rPr>
                <w:rFonts w:hint="eastAsia"/>
                <w:color w:val="auto"/>
                <w:sz w:val="24"/>
                <w:szCs w:val="24"/>
                <w:shd w:val="clear" w:color="auto" w:fill="FFFFFF"/>
                <w:lang w:val="en-US" w:eastAsia="zh-CN"/>
              </w:rPr>
              <w:t>，</w:t>
            </w:r>
            <w:r>
              <w:rPr>
                <w:rFonts w:hint="eastAsia"/>
                <w:color w:val="auto"/>
                <w:sz w:val="24"/>
                <w:shd w:val="clear" w:color="auto" w:fill="FFFFFF"/>
                <w:lang w:val="en-US" w:eastAsia="zh-CN"/>
              </w:rPr>
              <w:t>计入容积率的建筑面积92537.85m</w:t>
            </w:r>
            <w:r>
              <w:rPr>
                <w:rFonts w:hint="eastAsia"/>
                <w:color w:val="auto"/>
                <w:sz w:val="24"/>
                <w:shd w:val="clear" w:color="auto" w:fill="FFFFFF"/>
                <w:vertAlign w:val="superscript"/>
                <w:lang w:val="en-US" w:eastAsia="zh-CN"/>
              </w:rPr>
              <w:t>2</w:t>
            </w:r>
            <w:r>
              <w:rPr>
                <w:rFonts w:hint="eastAsia"/>
                <w:color w:val="auto"/>
                <w:sz w:val="24"/>
                <w:shd w:val="clear" w:color="auto" w:fill="FFFFFF"/>
                <w:lang w:val="en-US" w:eastAsia="zh-CN"/>
              </w:rPr>
              <w:t>，</w:t>
            </w:r>
            <w:r>
              <w:rPr>
                <w:rFonts w:hint="eastAsia"/>
                <w:color w:val="auto"/>
                <w:sz w:val="24"/>
                <w:szCs w:val="24"/>
                <w:shd w:val="clear" w:color="auto" w:fill="FFFFFF"/>
                <w:lang w:val="en-US" w:eastAsia="zh-CN"/>
              </w:rPr>
              <w:t>其中1#厂房共10层，</w:t>
            </w:r>
            <w:r>
              <w:rPr>
                <w:rFonts w:hint="eastAsia" w:cs="Times New Roman"/>
                <w:color w:val="auto"/>
                <w:sz w:val="24"/>
                <w:szCs w:val="24"/>
                <w:highlight w:val="none"/>
                <w:lang w:val="en-US" w:eastAsia="zh-CN"/>
              </w:rPr>
              <w:t>计容建筑面积为12147.21</w:t>
            </w:r>
            <w:r>
              <w:rPr>
                <w:rFonts w:hint="default"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vertAlign w:val="superscript"/>
                <w:lang w:val="en-US" w:eastAsia="zh-CN"/>
              </w:rPr>
              <w:t>2</w:t>
            </w:r>
            <w:r>
              <w:rPr>
                <w:rFonts w:hint="eastAsia"/>
                <w:color w:val="auto"/>
                <w:sz w:val="24"/>
                <w:szCs w:val="24"/>
                <w:shd w:val="clear" w:color="auto" w:fill="FFFFFF"/>
                <w:lang w:val="en-US" w:eastAsia="zh-CN"/>
              </w:rPr>
              <w:t>；2#厂房共2层，</w:t>
            </w:r>
            <w:r>
              <w:rPr>
                <w:rFonts w:hint="eastAsia" w:cs="Times New Roman"/>
                <w:color w:val="auto"/>
                <w:sz w:val="24"/>
                <w:szCs w:val="24"/>
                <w:highlight w:val="none"/>
                <w:lang w:val="en-US" w:eastAsia="zh-CN"/>
              </w:rPr>
              <w:t>计容建筑面积为78099.39</w:t>
            </w:r>
            <w:r>
              <w:rPr>
                <w:rFonts w:hint="default"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vertAlign w:val="superscript"/>
                <w:lang w:val="en-US" w:eastAsia="zh-CN"/>
              </w:rPr>
              <w:t>2</w:t>
            </w:r>
            <w:r>
              <w:rPr>
                <w:rFonts w:hint="eastAsia"/>
                <w:color w:val="auto"/>
                <w:sz w:val="24"/>
                <w:szCs w:val="24"/>
                <w:shd w:val="clear" w:color="auto" w:fill="FFFFFF"/>
                <w:lang w:val="en-US" w:eastAsia="zh-CN"/>
              </w:rPr>
              <w:t>；3#厂房共4层，</w:t>
            </w:r>
            <w:r>
              <w:rPr>
                <w:rFonts w:hint="eastAsia" w:cs="Times New Roman"/>
                <w:color w:val="auto"/>
                <w:sz w:val="24"/>
                <w:szCs w:val="24"/>
                <w:highlight w:val="none"/>
                <w:lang w:val="en-US" w:eastAsia="zh-CN"/>
              </w:rPr>
              <w:t>计容建筑面积为2235.84</w:t>
            </w:r>
            <w:r>
              <w:rPr>
                <w:rFonts w:hint="default"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vertAlign w:val="superscript"/>
                <w:lang w:val="en-US" w:eastAsia="zh-CN"/>
              </w:rPr>
              <w:t>2</w:t>
            </w:r>
            <w:r>
              <w:rPr>
                <w:rFonts w:hint="eastAsia"/>
                <w:color w:val="auto"/>
                <w:sz w:val="24"/>
                <w:szCs w:val="24"/>
              </w:rPr>
              <w:t>。建设内容见表2.2-</w:t>
            </w:r>
            <w:r>
              <w:rPr>
                <w:rFonts w:hint="eastAsia"/>
                <w:color w:val="auto"/>
                <w:sz w:val="24"/>
                <w:szCs w:val="24"/>
                <w:lang w:val="en-US" w:eastAsia="zh-CN"/>
              </w:rPr>
              <w:t>1</w:t>
            </w:r>
            <w:r>
              <w:rPr>
                <w:color w:val="auto"/>
                <w:sz w:val="24"/>
                <w:szCs w:val="24"/>
              </w:rPr>
              <w:t>。</w:t>
            </w:r>
          </w:p>
          <w:p w14:paraId="6D336E1A">
            <w:pPr>
              <w:jc w:val="center"/>
              <w:rPr>
                <w:b/>
                <w:bCs/>
                <w:color w:val="auto"/>
              </w:rPr>
            </w:pPr>
            <w:r>
              <w:rPr>
                <w:b/>
                <w:bCs/>
                <w:color w:val="auto"/>
                <w:lang w:val="en-GB"/>
              </w:rPr>
              <w:t>表</w:t>
            </w:r>
            <w:r>
              <w:rPr>
                <w:b/>
                <w:bCs/>
                <w:color w:val="auto"/>
              </w:rPr>
              <w:t>2</w:t>
            </w:r>
            <w:r>
              <w:rPr>
                <w:rFonts w:hint="eastAsia"/>
                <w:b/>
                <w:bCs/>
                <w:color w:val="auto"/>
              </w:rPr>
              <w:t>.2</w:t>
            </w:r>
            <w:r>
              <w:rPr>
                <w:b/>
                <w:bCs/>
                <w:color w:val="auto"/>
              </w:rPr>
              <w:t>-</w:t>
            </w:r>
            <w:r>
              <w:rPr>
                <w:rFonts w:hint="eastAsia"/>
                <w:b/>
                <w:bCs/>
                <w:color w:val="auto"/>
                <w:lang w:val="en-US" w:eastAsia="zh-CN"/>
              </w:rPr>
              <w:t>1</w:t>
            </w:r>
            <w:r>
              <w:rPr>
                <w:b/>
                <w:bCs/>
                <w:color w:val="auto"/>
              </w:rPr>
              <w:t>项目工程组成一览表</w:t>
            </w:r>
          </w:p>
          <w:tbl>
            <w:tblPr>
              <w:tblStyle w:val="31"/>
              <w:tblpPr w:leftFromText="180" w:rightFromText="180" w:vertAnchor="text" w:horzAnchor="page" w:tblpXSpec="center" w:tblpY="128"/>
              <w:tblOverlap w:val="never"/>
              <w:tblW w:w="7850"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7" w:type="dxa"/>
                <w:bottom w:w="0" w:type="dxa"/>
                <w:right w:w="57" w:type="dxa"/>
              </w:tblCellMar>
            </w:tblPr>
            <w:tblGrid>
              <w:gridCol w:w="816"/>
              <w:gridCol w:w="370"/>
              <w:gridCol w:w="1044"/>
              <w:gridCol w:w="5620"/>
            </w:tblGrid>
            <w:tr w14:paraId="7CEA70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20" w:hRule="atLeast"/>
                <w:jc w:val="center"/>
              </w:trPr>
              <w:tc>
                <w:tcPr>
                  <w:tcW w:w="2230" w:type="dxa"/>
                  <w:gridSpan w:val="3"/>
                  <w:vAlign w:val="center"/>
                </w:tcPr>
                <w:p w14:paraId="07167834">
                  <w:pPr>
                    <w:pStyle w:val="105"/>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240" w:lineRule="auto"/>
                    <w:ind w:right="0" w:firstLine="0"/>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项目名称</w:t>
                  </w:r>
                </w:p>
              </w:tc>
              <w:tc>
                <w:tcPr>
                  <w:tcW w:w="5620" w:type="dxa"/>
                  <w:vAlign w:val="center"/>
                </w:tcPr>
                <w:p w14:paraId="2854C64D">
                  <w:pPr>
                    <w:pStyle w:val="105"/>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240" w:lineRule="auto"/>
                    <w:ind w:right="0" w:firstLine="0"/>
                    <w:textAlignment w:val="auto"/>
                    <w:rPr>
                      <w:rFonts w:hint="default" w:ascii="Times New Roman" w:hAnsi="Times New Roman" w:cs="Times New Roman"/>
                      <w:color w:val="auto"/>
                      <w:sz w:val="21"/>
                      <w:szCs w:val="21"/>
                      <w:highlight w:val="none"/>
                    </w:rPr>
                  </w:pPr>
                  <w:r>
                    <w:rPr>
                      <w:rFonts w:hint="eastAsia" w:eastAsia="宋体"/>
                      <w:color w:val="auto"/>
                      <w:sz w:val="21"/>
                      <w:szCs w:val="21"/>
                      <w:highlight w:val="none"/>
                      <w:lang w:val="en-US" w:eastAsia="zh-CN"/>
                    </w:rPr>
                    <w:t>主要建设内容</w:t>
                  </w:r>
                </w:p>
              </w:tc>
            </w:tr>
            <w:tr w14:paraId="65A309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20" w:hRule="atLeast"/>
                <w:jc w:val="center"/>
              </w:trPr>
              <w:tc>
                <w:tcPr>
                  <w:tcW w:w="816" w:type="dxa"/>
                  <w:vMerge w:val="restart"/>
                  <w:vAlign w:val="center"/>
                </w:tcPr>
                <w:p w14:paraId="2479BDC0">
                  <w:pPr>
                    <w:pStyle w:val="105"/>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240" w:lineRule="auto"/>
                    <w:ind w:right="0" w:firstLine="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主体工程</w:t>
                  </w:r>
                </w:p>
              </w:tc>
              <w:tc>
                <w:tcPr>
                  <w:tcW w:w="1414" w:type="dxa"/>
                  <w:gridSpan w:val="2"/>
                  <w:vAlign w:val="center"/>
                </w:tcPr>
                <w:p w14:paraId="7B555C54">
                  <w:pPr>
                    <w:pStyle w:val="105"/>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240" w:lineRule="auto"/>
                    <w:ind w:right="0" w:rightChars="0" w:firstLine="0"/>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1#厂房</w:t>
                  </w:r>
                </w:p>
              </w:tc>
              <w:tc>
                <w:tcPr>
                  <w:tcW w:w="5620" w:type="dxa"/>
                  <w:vAlign w:val="center"/>
                </w:tcPr>
                <w:p w14:paraId="7D79F2F7">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jc w:val="both"/>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地上10层地下1层，建筑基底面积1586.77</w:t>
                  </w:r>
                  <w:r>
                    <w:rPr>
                      <w:rFonts w:hint="default" w:ascii="Times New Roman" w:hAnsi="Times New Roman" w:cs="Times New Roman"/>
                      <w:color w:val="auto"/>
                      <w:sz w:val="21"/>
                      <w:szCs w:val="21"/>
                      <w:highlight w:val="none"/>
                      <w:lang w:val="en-US" w:eastAsia="zh-CN"/>
                    </w:rPr>
                    <w:t>m</w:t>
                  </w:r>
                  <w:r>
                    <w:rPr>
                      <w:rFonts w:hint="default" w:ascii="Times New Roman" w:hAnsi="Times New Roman" w:cs="Times New Roman"/>
                      <w:color w:val="auto"/>
                      <w:sz w:val="21"/>
                      <w:szCs w:val="21"/>
                      <w:highlight w:val="none"/>
                      <w:vertAlign w:val="superscript"/>
                      <w:lang w:val="en-US" w:eastAsia="zh-CN"/>
                    </w:rPr>
                    <w:t>2</w:t>
                  </w:r>
                  <w:r>
                    <w:rPr>
                      <w:rFonts w:hint="eastAsia"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lang w:val="en-US" w:eastAsia="zh-CN"/>
                    </w:rPr>
                    <w:t>地上计容建筑面积为12147.21</w:t>
                  </w:r>
                  <w:r>
                    <w:rPr>
                      <w:rFonts w:hint="default" w:ascii="Times New Roman" w:hAnsi="Times New Roman" w:cs="Times New Roman"/>
                      <w:color w:val="auto"/>
                      <w:sz w:val="21"/>
                      <w:szCs w:val="21"/>
                      <w:highlight w:val="none"/>
                      <w:lang w:val="en-US" w:eastAsia="zh-CN"/>
                    </w:rPr>
                    <w:t>m</w:t>
                  </w:r>
                  <w:r>
                    <w:rPr>
                      <w:rFonts w:hint="default" w:ascii="Times New Roman" w:hAnsi="Times New Roman" w:cs="Times New Roman"/>
                      <w:color w:val="auto"/>
                      <w:sz w:val="21"/>
                      <w:szCs w:val="21"/>
                      <w:highlight w:val="none"/>
                      <w:vertAlign w:val="superscript"/>
                      <w:lang w:val="en-US" w:eastAsia="zh-CN"/>
                    </w:rPr>
                    <w:t>2</w:t>
                  </w:r>
                  <w:r>
                    <w:rPr>
                      <w:rFonts w:hint="eastAsia"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地下建筑面积1227.21</w:t>
                  </w:r>
                  <w:r>
                    <w:rPr>
                      <w:rFonts w:hint="default" w:ascii="Times New Roman" w:hAnsi="Times New Roman" w:cs="Times New Roman"/>
                      <w:color w:val="auto"/>
                      <w:sz w:val="21"/>
                      <w:szCs w:val="21"/>
                      <w:highlight w:val="none"/>
                      <w:lang w:val="en-US" w:eastAsia="zh-CN"/>
                    </w:rPr>
                    <w:t>m</w:t>
                  </w:r>
                  <w:r>
                    <w:rPr>
                      <w:rFonts w:hint="default" w:ascii="Times New Roman" w:hAnsi="Times New Roman" w:cs="Times New Roman"/>
                      <w:color w:val="auto"/>
                      <w:sz w:val="21"/>
                      <w:szCs w:val="21"/>
                      <w:highlight w:val="none"/>
                      <w:vertAlign w:val="superscript"/>
                      <w:lang w:val="en-US" w:eastAsia="zh-CN"/>
                    </w:rPr>
                    <w:t>2</w:t>
                  </w:r>
                  <w:r>
                    <w:rPr>
                      <w:rFonts w:hint="eastAsia"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主要</w:t>
                  </w:r>
                  <w:r>
                    <w:rPr>
                      <w:rFonts w:hint="eastAsia" w:ascii="Times New Roman" w:hAnsi="Times New Roman" w:cs="Times New Roman"/>
                      <w:color w:val="auto"/>
                      <w:sz w:val="21"/>
                      <w:szCs w:val="21"/>
                      <w:highlight w:val="none"/>
                      <w:vertAlign w:val="baseline"/>
                      <w:lang w:val="en-US" w:eastAsia="zh-CN"/>
                    </w:rPr>
                    <w:t>设有</w:t>
                  </w:r>
                  <w:r>
                    <w:rPr>
                      <w:rFonts w:hint="eastAsia" w:cs="Times New Roman"/>
                      <w:color w:val="auto"/>
                      <w:sz w:val="21"/>
                      <w:szCs w:val="21"/>
                      <w:highlight w:val="none"/>
                      <w:vertAlign w:val="baseline"/>
                      <w:lang w:val="en-US" w:eastAsia="zh-CN"/>
                    </w:rPr>
                    <w:t>研发区以及办公</w:t>
                  </w:r>
                  <w:r>
                    <w:rPr>
                      <w:rFonts w:hint="eastAsia" w:ascii="Times New Roman" w:hAnsi="Times New Roman" w:cs="Times New Roman"/>
                      <w:color w:val="auto"/>
                      <w:sz w:val="21"/>
                      <w:szCs w:val="21"/>
                      <w:highlight w:val="none"/>
                      <w:vertAlign w:val="baseline"/>
                      <w:lang w:val="en-US" w:eastAsia="zh-CN"/>
                    </w:rPr>
                    <w:t>区</w:t>
                  </w:r>
                  <w:r>
                    <w:rPr>
                      <w:rFonts w:hint="eastAsia" w:cs="Times New Roman"/>
                      <w:color w:val="auto"/>
                      <w:sz w:val="21"/>
                      <w:szCs w:val="21"/>
                      <w:highlight w:val="none"/>
                      <w:vertAlign w:val="baseline"/>
                      <w:lang w:val="en-US" w:eastAsia="zh-CN"/>
                    </w:rPr>
                    <w:t>。</w:t>
                  </w:r>
                </w:p>
              </w:tc>
            </w:tr>
            <w:tr w14:paraId="49DB58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20" w:hRule="atLeast"/>
                <w:jc w:val="center"/>
              </w:trPr>
              <w:tc>
                <w:tcPr>
                  <w:tcW w:w="816" w:type="dxa"/>
                  <w:vMerge w:val="continue"/>
                  <w:vAlign w:val="center"/>
                </w:tcPr>
                <w:p w14:paraId="248FADB5">
                  <w:pPr>
                    <w:pStyle w:val="105"/>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240" w:lineRule="auto"/>
                    <w:ind w:right="0" w:firstLine="0"/>
                    <w:textAlignment w:val="auto"/>
                    <w:rPr>
                      <w:rFonts w:hint="default" w:ascii="Times New Roman" w:hAnsi="Times New Roman" w:cs="Times New Roman"/>
                      <w:color w:val="auto"/>
                      <w:sz w:val="21"/>
                      <w:szCs w:val="21"/>
                      <w:highlight w:val="none"/>
                    </w:rPr>
                  </w:pPr>
                </w:p>
              </w:tc>
              <w:tc>
                <w:tcPr>
                  <w:tcW w:w="1414" w:type="dxa"/>
                  <w:gridSpan w:val="2"/>
                  <w:vAlign w:val="center"/>
                </w:tcPr>
                <w:p w14:paraId="10D81079">
                  <w:pPr>
                    <w:pStyle w:val="105"/>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240" w:lineRule="auto"/>
                    <w:ind w:right="0" w:rightChars="0" w:firstLine="0"/>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2#厂房</w:t>
                  </w:r>
                </w:p>
              </w:tc>
              <w:tc>
                <w:tcPr>
                  <w:tcW w:w="5620" w:type="dxa"/>
                  <w:vAlign w:val="center"/>
                </w:tcPr>
                <w:p w14:paraId="5AE79D0D">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jc w:val="both"/>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地上2层，建筑基底面积24149.58</w:t>
                  </w:r>
                  <w:r>
                    <w:rPr>
                      <w:rFonts w:hint="default" w:ascii="Times New Roman" w:hAnsi="Times New Roman" w:cs="Times New Roman"/>
                      <w:color w:val="auto"/>
                      <w:sz w:val="21"/>
                      <w:szCs w:val="21"/>
                      <w:highlight w:val="none"/>
                      <w:lang w:val="en-US" w:eastAsia="zh-CN"/>
                    </w:rPr>
                    <w:t>m</w:t>
                  </w:r>
                  <w:r>
                    <w:rPr>
                      <w:rFonts w:hint="default" w:ascii="Times New Roman" w:hAnsi="Times New Roman" w:cs="Times New Roman"/>
                      <w:color w:val="auto"/>
                      <w:sz w:val="21"/>
                      <w:szCs w:val="21"/>
                      <w:highlight w:val="none"/>
                      <w:vertAlign w:val="superscript"/>
                      <w:lang w:val="en-US" w:eastAsia="zh-CN"/>
                    </w:rPr>
                    <w:t>2</w:t>
                  </w:r>
                  <w:r>
                    <w:rPr>
                      <w:rFonts w:hint="eastAsia"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lang w:val="en-US" w:eastAsia="zh-CN"/>
                    </w:rPr>
                    <w:t>地上计容建筑面积为</w:t>
                  </w:r>
                  <w:r>
                    <w:rPr>
                      <w:rFonts w:hint="eastAsia" w:cs="Times New Roman"/>
                      <w:color w:val="auto"/>
                      <w:sz w:val="24"/>
                      <w:szCs w:val="24"/>
                      <w:highlight w:val="none"/>
                      <w:lang w:val="en-US" w:eastAsia="zh-CN"/>
                    </w:rPr>
                    <w:t>78099.39</w:t>
                  </w:r>
                  <w:r>
                    <w:rPr>
                      <w:rFonts w:hint="default" w:ascii="Times New Roman" w:hAnsi="Times New Roman" w:cs="Times New Roman"/>
                      <w:color w:val="auto"/>
                      <w:sz w:val="21"/>
                      <w:szCs w:val="21"/>
                      <w:highlight w:val="none"/>
                      <w:lang w:val="en-US" w:eastAsia="zh-CN"/>
                    </w:rPr>
                    <w:t>m</w:t>
                  </w:r>
                  <w:r>
                    <w:rPr>
                      <w:rFonts w:hint="default" w:ascii="Times New Roman" w:hAnsi="Times New Roman" w:cs="Times New Roman"/>
                      <w:color w:val="auto"/>
                      <w:sz w:val="21"/>
                      <w:szCs w:val="21"/>
                      <w:highlight w:val="none"/>
                      <w:vertAlign w:val="superscript"/>
                      <w:lang w:val="en-US" w:eastAsia="zh-CN"/>
                    </w:rPr>
                    <w:t>2</w:t>
                  </w:r>
                  <w:r>
                    <w:rPr>
                      <w:rFonts w:hint="eastAsia"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1F包括下料、弯折、焊接、抛丸、组装等工序，以及仓库，测试房等；2F包括弯折、焊接、打磨、脱脂水洗、组装等工序，以及仓库，测试房等。</w:t>
                  </w:r>
                </w:p>
              </w:tc>
            </w:tr>
            <w:tr w14:paraId="7EE595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20" w:hRule="atLeast"/>
                <w:jc w:val="center"/>
              </w:trPr>
              <w:tc>
                <w:tcPr>
                  <w:tcW w:w="816" w:type="dxa"/>
                  <w:vMerge w:val="continue"/>
                  <w:vAlign w:val="center"/>
                </w:tcPr>
                <w:p w14:paraId="534CF771">
                  <w:pPr>
                    <w:pStyle w:val="105"/>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240" w:lineRule="auto"/>
                    <w:ind w:right="0" w:firstLine="0"/>
                    <w:textAlignment w:val="auto"/>
                    <w:rPr>
                      <w:rFonts w:hint="default" w:ascii="Times New Roman" w:hAnsi="Times New Roman" w:cs="Times New Roman"/>
                      <w:color w:val="auto"/>
                      <w:sz w:val="21"/>
                      <w:szCs w:val="21"/>
                      <w:highlight w:val="none"/>
                    </w:rPr>
                  </w:pPr>
                </w:p>
              </w:tc>
              <w:tc>
                <w:tcPr>
                  <w:tcW w:w="1414" w:type="dxa"/>
                  <w:gridSpan w:val="2"/>
                  <w:shd w:val="clear" w:color="auto" w:fill="auto"/>
                  <w:vAlign w:val="center"/>
                </w:tcPr>
                <w:p w14:paraId="2D7224E4">
                  <w:pPr>
                    <w:pStyle w:val="105"/>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3#厂房</w:t>
                  </w:r>
                </w:p>
              </w:tc>
              <w:tc>
                <w:tcPr>
                  <w:tcW w:w="5620" w:type="dxa"/>
                  <w:shd w:val="clear" w:color="auto" w:fill="auto"/>
                  <w:vAlign w:val="center"/>
                </w:tcPr>
                <w:p w14:paraId="183CF7BE">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jc w:val="both"/>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共4F，建筑基底面积558.96</w:t>
                  </w:r>
                  <w:r>
                    <w:rPr>
                      <w:rFonts w:hint="default" w:ascii="Times New Roman" w:hAnsi="Times New Roman" w:cs="Times New Roman"/>
                      <w:color w:val="auto"/>
                      <w:sz w:val="21"/>
                      <w:szCs w:val="21"/>
                      <w:highlight w:val="none"/>
                      <w:lang w:val="en-US" w:eastAsia="zh-CN"/>
                    </w:rPr>
                    <w:t>m</w:t>
                  </w:r>
                  <w:r>
                    <w:rPr>
                      <w:rFonts w:hint="default" w:ascii="Times New Roman" w:hAnsi="Times New Roman" w:cs="Times New Roman"/>
                      <w:color w:val="auto"/>
                      <w:sz w:val="21"/>
                      <w:szCs w:val="21"/>
                      <w:highlight w:val="none"/>
                      <w:vertAlign w:val="superscript"/>
                      <w:lang w:val="en-US" w:eastAsia="zh-CN"/>
                    </w:rPr>
                    <w:t>2</w:t>
                  </w:r>
                  <w:r>
                    <w:rPr>
                      <w:rFonts w:hint="eastAsia"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lang w:val="en-US" w:eastAsia="zh-CN"/>
                    </w:rPr>
                    <w:t>地上计容建筑面积为</w:t>
                  </w:r>
                  <w:r>
                    <w:rPr>
                      <w:rFonts w:hint="eastAsia" w:cs="Times New Roman"/>
                      <w:color w:val="auto"/>
                      <w:sz w:val="24"/>
                      <w:szCs w:val="24"/>
                      <w:highlight w:val="none"/>
                      <w:lang w:val="en-US" w:eastAsia="zh-CN"/>
                    </w:rPr>
                    <w:t>2235.84</w:t>
                  </w:r>
                  <w:r>
                    <w:rPr>
                      <w:rFonts w:hint="default" w:ascii="Times New Roman" w:hAnsi="Times New Roman" w:cs="Times New Roman"/>
                      <w:color w:val="auto"/>
                      <w:sz w:val="21"/>
                      <w:szCs w:val="21"/>
                      <w:highlight w:val="none"/>
                      <w:lang w:val="en-US" w:eastAsia="zh-CN"/>
                    </w:rPr>
                    <w:t>m</w:t>
                  </w:r>
                  <w:r>
                    <w:rPr>
                      <w:rFonts w:hint="default" w:ascii="Times New Roman" w:hAnsi="Times New Roman" w:cs="Times New Roman"/>
                      <w:color w:val="auto"/>
                      <w:sz w:val="21"/>
                      <w:szCs w:val="21"/>
                      <w:highlight w:val="none"/>
                      <w:vertAlign w:val="superscript"/>
                      <w:lang w:val="en-US" w:eastAsia="zh-CN"/>
                    </w:rPr>
                    <w:t>2</w:t>
                  </w:r>
                  <w:r>
                    <w:rPr>
                      <w:rFonts w:hint="eastAsia"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1F</w:t>
                  </w:r>
                  <w:r>
                    <w:rPr>
                      <w:rFonts w:hint="eastAsia" w:ascii="Times New Roman" w:hAnsi="Times New Roman" w:cs="Times New Roman"/>
                      <w:color w:val="auto"/>
                      <w:sz w:val="21"/>
                      <w:szCs w:val="21"/>
                      <w:highlight w:val="none"/>
                      <w:vertAlign w:val="baseline"/>
                      <w:lang w:val="en-US" w:eastAsia="zh-CN"/>
                    </w:rPr>
                    <w:t>设有</w:t>
                  </w:r>
                  <w:r>
                    <w:rPr>
                      <w:rFonts w:hint="eastAsia" w:cs="Times New Roman"/>
                      <w:color w:val="auto"/>
                      <w:sz w:val="21"/>
                      <w:szCs w:val="21"/>
                      <w:highlight w:val="none"/>
                      <w:vertAlign w:val="baseline"/>
                      <w:lang w:val="en-US" w:eastAsia="zh-CN"/>
                    </w:rPr>
                    <w:t>储能柜组装区</w:t>
                  </w:r>
                  <w:r>
                    <w:rPr>
                      <w:rFonts w:hint="eastAsia" w:ascii="Times New Roman" w:hAnsi="Times New Roman" w:cs="Times New Roman"/>
                      <w:color w:val="auto"/>
                      <w:sz w:val="21"/>
                      <w:szCs w:val="21"/>
                      <w:highlight w:val="none"/>
                      <w:vertAlign w:val="baseline"/>
                      <w:lang w:val="en-US" w:eastAsia="zh-CN"/>
                    </w:rPr>
                    <w:t>，成品仓库</w:t>
                  </w:r>
                  <w:r>
                    <w:rPr>
                      <w:rFonts w:hint="eastAsia" w:cs="Times New Roman"/>
                      <w:color w:val="auto"/>
                      <w:sz w:val="21"/>
                      <w:szCs w:val="21"/>
                      <w:highlight w:val="none"/>
                      <w:vertAlign w:val="baseline"/>
                      <w:lang w:val="en-US" w:eastAsia="zh-CN"/>
                    </w:rPr>
                    <w:t>；2F～4F仓库。</w:t>
                  </w:r>
                </w:p>
              </w:tc>
            </w:tr>
            <w:tr w14:paraId="5C76EB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20" w:hRule="atLeast"/>
                <w:jc w:val="center"/>
              </w:trPr>
              <w:tc>
                <w:tcPr>
                  <w:tcW w:w="816" w:type="dxa"/>
                  <w:vMerge w:val="restart"/>
                  <w:vAlign w:val="center"/>
                </w:tcPr>
                <w:p w14:paraId="247E96B2">
                  <w:pPr>
                    <w:pStyle w:val="105"/>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240" w:lineRule="auto"/>
                    <w:ind w:right="0" w:firstLine="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公用工程</w:t>
                  </w:r>
                </w:p>
              </w:tc>
              <w:tc>
                <w:tcPr>
                  <w:tcW w:w="1414" w:type="dxa"/>
                  <w:gridSpan w:val="2"/>
                  <w:vAlign w:val="center"/>
                </w:tcPr>
                <w:p w14:paraId="565B6A36">
                  <w:pPr>
                    <w:pStyle w:val="105"/>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240" w:lineRule="auto"/>
                    <w:ind w:right="0" w:firstLine="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供水</w:t>
                  </w:r>
                </w:p>
              </w:tc>
              <w:tc>
                <w:tcPr>
                  <w:tcW w:w="5620" w:type="dxa"/>
                  <w:vAlign w:val="center"/>
                </w:tcPr>
                <w:p w14:paraId="130C885E">
                  <w:pPr>
                    <w:pStyle w:val="105"/>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Times New Roman" w:hAnsi="Times New Roman" w:cs="Times New Roman"/>
                      <w:color w:val="auto"/>
                      <w:sz w:val="21"/>
                      <w:szCs w:val="21"/>
                      <w:highlight w:val="none"/>
                    </w:rPr>
                  </w:pPr>
                  <w:r>
                    <w:rPr>
                      <w:color w:val="auto"/>
                      <w:spacing w:val="-4"/>
                      <w:sz w:val="21"/>
                      <w:highlight w:val="none"/>
                    </w:rPr>
                    <w:t>接市政供水管网</w:t>
                  </w:r>
                </w:p>
              </w:tc>
            </w:tr>
            <w:tr w14:paraId="29F011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20" w:hRule="atLeast"/>
                <w:jc w:val="center"/>
              </w:trPr>
              <w:tc>
                <w:tcPr>
                  <w:tcW w:w="816" w:type="dxa"/>
                  <w:vMerge w:val="continue"/>
                  <w:vAlign w:val="center"/>
                </w:tcPr>
                <w:p w14:paraId="6753A81D">
                  <w:pPr>
                    <w:pStyle w:val="105"/>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240" w:lineRule="auto"/>
                    <w:ind w:right="0" w:firstLine="0"/>
                    <w:textAlignment w:val="auto"/>
                    <w:rPr>
                      <w:rFonts w:hint="default" w:ascii="Times New Roman" w:hAnsi="Times New Roman" w:cs="Times New Roman"/>
                      <w:color w:val="auto"/>
                      <w:sz w:val="21"/>
                      <w:szCs w:val="21"/>
                      <w:highlight w:val="none"/>
                    </w:rPr>
                  </w:pPr>
                </w:p>
              </w:tc>
              <w:tc>
                <w:tcPr>
                  <w:tcW w:w="1414" w:type="dxa"/>
                  <w:gridSpan w:val="2"/>
                  <w:vAlign w:val="center"/>
                </w:tcPr>
                <w:p w14:paraId="479F6700">
                  <w:pPr>
                    <w:pStyle w:val="105"/>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240" w:lineRule="auto"/>
                    <w:ind w:right="0" w:firstLine="0"/>
                    <w:textAlignment w:val="auto"/>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eastAsia="zh-CN"/>
                    </w:rPr>
                    <w:t>供气</w:t>
                  </w:r>
                </w:p>
              </w:tc>
              <w:tc>
                <w:tcPr>
                  <w:tcW w:w="5620" w:type="dxa"/>
                  <w:vAlign w:val="center"/>
                </w:tcPr>
                <w:p w14:paraId="4FC47E25">
                  <w:pPr>
                    <w:pStyle w:val="105"/>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eastAsia="宋体"/>
                      <w:color w:val="auto"/>
                      <w:spacing w:val="-4"/>
                      <w:sz w:val="21"/>
                      <w:highlight w:val="none"/>
                      <w:lang w:val="en-US" w:eastAsia="zh-CN"/>
                    </w:rPr>
                  </w:pPr>
                  <w:r>
                    <w:rPr>
                      <w:rFonts w:hint="eastAsia"/>
                      <w:color w:val="auto"/>
                      <w:spacing w:val="-4"/>
                      <w:sz w:val="21"/>
                      <w:highlight w:val="none"/>
                      <w:lang w:eastAsia="zh-CN"/>
                    </w:rPr>
                    <w:t>接</w:t>
                  </w:r>
                  <w:r>
                    <w:rPr>
                      <w:rFonts w:hint="eastAsia"/>
                      <w:color w:val="auto"/>
                      <w:spacing w:val="-4"/>
                      <w:sz w:val="21"/>
                      <w:highlight w:val="none"/>
                      <w:lang w:val="en-US" w:eastAsia="zh-CN"/>
                    </w:rPr>
                    <w:t>市政供气</w:t>
                  </w:r>
                </w:p>
              </w:tc>
            </w:tr>
            <w:tr w14:paraId="66667C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20" w:hRule="atLeast"/>
                <w:jc w:val="center"/>
              </w:trPr>
              <w:tc>
                <w:tcPr>
                  <w:tcW w:w="816" w:type="dxa"/>
                  <w:vMerge w:val="continue"/>
                  <w:vAlign w:val="center"/>
                </w:tcPr>
                <w:p w14:paraId="3F586C87">
                  <w:pPr>
                    <w:pStyle w:val="105"/>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240" w:lineRule="auto"/>
                    <w:ind w:right="0" w:firstLine="0"/>
                    <w:textAlignment w:val="auto"/>
                    <w:rPr>
                      <w:rFonts w:hint="default" w:ascii="Times New Roman" w:hAnsi="Times New Roman" w:cs="Times New Roman"/>
                      <w:color w:val="auto"/>
                      <w:sz w:val="21"/>
                      <w:szCs w:val="21"/>
                      <w:highlight w:val="none"/>
                    </w:rPr>
                  </w:pPr>
                </w:p>
              </w:tc>
              <w:tc>
                <w:tcPr>
                  <w:tcW w:w="1414" w:type="dxa"/>
                  <w:gridSpan w:val="2"/>
                  <w:vAlign w:val="center"/>
                </w:tcPr>
                <w:p w14:paraId="62EEC35E">
                  <w:pPr>
                    <w:pStyle w:val="105"/>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240" w:lineRule="auto"/>
                    <w:ind w:right="0" w:firstLine="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供电</w:t>
                  </w:r>
                </w:p>
              </w:tc>
              <w:tc>
                <w:tcPr>
                  <w:tcW w:w="5620" w:type="dxa"/>
                  <w:vAlign w:val="center"/>
                </w:tcPr>
                <w:p w14:paraId="75592C7E">
                  <w:pPr>
                    <w:pStyle w:val="105"/>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Times New Roman" w:hAnsi="Times New Roman" w:cs="Times New Roman"/>
                      <w:color w:val="auto"/>
                      <w:sz w:val="21"/>
                      <w:szCs w:val="21"/>
                      <w:highlight w:val="none"/>
                    </w:rPr>
                  </w:pPr>
                  <w:r>
                    <w:rPr>
                      <w:color w:val="auto"/>
                      <w:spacing w:val="-4"/>
                      <w:sz w:val="21"/>
                      <w:highlight w:val="none"/>
                    </w:rPr>
                    <w:t>接市政供电系统</w:t>
                  </w:r>
                </w:p>
              </w:tc>
            </w:tr>
            <w:tr w14:paraId="105005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20" w:hRule="atLeast"/>
                <w:jc w:val="center"/>
              </w:trPr>
              <w:tc>
                <w:tcPr>
                  <w:tcW w:w="816" w:type="dxa"/>
                  <w:vMerge w:val="continue"/>
                  <w:vAlign w:val="center"/>
                </w:tcPr>
                <w:p w14:paraId="0E6DF369">
                  <w:pPr>
                    <w:pStyle w:val="105"/>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240" w:lineRule="auto"/>
                    <w:ind w:right="0" w:firstLine="0"/>
                    <w:textAlignment w:val="auto"/>
                    <w:rPr>
                      <w:rFonts w:hint="default" w:ascii="Times New Roman" w:hAnsi="Times New Roman" w:cs="Times New Roman"/>
                      <w:color w:val="auto"/>
                      <w:sz w:val="21"/>
                      <w:szCs w:val="21"/>
                      <w:highlight w:val="none"/>
                    </w:rPr>
                  </w:pPr>
                </w:p>
              </w:tc>
              <w:tc>
                <w:tcPr>
                  <w:tcW w:w="1414" w:type="dxa"/>
                  <w:gridSpan w:val="2"/>
                  <w:vAlign w:val="center"/>
                </w:tcPr>
                <w:p w14:paraId="53115859">
                  <w:pPr>
                    <w:pStyle w:val="105"/>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240" w:lineRule="auto"/>
                    <w:ind w:right="0" w:firstLine="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排水</w:t>
                  </w:r>
                </w:p>
              </w:tc>
              <w:tc>
                <w:tcPr>
                  <w:tcW w:w="5620" w:type="dxa"/>
                  <w:vAlign w:val="center"/>
                </w:tcPr>
                <w:p w14:paraId="5DFC50CC">
                  <w:pPr>
                    <w:pStyle w:val="105"/>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240" w:lineRule="auto"/>
                    <w:ind w:right="0" w:firstLine="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shd w:val="clear"/>
                    </w:rPr>
                    <w:t>雨污分流，厂区</w:t>
                  </w:r>
                  <w:r>
                    <w:rPr>
                      <w:rFonts w:hint="default" w:ascii="Times New Roman" w:hAnsi="Times New Roman" w:cs="Times New Roman"/>
                      <w:color w:val="auto"/>
                      <w:sz w:val="21"/>
                      <w:szCs w:val="21"/>
                      <w:highlight w:val="none"/>
                      <w:shd w:val="clear"/>
                      <w:lang w:val="en-US" w:eastAsia="zh-CN"/>
                    </w:rPr>
                    <w:t>生活污水经化粪池</w:t>
                  </w:r>
                  <w:r>
                    <w:rPr>
                      <w:rFonts w:hint="default" w:ascii="Times New Roman" w:hAnsi="Times New Roman" w:cs="Times New Roman"/>
                      <w:color w:val="auto"/>
                      <w:sz w:val="21"/>
                      <w:szCs w:val="21"/>
                      <w:highlight w:val="none"/>
                      <w:shd w:val="clear"/>
                    </w:rPr>
                    <w:t>预处理后接入市政污水管网，纳入</w:t>
                  </w:r>
                  <w:r>
                    <w:rPr>
                      <w:rFonts w:hint="eastAsia" w:cs="Times New Roman"/>
                      <w:color w:val="auto"/>
                      <w:sz w:val="21"/>
                      <w:szCs w:val="21"/>
                      <w:highlight w:val="none"/>
                      <w:shd w:val="clear"/>
                      <w:lang w:eastAsia="zh-CN"/>
                    </w:rPr>
                    <w:t>闽侯县竹岐乡污水处理厂</w:t>
                  </w:r>
                  <w:r>
                    <w:rPr>
                      <w:rFonts w:hint="default" w:ascii="Times New Roman" w:hAnsi="Times New Roman" w:cs="Times New Roman"/>
                      <w:color w:val="auto"/>
                      <w:sz w:val="21"/>
                      <w:szCs w:val="21"/>
                      <w:highlight w:val="none"/>
                      <w:lang w:val="en-US" w:eastAsia="zh-CN"/>
                    </w:rPr>
                    <w:t>集中处理</w:t>
                  </w:r>
                  <w:r>
                    <w:rPr>
                      <w:rFonts w:hint="eastAsia" w:cs="Times New Roman"/>
                      <w:color w:val="auto"/>
                      <w:sz w:val="21"/>
                      <w:szCs w:val="21"/>
                      <w:highlight w:val="none"/>
                      <w:lang w:val="en-US" w:eastAsia="zh-CN"/>
                    </w:rPr>
                    <w:t>。</w:t>
                  </w:r>
                </w:p>
              </w:tc>
            </w:tr>
            <w:tr w14:paraId="122A44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20" w:hRule="atLeast"/>
                <w:jc w:val="center"/>
              </w:trPr>
              <w:tc>
                <w:tcPr>
                  <w:tcW w:w="816" w:type="dxa"/>
                  <w:vMerge w:val="restart"/>
                  <w:vAlign w:val="center"/>
                </w:tcPr>
                <w:p w14:paraId="0283CD82">
                  <w:pPr>
                    <w:pStyle w:val="105"/>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240" w:lineRule="auto"/>
                    <w:ind w:right="0" w:firstLine="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环保工程</w:t>
                  </w:r>
                </w:p>
              </w:tc>
              <w:tc>
                <w:tcPr>
                  <w:tcW w:w="370" w:type="dxa"/>
                  <w:vMerge w:val="restart"/>
                  <w:vAlign w:val="center"/>
                </w:tcPr>
                <w:p w14:paraId="44DF8010">
                  <w:pPr>
                    <w:pStyle w:val="105"/>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240" w:lineRule="auto"/>
                    <w:ind w:right="0" w:firstLine="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废气</w:t>
                  </w:r>
                </w:p>
              </w:tc>
              <w:tc>
                <w:tcPr>
                  <w:tcW w:w="1044" w:type="dxa"/>
                  <w:shd w:val="clear" w:color="auto" w:fill="auto"/>
                  <w:vAlign w:val="center"/>
                </w:tcPr>
                <w:p w14:paraId="0D0B45A0">
                  <w:pPr>
                    <w:keepNext w:val="0"/>
                    <w:keepLines w:val="0"/>
                    <w:pageBreakBefore w:val="0"/>
                    <w:widowControl w:val="0"/>
                    <w:kinsoku/>
                    <w:wordWrap/>
                    <w:overflowPunct/>
                    <w:topLinePunct w:val="0"/>
                    <w:autoSpaceDE/>
                    <w:autoSpaceDN/>
                    <w:bidi w:val="0"/>
                    <w:adjustRightInd w:val="0"/>
                    <w:spacing w:line="320" w:lineRule="exact"/>
                    <w:ind w:firstLine="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切割废气</w:t>
                  </w:r>
                </w:p>
              </w:tc>
              <w:tc>
                <w:tcPr>
                  <w:tcW w:w="5620" w:type="dxa"/>
                  <w:shd w:val="clear" w:color="auto" w:fill="auto"/>
                  <w:vAlign w:val="center"/>
                </w:tcPr>
                <w:p w14:paraId="78105330">
                  <w:pPr>
                    <w:pStyle w:val="27"/>
                    <w:keepNext w:val="0"/>
                    <w:keepLines w:val="0"/>
                    <w:pageBreakBefore w:val="0"/>
                    <w:widowControl w:val="0"/>
                    <w:kinsoku/>
                    <w:wordWrap/>
                    <w:overflowPunct/>
                    <w:topLinePunct w:val="0"/>
                    <w:autoSpaceDE/>
                    <w:autoSpaceDN/>
                    <w:bidi w:val="0"/>
                    <w:adjustRightInd w:val="0"/>
                    <w:snapToGrid w:val="0"/>
                    <w:spacing w:before="0" w:beforeAutospacing="0" w:after="0" w:afterAutospacing="0"/>
                    <w:ind w:left="0" w:leftChars="0" w:right="0" w:rightChars="0" w:firstLine="0"/>
                    <w:jc w:val="left"/>
                    <w:outlineLvl w:val="2"/>
                    <w:rPr>
                      <w:rFonts w:hint="eastAsia"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项目</w:t>
                  </w:r>
                  <w:r>
                    <w:rPr>
                      <w:rFonts w:hint="eastAsia" w:ascii="Times New Roman" w:hAnsi="Times New Roman" w:cs="Times New Roman"/>
                      <w:color w:val="auto"/>
                      <w:kern w:val="0"/>
                      <w:sz w:val="21"/>
                      <w:szCs w:val="21"/>
                      <w:highlight w:val="none"/>
                      <w:lang w:val="en-US" w:eastAsia="zh-CN" w:bidi="ar"/>
                    </w:rPr>
                    <w:t>切割</w:t>
                  </w:r>
                  <w:r>
                    <w:rPr>
                      <w:rFonts w:hint="eastAsia" w:ascii="Times New Roman" w:hAnsi="Times New Roman" w:eastAsia="宋体" w:cs="Times New Roman"/>
                      <w:color w:val="auto"/>
                      <w:kern w:val="0"/>
                      <w:sz w:val="21"/>
                      <w:szCs w:val="21"/>
                      <w:highlight w:val="none"/>
                      <w:lang w:val="en-US" w:eastAsia="zh-CN" w:bidi="ar"/>
                    </w:rPr>
                    <w:t>粉尘经收集后通过1套布袋除尘治理后，引至1根</w:t>
                  </w:r>
                  <w:r>
                    <w:rPr>
                      <w:rFonts w:hint="eastAsia" w:ascii="Times New Roman" w:hAnsi="Times New Roman" w:cs="Times New Roman"/>
                      <w:color w:val="auto"/>
                      <w:kern w:val="0"/>
                      <w:sz w:val="21"/>
                      <w:szCs w:val="21"/>
                      <w:highlight w:val="none"/>
                      <w:lang w:val="en-US" w:eastAsia="zh-CN" w:bidi="ar"/>
                    </w:rPr>
                    <w:t>2</w:t>
                  </w:r>
                  <w:r>
                    <w:rPr>
                      <w:rFonts w:hint="eastAsia" w:ascii="Times New Roman" w:hAnsi="Times New Roman" w:eastAsia="宋体" w:cs="Times New Roman"/>
                      <w:color w:val="auto"/>
                      <w:kern w:val="0"/>
                      <w:sz w:val="21"/>
                      <w:szCs w:val="21"/>
                      <w:highlight w:val="none"/>
                      <w:lang w:val="en-US" w:eastAsia="zh-CN" w:bidi="ar"/>
                    </w:rPr>
                    <w:t>5m高排气筒排放</w:t>
                  </w:r>
                  <w:r>
                    <w:rPr>
                      <w:rFonts w:hint="eastAsia" w:ascii="Times New Roman" w:hAnsi="Times New Roman" w:cs="Times New Roman"/>
                      <w:color w:val="auto"/>
                      <w:kern w:val="0"/>
                      <w:sz w:val="21"/>
                      <w:szCs w:val="21"/>
                      <w:highlight w:val="none"/>
                      <w:lang w:val="en-US" w:eastAsia="zh-CN" w:bidi="ar"/>
                    </w:rPr>
                    <w:t>（</w:t>
                  </w:r>
                  <w:r>
                    <w:rPr>
                      <w:rFonts w:hint="eastAsia" w:ascii="Times New Roman" w:hAnsi="Times New Roman" w:eastAsia="宋体" w:cs="Times New Roman"/>
                      <w:color w:val="auto"/>
                      <w:kern w:val="0"/>
                      <w:sz w:val="21"/>
                      <w:szCs w:val="21"/>
                      <w:highlight w:val="none"/>
                      <w:lang w:val="en-US" w:eastAsia="zh-CN" w:bidi="ar"/>
                    </w:rPr>
                    <w:t>DA00</w:t>
                  </w:r>
                  <w:r>
                    <w:rPr>
                      <w:rFonts w:hint="eastAsia" w:cs="Times New Roman"/>
                      <w:color w:val="auto"/>
                      <w:kern w:val="0"/>
                      <w:sz w:val="21"/>
                      <w:szCs w:val="21"/>
                      <w:highlight w:val="none"/>
                      <w:lang w:val="en-US" w:eastAsia="zh-CN" w:bidi="ar"/>
                    </w:rPr>
                    <w:t>1）</w:t>
                  </w:r>
                </w:p>
              </w:tc>
            </w:tr>
            <w:tr w14:paraId="140643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20" w:hRule="atLeast"/>
                <w:jc w:val="center"/>
              </w:trPr>
              <w:tc>
                <w:tcPr>
                  <w:tcW w:w="816" w:type="dxa"/>
                  <w:vMerge w:val="continue"/>
                  <w:vAlign w:val="center"/>
                </w:tcPr>
                <w:p w14:paraId="668907CB">
                  <w:pPr>
                    <w:pStyle w:val="105"/>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240" w:lineRule="auto"/>
                    <w:ind w:right="0" w:firstLine="0"/>
                    <w:textAlignment w:val="auto"/>
                    <w:rPr>
                      <w:rFonts w:hint="default" w:ascii="Times New Roman" w:hAnsi="Times New Roman" w:cs="Times New Roman"/>
                      <w:color w:val="auto"/>
                      <w:sz w:val="21"/>
                      <w:szCs w:val="21"/>
                      <w:highlight w:val="none"/>
                    </w:rPr>
                  </w:pPr>
                </w:p>
              </w:tc>
              <w:tc>
                <w:tcPr>
                  <w:tcW w:w="370" w:type="dxa"/>
                  <w:vMerge w:val="continue"/>
                  <w:vAlign w:val="center"/>
                </w:tcPr>
                <w:p w14:paraId="73F0A63C">
                  <w:pPr>
                    <w:pStyle w:val="105"/>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240" w:lineRule="auto"/>
                    <w:ind w:right="0" w:firstLine="0"/>
                    <w:textAlignment w:val="auto"/>
                    <w:rPr>
                      <w:rFonts w:hint="default" w:ascii="Times New Roman" w:hAnsi="Times New Roman" w:cs="Times New Roman"/>
                      <w:color w:val="auto"/>
                      <w:sz w:val="21"/>
                      <w:szCs w:val="21"/>
                      <w:highlight w:val="none"/>
                    </w:rPr>
                  </w:pPr>
                </w:p>
              </w:tc>
              <w:tc>
                <w:tcPr>
                  <w:tcW w:w="1044" w:type="dxa"/>
                  <w:shd w:val="clear" w:color="auto" w:fill="auto"/>
                  <w:vAlign w:val="center"/>
                </w:tcPr>
                <w:p w14:paraId="3CC94716">
                  <w:pPr>
                    <w:keepNext w:val="0"/>
                    <w:keepLines w:val="0"/>
                    <w:pageBreakBefore w:val="0"/>
                    <w:widowControl w:val="0"/>
                    <w:kinsoku/>
                    <w:wordWrap/>
                    <w:overflowPunct/>
                    <w:topLinePunct w:val="0"/>
                    <w:autoSpaceDE/>
                    <w:autoSpaceDN/>
                    <w:bidi w:val="0"/>
                    <w:adjustRightInd w:val="0"/>
                    <w:spacing w:line="320" w:lineRule="exact"/>
                    <w:ind w:firstLine="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焊接</w:t>
                  </w:r>
                  <w:r>
                    <w:rPr>
                      <w:rFonts w:hint="eastAsia" w:ascii="Times New Roman" w:hAnsi="Times New Roman" w:eastAsia="宋体"/>
                      <w:color w:val="auto"/>
                      <w:szCs w:val="21"/>
                      <w:highlight w:val="none"/>
                      <w:lang w:val="en-US" w:eastAsia="zh-CN"/>
                    </w:rPr>
                    <w:t>废气</w:t>
                  </w:r>
                </w:p>
              </w:tc>
              <w:tc>
                <w:tcPr>
                  <w:tcW w:w="5620" w:type="dxa"/>
                  <w:shd w:val="clear" w:color="auto" w:fill="auto"/>
                  <w:vAlign w:val="center"/>
                </w:tcPr>
                <w:p w14:paraId="6485DB87">
                  <w:pPr>
                    <w:pStyle w:val="27"/>
                    <w:keepNext w:val="0"/>
                    <w:keepLines w:val="0"/>
                    <w:pageBreakBefore w:val="0"/>
                    <w:widowControl w:val="0"/>
                    <w:kinsoku/>
                    <w:wordWrap/>
                    <w:overflowPunct/>
                    <w:topLinePunct w:val="0"/>
                    <w:autoSpaceDE/>
                    <w:autoSpaceDN/>
                    <w:bidi w:val="0"/>
                    <w:adjustRightInd w:val="0"/>
                    <w:snapToGrid w:val="0"/>
                    <w:spacing w:before="0" w:beforeAutospacing="0" w:after="0" w:afterAutospacing="0"/>
                    <w:ind w:left="0" w:leftChars="0" w:right="0" w:rightChars="0" w:firstLine="0"/>
                    <w:jc w:val="left"/>
                    <w:outlineLvl w:val="2"/>
                    <w:rPr>
                      <w:rFonts w:hint="eastAsia" w:ascii="Times New Roman" w:hAnsi="Times New Roman" w:eastAsia="宋体"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焊接烟尘采用移动式焊烟除尘设施处理，以无组织形式排放</w:t>
                  </w:r>
                </w:p>
              </w:tc>
            </w:tr>
            <w:tr w14:paraId="526885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20" w:hRule="atLeast"/>
                <w:jc w:val="center"/>
              </w:trPr>
              <w:tc>
                <w:tcPr>
                  <w:tcW w:w="816" w:type="dxa"/>
                  <w:vMerge w:val="continue"/>
                  <w:vAlign w:val="center"/>
                </w:tcPr>
                <w:p w14:paraId="4C946644">
                  <w:pPr>
                    <w:pStyle w:val="105"/>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240" w:lineRule="auto"/>
                    <w:ind w:right="0" w:firstLine="0"/>
                    <w:textAlignment w:val="auto"/>
                    <w:rPr>
                      <w:color w:val="auto"/>
                      <w:highlight w:val="none"/>
                    </w:rPr>
                  </w:pPr>
                </w:p>
              </w:tc>
              <w:tc>
                <w:tcPr>
                  <w:tcW w:w="370" w:type="dxa"/>
                  <w:vMerge w:val="continue"/>
                  <w:vAlign w:val="center"/>
                </w:tcPr>
                <w:p w14:paraId="51E4310E">
                  <w:pPr>
                    <w:pStyle w:val="105"/>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240" w:lineRule="auto"/>
                    <w:ind w:right="0" w:firstLine="0"/>
                    <w:textAlignment w:val="auto"/>
                    <w:rPr>
                      <w:color w:val="auto"/>
                      <w:highlight w:val="none"/>
                    </w:rPr>
                  </w:pPr>
                </w:p>
              </w:tc>
              <w:tc>
                <w:tcPr>
                  <w:tcW w:w="1044" w:type="dxa"/>
                  <w:shd w:val="clear" w:color="auto" w:fill="auto"/>
                  <w:vAlign w:val="center"/>
                </w:tcPr>
                <w:p w14:paraId="5849316C">
                  <w:pPr>
                    <w:keepNext w:val="0"/>
                    <w:keepLines w:val="0"/>
                    <w:pageBreakBefore w:val="0"/>
                    <w:widowControl w:val="0"/>
                    <w:kinsoku/>
                    <w:wordWrap/>
                    <w:overflowPunct/>
                    <w:topLinePunct w:val="0"/>
                    <w:autoSpaceDE/>
                    <w:autoSpaceDN/>
                    <w:bidi w:val="0"/>
                    <w:adjustRightInd w:val="0"/>
                    <w:spacing w:line="320" w:lineRule="exact"/>
                    <w:ind w:firstLine="0"/>
                    <w:jc w:val="center"/>
                    <w:textAlignment w:val="center"/>
                    <w:rPr>
                      <w:rFonts w:hint="default" w:ascii="Times New Roman" w:hAnsi="Times New Roman" w:eastAsia="宋体" w:cs="宋体"/>
                      <w:bCs/>
                      <w:iCs/>
                      <w:color w:val="auto"/>
                      <w:kern w:val="2"/>
                      <w:sz w:val="21"/>
                      <w:szCs w:val="21"/>
                      <w:highlight w:val="none"/>
                      <w:lang w:val="en-US" w:eastAsia="zh-CN" w:bidi="ar-SA"/>
                    </w:rPr>
                  </w:pPr>
                  <w:r>
                    <w:rPr>
                      <w:rFonts w:hint="eastAsia"/>
                      <w:color w:val="auto"/>
                      <w:szCs w:val="21"/>
                      <w:highlight w:val="none"/>
                      <w:lang w:val="en-US" w:eastAsia="zh-CN"/>
                    </w:rPr>
                    <w:t>抛丸、喷砂废气</w:t>
                  </w:r>
                </w:p>
              </w:tc>
              <w:tc>
                <w:tcPr>
                  <w:tcW w:w="5620" w:type="dxa"/>
                  <w:shd w:val="clear" w:color="auto" w:fill="auto"/>
                  <w:vAlign w:val="center"/>
                </w:tcPr>
                <w:p w14:paraId="785DACFD">
                  <w:pPr>
                    <w:keepNext w:val="0"/>
                    <w:keepLines w:val="0"/>
                    <w:pageBreakBefore w:val="0"/>
                    <w:widowControl w:val="0"/>
                    <w:kinsoku/>
                    <w:wordWrap/>
                    <w:overflowPunct/>
                    <w:topLinePunct w:val="0"/>
                    <w:autoSpaceDE/>
                    <w:autoSpaceDN/>
                    <w:bidi w:val="0"/>
                    <w:adjustRightInd w:val="0"/>
                    <w:snapToGrid w:val="0"/>
                    <w:ind w:firstLine="0"/>
                    <w:jc w:val="left"/>
                    <w:outlineLvl w:val="2"/>
                    <w:rPr>
                      <w:rFonts w:hint="default" w:ascii="Times New Roman" w:hAnsi="Times New Roman" w:eastAsia="宋体" w:cs="宋体"/>
                      <w:bCs/>
                      <w:iCs/>
                      <w:color w:val="auto"/>
                      <w:kern w:val="2"/>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
                    </w:rPr>
                    <w:t>项目</w:t>
                  </w:r>
                  <w:r>
                    <w:rPr>
                      <w:rFonts w:hint="eastAsia" w:cs="Times New Roman"/>
                      <w:color w:val="auto"/>
                      <w:kern w:val="0"/>
                      <w:sz w:val="21"/>
                      <w:szCs w:val="21"/>
                      <w:highlight w:val="none"/>
                      <w:lang w:val="en-US" w:eastAsia="zh-CN" w:bidi="ar"/>
                    </w:rPr>
                    <w:t>抛丸、喷砂</w:t>
                  </w:r>
                  <w:r>
                    <w:rPr>
                      <w:rFonts w:hint="eastAsia" w:ascii="Times New Roman" w:hAnsi="Times New Roman" w:eastAsia="宋体" w:cs="Times New Roman"/>
                      <w:color w:val="auto"/>
                      <w:kern w:val="0"/>
                      <w:sz w:val="21"/>
                      <w:szCs w:val="21"/>
                      <w:highlight w:val="none"/>
                      <w:lang w:val="en-US" w:eastAsia="zh-CN" w:bidi="ar"/>
                    </w:rPr>
                    <w:t>粉尘</w:t>
                  </w:r>
                  <w:r>
                    <w:rPr>
                      <w:rFonts w:hint="eastAsia" w:ascii="Times New Roman" w:hAnsi="Times New Roman" w:cs="Times New Roman"/>
                      <w:color w:val="auto"/>
                      <w:kern w:val="0"/>
                      <w:sz w:val="21"/>
                      <w:szCs w:val="21"/>
                      <w:highlight w:val="none"/>
                      <w:lang w:val="en-US" w:eastAsia="zh-CN" w:bidi="ar"/>
                    </w:rPr>
                    <w:t>废气</w:t>
                  </w:r>
                  <w:r>
                    <w:rPr>
                      <w:rFonts w:hint="eastAsia" w:ascii="Times New Roman" w:hAnsi="Times New Roman" w:eastAsia="宋体" w:cs="Times New Roman"/>
                      <w:color w:val="auto"/>
                      <w:kern w:val="0"/>
                      <w:sz w:val="21"/>
                      <w:szCs w:val="21"/>
                      <w:highlight w:val="none"/>
                      <w:lang w:val="en-US" w:eastAsia="zh-CN" w:bidi="ar"/>
                    </w:rPr>
                    <w:t>经收集后通过1套布袋除尘治理后，引至1根</w:t>
                  </w:r>
                  <w:r>
                    <w:rPr>
                      <w:rFonts w:hint="eastAsia" w:cs="Times New Roman"/>
                      <w:color w:val="auto"/>
                      <w:kern w:val="0"/>
                      <w:sz w:val="21"/>
                      <w:szCs w:val="21"/>
                      <w:highlight w:val="none"/>
                      <w:lang w:val="en-US" w:eastAsia="zh-CN" w:bidi="ar"/>
                    </w:rPr>
                    <w:t>2</w:t>
                  </w:r>
                  <w:r>
                    <w:rPr>
                      <w:rFonts w:hint="eastAsia" w:ascii="Times New Roman" w:hAnsi="Times New Roman" w:eastAsia="宋体" w:cs="Times New Roman"/>
                      <w:color w:val="auto"/>
                      <w:kern w:val="0"/>
                      <w:sz w:val="21"/>
                      <w:szCs w:val="21"/>
                      <w:highlight w:val="none"/>
                      <w:lang w:val="en-US" w:eastAsia="zh-CN" w:bidi="ar"/>
                    </w:rPr>
                    <w:t>5m高排气筒排放</w:t>
                  </w:r>
                  <w:r>
                    <w:rPr>
                      <w:rFonts w:hint="eastAsia" w:cs="Times New Roman"/>
                      <w:color w:val="auto"/>
                      <w:kern w:val="0"/>
                      <w:sz w:val="21"/>
                      <w:szCs w:val="21"/>
                      <w:highlight w:val="none"/>
                      <w:lang w:val="en-US" w:eastAsia="zh-CN" w:bidi="ar"/>
                    </w:rPr>
                    <w:t>（</w:t>
                  </w:r>
                  <w:r>
                    <w:rPr>
                      <w:rFonts w:hint="eastAsia" w:ascii="Times New Roman" w:hAnsi="Times New Roman" w:eastAsia="宋体" w:cs="Times New Roman"/>
                      <w:color w:val="auto"/>
                      <w:kern w:val="0"/>
                      <w:sz w:val="21"/>
                      <w:szCs w:val="21"/>
                      <w:highlight w:val="none"/>
                      <w:lang w:val="en-US" w:eastAsia="zh-CN" w:bidi="ar"/>
                    </w:rPr>
                    <w:t>DA00</w:t>
                  </w:r>
                  <w:r>
                    <w:rPr>
                      <w:rFonts w:hint="eastAsia" w:cs="Times New Roman"/>
                      <w:color w:val="auto"/>
                      <w:kern w:val="0"/>
                      <w:sz w:val="21"/>
                      <w:szCs w:val="21"/>
                      <w:highlight w:val="none"/>
                      <w:lang w:val="en-US" w:eastAsia="zh-CN" w:bidi="ar"/>
                    </w:rPr>
                    <w:t>2）</w:t>
                  </w:r>
                </w:p>
              </w:tc>
            </w:tr>
            <w:tr w14:paraId="68E357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20" w:hRule="atLeast"/>
                <w:jc w:val="center"/>
              </w:trPr>
              <w:tc>
                <w:tcPr>
                  <w:tcW w:w="816" w:type="dxa"/>
                  <w:vMerge w:val="continue"/>
                  <w:vAlign w:val="center"/>
                </w:tcPr>
                <w:p w14:paraId="5E195F83">
                  <w:pPr>
                    <w:pStyle w:val="105"/>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240" w:lineRule="auto"/>
                    <w:ind w:right="0" w:firstLine="0"/>
                    <w:textAlignment w:val="auto"/>
                    <w:rPr>
                      <w:color w:val="auto"/>
                      <w:highlight w:val="none"/>
                    </w:rPr>
                  </w:pPr>
                </w:p>
              </w:tc>
              <w:tc>
                <w:tcPr>
                  <w:tcW w:w="370" w:type="dxa"/>
                  <w:vMerge w:val="continue"/>
                  <w:vAlign w:val="center"/>
                </w:tcPr>
                <w:p w14:paraId="24175A4A">
                  <w:pPr>
                    <w:pStyle w:val="105"/>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240" w:lineRule="auto"/>
                    <w:ind w:right="0" w:firstLine="0"/>
                    <w:textAlignment w:val="auto"/>
                    <w:rPr>
                      <w:color w:val="auto"/>
                      <w:highlight w:val="none"/>
                    </w:rPr>
                  </w:pPr>
                </w:p>
              </w:tc>
              <w:tc>
                <w:tcPr>
                  <w:tcW w:w="1044" w:type="dxa"/>
                  <w:shd w:val="clear" w:color="auto" w:fill="auto"/>
                  <w:vAlign w:val="center"/>
                </w:tcPr>
                <w:p w14:paraId="656F02CC">
                  <w:pPr>
                    <w:keepNext w:val="0"/>
                    <w:keepLines w:val="0"/>
                    <w:pageBreakBefore w:val="0"/>
                    <w:widowControl w:val="0"/>
                    <w:kinsoku/>
                    <w:wordWrap/>
                    <w:overflowPunct/>
                    <w:topLinePunct w:val="0"/>
                    <w:autoSpaceDE/>
                    <w:autoSpaceDN/>
                    <w:bidi w:val="0"/>
                    <w:adjustRightInd w:val="0"/>
                    <w:spacing w:line="320" w:lineRule="exact"/>
                    <w:ind w:firstLine="0"/>
                    <w:jc w:val="center"/>
                    <w:textAlignment w:val="center"/>
                    <w:rPr>
                      <w:rFonts w:hint="eastAsia"/>
                      <w:color w:val="auto"/>
                      <w:szCs w:val="21"/>
                      <w:highlight w:val="none"/>
                      <w:lang w:val="en-US" w:eastAsia="zh-CN"/>
                    </w:rPr>
                  </w:pPr>
                  <w:r>
                    <w:rPr>
                      <w:rFonts w:hint="eastAsia"/>
                      <w:color w:val="auto"/>
                      <w:szCs w:val="21"/>
                      <w:highlight w:val="none"/>
                      <w:lang w:val="en-US" w:eastAsia="zh-CN"/>
                    </w:rPr>
                    <w:t>打磨废气</w:t>
                  </w:r>
                </w:p>
              </w:tc>
              <w:tc>
                <w:tcPr>
                  <w:tcW w:w="5620" w:type="dxa"/>
                  <w:shd w:val="clear" w:color="auto" w:fill="auto"/>
                  <w:vAlign w:val="center"/>
                </w:tcPr>
                <w:p w14:paraId="3CF6FA7A">
                  <w:pPr>
                    <w:keepNext w:val="0"/>
                    <w:keepLines w:val="0"/>
                    <w:pageBreakBefore w:val="0"/>
                    <w:widowControl w:val="0"/>
                    <w:kinsoku/>
                    <w:wordWrap/>
                    <w:overflowPunct/>
                    <w:topLinePunct w:val="0"/>
                    <w:autoSpaceDE/>
                    <w:autoSpaceDN/>
                    <w:bidi w:val="0"/>
                    <w:adjustRightInd w:val="0"/>
                    <w:snapToGrid w:val="0"/>
                    <w:ind w:firstLine="0"/>
                    <w:jc w:val="left"/>
                    <w:outlineLvl w:val="2"/>
                    <w:rPr>
                      <w:rFonts w:hint="eastAsia"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项目</w:t>
                  </w:r>
                  <w:r>
                    <w:rPr>
                      <w:rFonts w:hint="eastAsia" w:cs="Times New Roman"/>
                      <w:color w:val="auto"/>
                      <w:kern w:val="0"/>
                      <w:sz w:val="21"/>
                      <w:szCs w:val="21"/>
                      <w:highlight w:val="none"/>
                      <w:lang w:val="en-US" w:eastAsia="zh-CN" w:bidi="ar"/>
                    </w:rPr>
                    <w:t>打磨</w:t>
                  </w:r>
                  <w:r>
                    <w:rPr>
                      <w:rFonts w:hint="eastAsia" w:ascii="Times New Roman" w:hAnsi="Times New Roman" w:eastAsia="宋体" w:cs="Times New Roman"/>
                      <w:color w:val="auto"/>
                      <w:kern w:val="0"/>
                      <w:sz w:val="21"/>
                      <w:szCs w:val="21"/>
                      <w:highlight w:val="none"/>
                      <w:lang w:val="en-US" w:eastAsia="zh-CN" w:bidi="ar"/>
                    </w:rPr>
                    <w:t>粉尘</w:t>
                  </w:r>
                  <w:r>
                    <w:rPr>
                      <w:rFonts w:hint="eastAsia" w:ascii="Times New Roman" w:hAnsi="Times New Roman" w:cs="Times New Roman"/>
                      <w:color w:val="auto"/>
                      <w:kern w:val="0"/>
                      <w:sz w:val="21"/>
                      <w:szCs w:val="21"/>
                      <w:highlight w:val="none"/>
                      <w:lang w:val="en-US" w:eastAsia="zh-CN" w:bidi="ar"/>
                    </w:rPr>
                    <w:t>废气</w:t>
                  </w:r>
                  <w:r>
                    <w:rPr>
                      <w:rFonts w:hint="eastAsia" w:ascii="Times New Roman" w:hAnsi="Times New Roman" w:eastAsia="宋体" w:cs="Times New Roman"/>
                      <w:color w:val="auto"/>
                      <w:kern w:val="0"/>
                      <w:sz w:val="21"/>
                      <w:szCs w:val="21"/>
                      <w:highlight w:val="none"/>
                      <w:lang w:val="en-US" w:eastAsia="zh-CN" w:bidi="ar"/>
                    </w:rPr>
                    <w:t>经收集后通过1套布袋除尘治理后，引至1根</w:t>
                  </w:r>
                  <w:r>
                    <w:rPr>
                      <w:rFonts w:hint="eastAsia" w:cs="Times New Roman"/>
                      <w:color w:val="auto"/>
                      <w:kern w:val="0"/>
                      <w:sz w:val="21"/>
                      <w:szCs w:val="21"/>
                      <w:highlight w:val="none"/>
                      <w:lang w:val="en-US" w:eastAsia="zh-CN" w:bidi="ar"/>
                    </w:rPr>
                    <w:t>2</w:t>
                  </w:r>
                  <w:r>
                    <w:rPr>
                      <w:rFonts w:hint="eastAsia" w:ascii="Times New Roman" w:hAnsi="Times New Roman" w:eastAsia="宋体" w:cs="Times New Roman"/>
                      <w:color w:val="auto"/>
                      <w:kern w:val="0"/>
                      <w:sz w:val="21"/>
                      <w:szCs w:val="21"/>
                      <w:highlight w:val="none"/>
                      <w:lang w:val="en-US" w:eastAsia="zh-CN" w:bidi="ar"/>
                    </w:rPr>
                    <w:t>5m高排气筒排放</w:t>
                  </w:r>
                  <w:r>
                    <w:rPr>
                      <w:rFonts w:hint="eastAsia" w:cs="Times New Roman"/>
                      <w:color w:val="auto"/>
                      <w:kern w:val="0"/>
                      <w:sz w:val="21"/>
                      <w:szCs w:val="21"/>
                      <w:highlight w:val="none"/>
                      <w:lang w:val="en-US" w:eastAsia="zh-CN" w:bidi="ar"/>
                    </w:rPr>
                    <w:t>（</w:t>
                  </w:r>
                  <w:r>
                    <w:rPr>
                      <w:rFonts w:hint="eastAsia" w:ascii="Times New Roman" w:hAnsi="Times New Roman" w:eastAsia="宋体" w:cs="Times New Roman"/>
                      <w:color w:val="auto"/>
                      <w:kern w:val="0"/>
                      <w:sz w:val="21"/>
                      <w:szCs w:val="21"/>
                      <w:highlight w:val="none"/>
                      <w:lang w:val="en-US" w:eastAsia="zh-CN" w:bidi="ar"/>
                    </w:rPr>
                    <w:t>DA00</w:t>
                  </w:r>
                  <w:r>
                    <w:rPr>
                      <w:rFonts w:hint="eastAsia" w:cs="Times New Roman"/>
                      <w:color w:val="auto"/>
                      <w:kern w:val="0"/>
                      <w:sz w:val="21"/>
                      <w:szCs w:val="21"/>
                      <w:highlight w:val="none"/>
                      <w:lang w:val="en-US" w:eastAsia="zh-CN" w:bidi="ar"/>
                    </w:rPr>
                    <w:t>3）</w:t>
                  </w:r>
                </w:p>
              </w:tc>
            </w:tr>
            <w:tr w14:paraId="333BE7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20" w:hRule="atLeast"/>
                <w:jc w:val="center"/>
              </w:trPr>
              <w:tc>
                <w:tcPr>
                  <w:tcW w:w="816" w:type="dxa"/>
                  <w:vMerge w:val="continue"/>
                  <w:vAlign w:val="center"/>
                </w:tcPr>
                <w:p w14:paraId="5C2CEC4B">
                  <w:pPr>
                    <w:pStyle w:val="105"/>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240" w:lineRule="auto"/>
                    <w:ind w:right="0" w:firstLine="0"/>
                    <w:textAlignment w:val="auto"/>
                    <w:rPr>
                      <w:color w:val="auto"/>
                      <w:highlight w:val="none"/>
                    </w:rPr>
                  </w:pPr>
                </w:p>
              </w:tc>
              <w:tc>
                <w:tcPr>
                  <w:tcW w:w="370" w:type="dxa"/>
                  <w:vMerge w:val="continue"/>
                  <w:vAlign w:val="center"/>
                </w:tcPr>
                <w:p w14:paraId="0E8FE4D6">
                  <w:pPr>
                    <w:pStyle w:val="105"/>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240" w:lineRule="auto"/>
                    <w:ind w:right="0" w:firstLine="0"/>
                    <w:textAlignment w:val="auto"/>
                    <w:rPr>
                      <w:color w:val="auto"/>
                      <w:highlight w:val="none"/>
                    </w:rPr>
                  </w:pPr>
                </w:p>
              </w:tc>
              <w:tc>
                <w:tcPr>
                  <w:tcW w:w="1044" w:type="dxa"/>
                  <w:shd w:val="clear" w:color="auto" w:fill="auto"/>
                  <w:vAlign w:val="center"/>
                </w:tcPr>
                <w:p w14:paraId="2EAC2D1E">
                  <w:pPr>
                    <w:keepNext w:val="0"/>
                    <w:keepLines w:val="0"/>
                    <w:pageBreakBefore w:val="0"/>
                    <w:widowControl w:val="0"/>
                    <w:kinsoku/>
                    <w:wordWrap/>
                    <w:overflowPunct/>
                    <w:topLinePunct w:val="0"/>
                    <w:autoSpaceDE/>
                    <w:autoSpaceDN/>
                    <w:bidi w:val="0"/>
                    <w:adjustRightInd w:val="0"/>
                    <w:spacing w:line="320" w:lineRule="exact"/>
                    <w:ind w:firstLine="0"/>
                    <w:jc w:val="center"/>
                    <w:textAlignment w:val="center"/>
                    <w:rPr>
                      <w:rFonts w:hint="default"/>
                      <w:color w:val="auto"/>
                      <w:szCs w:val="21"/>
                      <w:highlight w:val="none"/>
                      <w:lang w:val="en-US" w:eastAsia="zh-CN"/>
                    </w:rPr>
                  </w:pPr>
                  <w:r>
                    <w:rPr>
                      <w:rFonts w:hint="eastAsia"/>
                      <w:color w:val="auto"/>
                      <w:szCs w:val="21"/>
                      <w:highlight w:val="none"/>
                      <w:lang w:val="en-US" w:eastAsia="zh-CN"/>
                    </w:rPr>
                    <w:t>发电机测试</w:t>
                  </w:r>
                  <w:r>
                    <w:rPr>
                      <w:rFonts w:hint="eastAsia" w:ascii="Times New Roman" w:hAnsi="Times New Roman" w:eastAsia="宋体"/>
                      <w:color w:val="auto"/>
                      <w:szCs w:val="21"/>
                      <w:highlight w:val="none"/>
                      <w:lang w:val="en-US" w:eastAsia="zh-CN"/>
                    </w:rPr>
                    <w:t>废气</w:t>
                  </w:r>
                </w:p>
              </w:tc>
              <w:tc>
                <w:tcPr>
                  <w:tcW w:w="5620" w:type="dxa"/>
                  <w:shd w:val="clear" w:color="auto" w:fill="auto"/>
                  <w:vAlign w:val="center"/>
                </w:tcPr>
                <w:p w14:paraId="72E8DE75">
                  <w:pPr>
                    <w:keepNext w:val="0"/>
                    <w:keepLines w:val="0"/>
                    <w:pageBreakBefore w:val="0"/>
                    <w:widowControl w:val="0"/>
                    <w:kinsoku/>
                    <w:wordWrap/>
                    <w:overflowPunct/>
                    <w:topLinePunct w:val="0"/>
                    <w:autoSpaceDE/>
                    <w:autoSpaceDN/>
                    <w:bidi w:val="0"/>
                    <w:adjustRightInd w:val="0"/>
                    <w:snapToGrid w:val="0"/>
                    <w:ind w:firstLine="0"/>
                    <w:jc w:val="left"/>
                    <w:outlineLvl w:val="2"/>
                    <w:rPr>
                      <w:rFonts w:hint="eastAsia"/>
                      <w:color w:val="auto"/>
                      <w:sz w:val="21"/>
                      <w:szCs w:val="21"/>
                      <w:highlight w:val="none"/>
                      <w:lang w:val="en-US" w:eastAsia="zh-CN"/>
                    </w:rPr>
                  </w:pPr>
                  <w:r>
                    <w:rPr>
                      <w:rFonts w:hint="eastAsia"/>
                      <w:color w:val="auto"/>
                      <w:highlight w:val="none"/>
                      <w:lang w:val="en-US" w:eastAsia="zh-CN"/>
                    </w:rPr>
                    <w:t>发电机测试废气经</w:t>
                  </w:r>
                  <w:r>
                    <w:rPr>
                      <w:rFonts w:hint="eastAsia"/>
                      <w:color w:val="auto"/>
                      <w:szCs w:val="21"/>
                      <w:highlight w:val="none"/>
                      <w:lang w:val="en-US" w:eastAsia="zh-CN"/>
                    </w:rPr>
                    <w:t>黑烟净化器+SCR脱硝反应器处理</w:t>
                  </w:r>
                  <w:r>
                    <w:rPr>
                      <w:color w:val="auto"/>
                      <w:highlight w:val="none"/>
                      <w:lang w:val="en-US" w:eastAsia="zh-CN"/>
                    </w:rPr>
                    <w:t>后通过</w:t>
                  </w:r>
                  <w:r>
                    <w:rPr>
                      <w:rFonts w:hint="eastAsia"/>
                      <w:color w:val="auto"/>
                      <w:szCs w:val="21"/>
                      <w:highlight w:val="none"/>
                      <w:lang w:val="en-US" w:eastAsia="zh-CN"/>
                    </w:rPr>
                    <w:t>2</w:t>
                  </w:r>
                  <w:r>
                    <w:rPr>
                      <w:rFonts w:hint="eastAsia"/>
                      <w:color w:val="auto"/>
                      <w:szCs w:val="21"/>
                      <w:highlight w:val="none"/>
                    </w:rPr>
                    <w:t>5m排气筒（DA00</w:t>
                  </w:r>
                  <w:r>
                    <w:rPr>
                      <w:rFonts w:hint="eastAsia"/>
                      <w:color w:val="auto"/>
                      <w:szCs w:val="21"/>
                      <w:highlight w:val="none"/>
                      <w:lang w:val="en-US" w:eastAsia="zh-CN"/>
                    </w:rPr>
                    <w:t>4</w:t>
                  </w:r>
                  <w:r>
                    <w:rPr>
                      <w:rFonts w:hint="eastAsia"/>
                      <w:color w:val="auto"/>
                      <w:szCs w:val="21"/>
                      <w:highlight w:val="none"/>
                    </w:rPr>
                    <w:t>）</w:t>
                  </w:r>
                </w:p>
              </w:tc>
            </w:tr>
            <w:tr w14:paraId="2CAFD1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20" w:hRule="atLeast"/>
                <w:jc w:val="center"/>
              </w:trPr>
              <w:tc>
                <w:tcPr>
                  <w:tcW w:w="816" w:type="dxa"/>
                  <w:vMerge w:val="continue"/>
                  <w:vAlign w:val="center"/>
                </w:tcPr>
                <w:p w14:paraId="5A10C0C3">
                  <w:pPr>
                    <w:pStyle w:val="105"/>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240" w:lineRule="auto"/>
                    <w:ind w:right="0" w:firstLine="0"/>
                    <w:textAlignment w:val="auto"/>
                    <w:rPr>
                      <w:rFonts w:hint="default" w:ascii="Times New Roman" w:hAnsi="Times New Roman" w:cs="Times New Roman"/>
                      <w:color w:val="auto"/>
                      <w:sz w:val="21"/>
                      <w:szCs w:val="21"/>
                      <w:highlight w:val="none"/>
                    </w:rPr>
                  </w:pPr>
                </w:p>
              </w:tc>
              <w:tc>
                <w:tcPr>
                  <w:tcW w:w="1414" w:type="dxa"/>
                  <w:gridSpan w:val="2"/>
                  <w:vAlign w:val="center"/>
                </w:tcPr>
                <w:p w14:paraId="2E04FA27">
                  <w:pPr>
                    <w:pStyle w:val="105"/>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240" w:lineRule="auto"/>
                    <w:ind w:right="0" w:firstLine="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废水</w:t>
                  </w:r>
                </w:p>
              </w:tc>
              <w:tc>
                <w:tcPr>
                  <w:tcW w:w="5620" w:type="dxa"/>
                  <w:vAlign w:val="center"/>
                </w:tcPr>
                <w:p w14:paraId="03D08CF9">
                  <w:pPr>
                    <w:pStyle w:val="105"/>
                    <w:keepNext w:val="0"/>
                    <w:keepLines w:val="0"/>
                    <w:pageBreakBefore w:val="0"/>
                    <w:widowControl w:val="0"/>
                    <w:numPr>
                      <w:ilvl w:val="0"/>
                      <w:numId w:val="0"/>
                    </w:numPr>
                    <w:suppressLineNumbers w:val="0"/>
                    <w:tabs>
                      <w:tab w:val="left" w:pos="0"/>
                    </w:tabs>
                    <w:kinsoku/>
                    <w:wordWrap/>
                    <w:overflowPunct/>
                    <w:topLinePunct w:val="0"/>
                    <w:autoSpaceDE/>
                    <w:autoSpaceDN/>
                    <w:bidi w:val="0"/>
                    <w:adjustRightInd/>
                    <w:spacing w:before="0" w:beforeAutospacing="0" w:after="0" w:afterAutospacing="0" w:line="240" w:lineRule="auto"/>
                    <w:ind w:leftChars="0" w:right="0" w:rightChars="0" w:firstLine="0"/>
                    <w:jc w:val="both"/>
                    <w:textAlignment w:val="auto"/>
                    <w:rPr>
                      <w:rFonts w:hint="eastAsia" w:ascii="Times New Roman" w:hAnsi="Times New Roman" w:eastAsia="宋体" w:cs="Times New Roman"/>
                      <w:color w:val="auto"/>
                      <w:sz w:val="21"/>
                      <w:szCs w:val="21"/>
                      <w:highlight w:val="none"/>
                      <w:shd w:val="clear" w:fill="000000"/>
                      <w:lang w:eastAsia="zh-CN"/>
                    </w:rPr>
                  </w:pPr>
                  <w:r>
                    <w:rPr>
                      <w:rFonts w:hint="eastAsia" w:cs="Times New Roman"/>
                      <w:color w:val="auto"/>
                      <w:sz w:val="21"/>
                      <w:szCs w:val="21"/>
                      <w:highlight w:val="none"/>
                      <w:lang w:val="en-US" w:eastAsia="zh-CN"/>
                    </w:rPr>
                    <w:t>①</w:t>
                  </w:r>
                  <w:r>
                    <w:rPr>
                      <w:rFonts w:hint="eastAsia"/>
                      <w:color w:val="auto"/>
                      <w:spacing w:val="-3"/>
                      <w:sz w:val="21"/>
                      <w:highlight w:val="none"/>
                      <w:shd w:val="clear"/>
                    </w:rPr>
                    <w:t>项目生活污水依托出租方厂区内现有的化粪池预处理后排入市政污水管网，纳入闽侯县竹岐</w:t>
                  </w:r>
                  <w:r>
                    <w:rPr>
                      <w:rFonts w:hint="eastAsia"/>
                      <w:color w:val="auto"/>
                      <w:spacing w:val="-3"/>
                      <w:sz w:val="21"/>
                      <w:highlight w:val="none"/>
                      <w:shd w:val="clear"/>
                      <w:lang w:eastAsia="zh-CN"/>
                    </w:rPr>
                    <w:t>乡</w:t>
                  </w:r>
                  <w:r>
                    <w:rPr>
                      <w:rFonts w:hint="eastAsia"/>
                      <w:color w:val="auto"/>
                      <w:spacing w:val="-3"/>
                      <w:sz w:val="21"/>
                      <w:highlight w:val="none"/>
                      <w:shd w:val="clear"/>
                    </w:rPr>
                    <w:t>污水处理厂处理</w:t>
                  </w:r>
                  <w:r>
                    <w:rPr>
                      <w:rFonts w:hint="eastAsia"/>
                      <w:color w:val="auto"/>
                      <w:spacing w:val="-3"/>
                      <w:sz w:val="21"/>
                      <w:highlight w:val="none"/>
                      <w:shd w:val="clear"/>
                      <w:lang w:eastAsia="zh-CN"/>
                    </w:rPr>
                    <w:t>；</w:t>
                  </w:r>
                </w:p>
                <w:p w14:paraId="24C2FD7E">
                  <w:pPr>
                    <w:keepNext w:val="0"/>
                    <w:keepLines w:val="0"/>
                    <w:pageBreakBefore w:val="0"/>
                    <w:widowControl w:val="0"/>
                    <w:kinsoku/>
                    <w:wordWrap/>
                    <w:overflowPunct/>
                    <w:topLinePunct w:val="0"/>
                    <w:autoSpaceDE/>
                    <w:autoSpaceDN/>
                    <w:bidi w:val="0"/>
                    <w:ind w:firstLine="0"/>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②脱脂废水经厂区污水处理设施处理后循环使用不外排，</w:t>
                  </w:r>
                  <w:r>
                    <w:rPr>
                      <w:color w:val="auto"/>
                      <w:spacing w:val="-2"/>
                      <w:sz w:val="21"/>
                      <w:highlight w:val="none"/>
                    </w:rPr>
                    <w:t>每年定期</w:t>
                  </w:r>
                  <w:r>
                    <w:rPr>
                      <w:color w:val="auto"/>
                      <w:spacing w:val="-3"/>
                      <w:sz w:val="21"/>
                      <w:highlight w:val="none"/>
                    </w:rPr>
                    <w:t>更换的废液委托有资质的单位处置</w:t>
                  </w:r>
                  <w:r>
                    <w:rPr>
                      <w:rFonts w:hint="eastAsia" w:cs="Times New Roman"/>
                      <w:color w:val="auto"/>
                      <w:sz w:val="21"/>
                      <w:szCs w:val="21"/>
                      <w:highlight w:val="none"/>
                      <w:lang w:val="en-US" w:eastAsia="zh-CN"/>
                    </w:rPr>
                    <w:t>；</w:t>
                  </w:r>
                </w:p>
              </w:tc>
            </w:tr>
            <w:tr w14:paraId="0DA7CE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20" w:hRule="atLeast"/>
                <w:jc w:val="center"/>
              </w:trPr>
              <w:tc>
                <w:tcPr>
                  <w:tcW w:w="816" w:type="dxa"/>
                  <w:vMerge w:val="continue"/>
                  <w:vAlign w:val="center"/>
                </w:tcPr>
                <w:p w14:paraId="229B1943">
                  <w:pPr>
                    <w:pStyle w:val="105"/>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240" w:lineRule="auto"/>
                    <w:ind w:right="0" w:firstLine="0"/>
                    <w:textAlignment w:val="auto"/>
                    <w:rPr>
                      <w:rFonts w:hint="default" w:ascii="Times New Roman" w:hAnsi="Times New Roman" w:cs="Times New Roman"/>
                      <w:color w:val="auto"/>
                      <w:sz w:val="21"/>
                      <w:szCs w:val="21"/>
                      <w:highlight w:val="none"/>
                    </w:rPr>
                  </w:pPr>
                </w:p>
              </w:tc>
              <w:tc>
                <w:tcPr>
                  <w:tcW w:w="1414" w:type="dxa"/>
                  <w:gridSpan w:val="2"/>
                  <w:vAlign w:val="center"/>
                </w:tcPr>
                <w:p w14:paraId="3FE9E722">
                  <w:pPr>
                    <w:pStyle w:val="105"/>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固废</w:t>
                  </w:r>
                </w:p>
              </w:tc>
              <w:tc>
                <w:tcPr>
                  <w:tcW w:w="5620" w:type="dxa"/>
                  <w:shd w:val="clear" w:color="auto" w:fill="auto"/>
                  <w:vAlign w:val="center"/>
                </w:tcPr>
                <w:p w14:paraId="5CE4FFA8">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40" w:lineRule="auto"/>
                    <w:ind w:left="0" w:right="0" w:firstLine="0"/>
                    <w:jc w:val="left"/>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①建设1座一般固废间，位于厂区东侧，面积约20m</w:t>
                  </w:r>
                  <w:r>
                    <w:rPr>
                      <w:rFonts w:hint="eastAsia" w:cs="Times New Roman"/>
                      <w:color w:val="auto"/>
                      <w:sz w:val="21"/>
                      <w:szCs w:val="21"/>
                      <w:highlight w:val="none"/>
                      <w:vertAlign w:val="superscript"/>
                      <w:lang w:val="en-US" w:eastAsia="zh-CN"/>
                    </w:rPr>
                    <w:t>2</w:t>
                  </w:r>
                  <w:r>
                    <w:rPr>
                      <w:rFonts w:hint="default" w:cs="Times New Roman"/>
                      <w:color w:val="auto"/>
                      <w:sz w:val="21"/>
                      <w:szCs w:val="21"/>
                      <w:highlight w:val="none"/>
                      <w:lang w:val="en-US" w:eastAsia="zh-CN"/>
                    </w:rPr>
                    <w:t>；</w:t>
                  </w:r>
                </w:p>
                <w:p w14:paraId="00A7B469">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40" w:lineRule="auto"/>
                    <w:ind w:left="0" w:right="0" w:firstLine="0"/>
                    <w:jc w:val="both"/>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②建设1个危废暂存间，位于2#厂房1F东侧，面积约20m</w:t>
                  </w:r>
                  <w:r>
                    <w:rPr>
                      <w:rFonts w:hint="eastAsia" w:cs="Times New Roman"/>
                      <w:color w:val="auto"/>
                      <w:sz w:val="21"/>
                      <w:szCs w:val="21"/>
                      <w:highlight w:val="none"/>
                      <w:vertAlign w:val="superscript"/>
                      <w:lang w:val="en-US" w:eastAsia="zh-CN"/>
                    </w:rPr>
                    <w:t>2</w:t>
                  </w:r>
                  <w:r>
                    <w:rPr>
                      <w:rFonts w:hint="eastAsia" w:cs="Times New Roman"/>
                      <w:color w:val="auto"/>
                      <w:sz w:val="21"/>
                      <w:szCs w:val="21"/>
                      <w:highlight w:val="none"/>
                      <w:lang w:val="en-US" w:eastAsia="zh-CN"/>
                    </w:rPr>
                    <w:t>；</w:t>
                  </w:r>
                </w:p>
                <w:p w14:paraId="29DA405F">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40" w:lineRule="auto"/>
                    <w:ind w:left="0" w:right="0" w:firstLine="0"/>
                    <w:jc w:val="left"/>
                    <w:textAlignment w:val="auto"/>
                    <w:rPr>
                      <w:rFonts w:hint="eastAsia"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③</w:t>
                  </w:r>
                  <w:r>
                    <w:rPr>
                      <w:rFonts w:hint="default" w:cs="Times New Roman"/>
                      <w:color w:val="auto"/>
                      <w:sz w:val="21"/>
                      <w:szCs w:val="21"/>
                      <w:highlight w:val="none"/>
                      <w:lang w:val="en-US" w:eastAsia="zh-CN"/>
                    </w:rPr>
                    <w:t>生活垃圾委托环卫定期清运</w:t>
                  </w:r>
                  <w:r>
                    <w:rPr>
                      <w:rFonts w:hint="eastAsia" w:cs="Times New Roman"/>
                      <w:color w:val="auto"/>
                      <w:sz w:val="21"/>
                      <w:szCs w:val="21"/>
                      <w:highlight w:val="none"/>
                      <w:lang w:val="en-US" w:eastAsia="zh-CN"/>
                    </w:rPr>
                    <w:t>。</w:t>
                  </w:r>
                </w:p>
              </w:tc>
            </w:tr>
            <w:tr w14:paraId="1C763A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20" w:hRule="atLeast"/>
                <w:jc w:val="center"/>
              </w:trPr>
              <w:tc>
                <w:tcPr>
                  <w:tcW w:w="816" w:type="dxa"/>
                  <w:vMerge w:val="continue"/>
                  <w:vAlign w:val="center"/>
                </w:tcPr>
                <w:p w14:paraId="3F1BC227">
                  <w:pPr>
                    <w:pStyle w:val="105"/>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240" w:lineRule="auto"/>
                    <w:ind w:right="0" w:firstLine="0"/>
                    <w:textAlignment w:val="auto"/>
                    <w:rPr>
                      <w:rFonts w:hint="default" w:ascii="Times New Roman" w:hAnsi="Times New Roman" w:cs="Times New Roman"/>
                      <w:color w:val="auto"/>
                      <w:sz w:val="21"/>
                      <w:szCs w:val="21"/>
                      <w:highlight w:val="none"/>
                    </w:rPr>
                  </w:pPr>
                </w:p>
              </w:tc>
              <w:tc>
                <w:tcPr>
                  <w:tcW w:w="1414" w:type="dxa"/>
                  <w:gridSpan w:val="2"/>
                  <w:vAlign w:val="center"/>
                </w:tcPr>
                <w:p w14:paraId="42ACC638">
                  <w:pPr>
                    <w:pStyle w:val="105"/>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240" w:lineRule="auto"/>
                    <w:ind w:right="0" w:firstLine="0"/>
                    <w:textAlignment w:val="auto"/>
                    <w:rPr>
                      <w:rFonts w:hint="default" w:ascii="Times New Roman" w:hAnsi="Times New Roman" w:eastAsia="宋体" w:cs="Times New Roman"/>
                      <w:snapToGrid w:val="0"/>
                      <w:color w:val="auto"/>
                      <w:kern w:val="18"/>
                      <w:sz w:val="21"/>
                      <w:szCs w:val="21"/>
                      <w:highlight w:val="none"/>
                    </w:rPr>
                  </w:pPr>
                  <w:r>
                    <w:rPr>
                      <w:rFonts w:hint="eastAsia" w:cs="Times New Roman"/>
                      <w:color w:val="auto"/>
                      <w:sz w:val="21"/>
                      <w:szCs w:val="21"/>
                      <w:highlight w:val="none"/>
                      <w:lang w:val="en-US" w:eastAsia="zh-CN"/>
                    </w:rPr>
                    <w:t>噪声</w:t>
                  </w:r>
                </w:p>
              </w:tc>
              <w:tc>
                <w:tcPr>
                  <w:tcW w:w="5620" w:type="dxa"/>
                  <w:shd w:val="clear" w:color="auto" w:fill="auto"/>
                  <w:vAlign w:val="center"/>
                </w:tcPr>
                <w:p w14:paraId="5B4B4395">
                  <w:pPr>
                    <w:pStyle w:val="105"/>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240" w:lineRule="auto"/>
                    <w:ind w:right="0" w:firstLine="0"/>
                    <w:jc w:val="left"/>
                    <w:textAlignment w:val="auto"/>
                    <w:rPr>
                      <w:rFonts w:hint="default" w:ascii="Times New Roman" w:hAnsi="Times New Roman" w:eastAsia="宋体" w:cs="Times New Roman"/>
                      <w:color w:val="auto"/>
                      <w:sz w:val="21"/>
                      <w:szCs w:val="21"/>
                      <w:highlight w:val="none"/>
                      <w:lang w:val="en-US" w:eastAsia="zh-CN"/>
                    </w:rPr>
                  </w:pPr>
                  <w:r>
                    <w:rPr>
                      <w:rFonts w:hint="eastAsia"/>
                      <w:color w:val="auto"/>
                      <w:highlight w:val="none"/>
                      <w:lang w:val="en-US" w:eastAsia="zh-CN"/>
                    </w:rPr>
                    <w:t>选用低噪声设备</w:t>
                  </w:r>
                  <w:r>
                    <w:rPr>
                      <w:rFonts w:hint="eastAsia"/>
                      <w:color w:val="auto"/>
                      <w:highlight w:val="none"/>
                      <w:lang w:eastAsia="zh-CN"/>
                    </w:rPr>
                    <w:t>，</w:t>
                  </w:r>
                  <w:r>
                    <w:rPr>
                      <w:rFonts w:hint="default" w:ascii="Times New Roman" w:hAnsi="Times New Roman" w:eastAsia="宋体" w:cs="Times New Roman"/>
                      <w:color w:val="auto"/>
                      <w:sz w:val="21"/>
                      <w:szCs w:val="21"/>
                      <w:highlight w:val="none"/>
                      <w:lang w:val="en-US" w:eastAsia="zh-CN"/>
                    </w:rPr>
                    <w:t>采取隔声措施、</w:t>
                  </w:r>
                  <w:r>
                    <w:rPr>
                      <w:rFonts w:hint="default" w:ascii="Times New Roman" w:hAnsi="Times New Roman" w:eastAsia="宋体" w:cs="Times New Roman"/>
                      <w:color w:val="auto"/>
                      <w:sz w:val="21"/>
                      <w:szCs w:val="21"/>
                      <w:highlight w:val="none"/>
                    </w:rPr>
                    <w:t>对设备安装消声减振</w:t>
                  </w:r>
                  <w:r>
                    <w:rPr>
                      <w:rFonts w:hint="default" w:ascii="Times New Roman" w:hAnsi="Times New Roman" w:eastAsia="宋体" w:cs="Times New Roman"/>
                      <w:color w:val="auto"/>
                      <w:sz w:val="21"/>
                      <w:szCs w:val="21"/>
                      <w:highlight w:val="none"/>
                      <w:lang w:val="en-US" w:eastAsia="zh-CN"/>
                    </w:rPr>
                    <w:t>设施</w:t>
                  </w:r>
                </w:p>
              </w:tc>
            </w:tr>
            <w:tr w14:paraId="6D5C5B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20" w:hRule="atLeast"/>
                <w:jc w:val="center"/>
              </w:trPr>
              <w:tc>
                <w:tcPr>
                  <w:tcW w:w="816" w:type="dxa"/>
                  <w:vMerge w:val="continue"/>
                  <w:vAlign w:val="center"/>
                </w:tcPr>
                <w:p w14:paraId="546C5528">
                  <w:pPr>
                    <w:pStyle w:val="105"/>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240" w:lineRule="auto"/>
                    <w:ind w:right="0" w:firstLine="0"/>
                    <w:textAlignment w:val="auto"/>
                    <w:rPr>
                      <w:rFonts w:hint="default" w:ascii="Times New Roman" w:hAnsi="Times New Roman" w:cs="Times New Roman"/>
                      <w:color w:val="auto"/>
                      <w:sz w:val="21"/>
                      <w:szCs w:val="21"/>
                      <w:highlight w:val="none"/>
                    </w:rPr>
                  </w:pPr>
                </w:p>
              </w:tc>
              <w:tc>
                <w:tcPr>
                  <w:tcW w:w="1414" w:type="dxa"/>
                  <w:gridSpan w:val="2"/>
                  <w:vAlign w:val="center"/>
                </w:tcPr>
                <w:p w14:paraId="6C48067E">
                  <w:pPr>
                    <w:pStyle w:val="105"/>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240" w:lineRule="auto"/>
                    <w:ind w:right="0" w:firstLine="0"/>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环境风险</w:t>
                  </w:r>
                </w:p>
              </w:tc>
              <w:tc>
                <w:tcPr>
                  <w:tcW w:w="5620" w:type="dxa"/>
                  <w:shd w:val="clear" w:color="auto" w:fill="auto"/>
                  <w:vAlign w:val="center"/>
                </w:tcPr>
                <w:p w14:paraId="1990A6FA">
                  <w:pPr>
                    <w:pStyle w:val="27"/>
                    <w:keepNext w:val="0"/>
                    <w:keepLines w:val="0"/>
                    <w:pageBreakBefore w:val="0"/>
                    <w:widowControl w:val="0"/>
                    <w:kinsoku/>
                    <w:wordWrap/>
                    <w:overflowPunct/>
                    <w:topLinePunct w:val="0"/>
                    <w:autoSpaceDE/>
                    <w:autoSpaceDN/>
                    <w:bidi w:val="0"/>
                    <w:adjustRightInd w:val="0"/>
                    <w:snapToGrid w:val="0"/>
                    <w:spacing w:before="0" w:beforeAutospacing="0" w:after="0" w:afterAutospacing="0"/>
                    <w:ind w:firstLine="0"/>
                    <w:outlineLvl w:val="2"/>
                    <w:rPr>
                      <w:rFonts w:hint="eastAsia" w:ascii="Times New Roman" w:hAnsi="Times New Roman" w:eastAsia="宋体" w:cs="宋体"/>
                      <w:bCs/>
                      <w:iCs/>
                      <w:color w:val="auto"/>
                      <w:kern w:val="2"/>
                      <w:sz w:val="21"/>
                      <w:szCs w:val="21"/>
                      <w:highlight w:val="none"/>
                      <w:lang w:val="en-US" w:eastAsia="zh-CN"/>
                    </w:rPr>
                  </w:pPr>
                  <w:r>
                    <w:rPr>
                      <w:rFonts w:hint="eastAsia" w:ascii="Times New Roman" w:hAnsi="Times New Roman" w:eastAsia="宋体" w:cs="宋体"/>
                      <w:bCs/>
                      <w:iCs/>
                      <w:color w:val="auto"/>
                      <w:kern w:val="2"/>
                      <w:sz w:val="21"/>
                      <w:szCs w:val="21"/>
                      <w:highlight w:val="none"/>
                      <w:lang w:val="en-US" w:eastAsia="zh-CN"/>
                    </w:rPr>
                    <w:t>①</w:t>
                  </w:r>
                  <w:r>
                    <w:rPr>
                      <w:rFonts w:hint="eastAsia" w:ascii="Times New Roman" w:hAnsi="Times New Roman" w:cs="宋体"/>
                      <w:bCs/>
                      <w:iCs/>
                      <w:color w:val="auto"/>
                      <w:kern w:val="2"/>
                      <w:sz w:val="21"/>
                      <w:szCs w:val="21"/>
                      <w:highlight w:val="none"/>
                      <w:lang w:val="en-US" w:eastAsia="zh-CN"/>
                    </w:rPr>
                    <w:t>厂区内</w:t>
                  </w:r>
                  <w:r>
                    <w:rPr>
                      <w:rFonts w:hint="eastAsia" w:ascii="Times New Roman" w:hAnsi="Times New Roman" w:eastAsia="宋体" w:cs="宋体"/>
                      <w:bCs/>
                      <w:iCs/>
                      <w:color w:val="auto"/>
                      <w:kern w:val="2"/>
                      <w:sz w:val="21"/>
                      <w:szCs w:val="21"/>
                      <w:highlight w:val="none"/>
                      <w:lang w:val="en-US" w:eastAsia="zh-CN"/>
                    </w:rPr>
                    <w:t>设置有消防设备；</w:t>
                  </w:r>
                </w:p>
                <w:p w14:paraId="15DA153B">
                  <w:pPr>
                    <w:pStyle w:val="105"/>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eastAsia"/>
                      <w:color w:val="auto"/>
                      <w:highlight w:val="none"/>
                      <w:lang w:val="en-US" w:eastAsia="zh-CN"/>
                    </w:rPr>
                  </w:pPr>
                  <w:r>
                    <w:rPr>
                      <w:rFonts w:hint="eastAsia" w:ascii="Times New Roman" w:hAnsi="Times New Roman" w:eastAsia="宋体" w:cs="宋体"/>
                      <w:bCs/>
                      <w:iCs/>
                      <w:color w:val="auto"/>
                      <w:kern w:val="2"/>
                      <w:sz w:val="21"/>
                      <w:szCs w:val="21"/>
                      <w:highlight w:val="none"/>
                      <w:lang w:val="en-US" w:eastAsia="zh-CN"/>
                    </w:rPr>
                    <w:t>②厂区设置事故应急池</w:t>
                  </w:r>
                  <w:r>
                    <w:rPr>
                      <w:rFonts w:hint="eastAsia" w:cs="宋体"/>
                      <w:bCs/>
                      <w:iCs/>
                      <w:color w:val="auto"/>
                      <w:kern w:val="2"/>
                      <w:sz w:val="21"/>
                      <w:szCs w:val="21"/>
                      <w:highlight w:val="none"/>
                      <w:lang w:val="en-US" w:eastAsia="zh-CN"/>
                    </w:rPr>
                    <w:t>139</w:t>
                  </w:r>
                  <w:r>
                    <w:rPr>
                      <w:rFonts w:hint="eastAsia" w:cs="Times New Roman"/>
                      <w:color w:val="auto"/>
                      <w:sz w:val="21"/>
                      <w:szCs w:val="21"/>
                      <w:highlight w:val="none"/>
                      <w:lang w:val="en-US" w:eastAsia="zh-CN"/>
                    </w:rPr>
                    <w:t>m</w:t>
                  </w:r>
                  <w:r>
                    <w:rPr>
                      <w:rFonts w:hint="eastAsia" w:cs="Times New Roman"/>
                      <w:color w:val="auto"/>
                      <w:sz w:val="21"/>
                      <w:szCs w:val="21"/>
                      <w:highlight w:val="none"/>
                      <w:vertAlign w:val="superscript"/>
                      <w:lang w:val="en-US" w:eastAsia="zh-CN"/>
                    </w:rPr>
                    <w:t>3</w:t>
                  </w:r>
                  <w:r>
                    <w:rPr>
                      <w:rFonts w:hint="eastAsia" w:cs="宋体"/>
                      <w:bCs/>
                      <w:iCs/>
                      <w:color w:val="auto"/>
                      <w:kern w:val="2"/>
                      <w:sz w:val="21"/>
                      <w:szCs w:val="21"/>
                      <w:highlight w:val="none"/>
                      <w:lang w:val="en-US" w:eastAsia="zh-CN"/>
                    </w:rPr>
                    <w:t>。</w:t>
                  </w:r>
                </w:p>
              </w:tc>
            </w:tr>
          </w:tbl>
          <w:p w14:paraId="6ABD9568">
            <w:pPr>
              <w:pStyle w:val="4"/>
              <w:spacing w:before="120" w:beforeLines="50"/>
              <w:ind w:firstLine="120"/>
              <w:rPr>
                <w:rFonts w:hint="default"/>
                <w:color w:val="auto"/>
                <w:lang w:val="en-GB"/>
              </w:rPr>
            </w:pPr>
            <w:r>
              <w:rPr>
                <w:color w:val="auto"/>
              </w:rPr>
              <w:t>2.3</w:t>
            </w:r>
            <w:r>
              <w:rPr>
                <w:rFonts w:hint="eastAsia"/>
                <w:color w:val="auto"/>
                <w:lang w:eastAsia="zh-CN"/>
              </w:rPr>
              <w:t>项目</w:t>
            </w:r>
            <w:r>
              <w:rPr>
                <w:color w:val="auto"/>
                <w:lang w:val="en-GB"/>
              </w:rPr>
              <w:t>主要设备</w:t>
            </w:r>
          </w:p>
          <w:p w14:paraId="1FE548BA">
            <w:pPr>
              <w:spacing w:line="360" w:lineRule="auto"/>
              <w:ind w:firstLine="480" w:firstLineChars="200"/>
              <w:rPr>
                <w:color w:val="auto"/>
                <w:sz w:val="24"/>
              </w:rPr>
            </w:pPr>
            <w:r>
              <w:rPr>
                <w:rFonts w:hint="eastAsia"/>
                <w:color w:val="auto"/>
                <w:sz w:val="24"/>
              </w:rPr>
              <w:t>项目</w:t>
            </w:r>
            <w:r>
              <w:rPr>
                <w:rFonts w:hint="eastAsia"/>
                <w:color w:val="auto"/>
                <w:sz w:val="24"/>
                <w:lang w:val="en-GB"/>
              </w:rPr>
              <w:t>主要设备见表</w:t>
            </w:r>
            <w:r>
              <w:rPr>
                <w:rFonts w:hint="eastAsia"/>
                <w:color w:val="auto"/>
                <w:sz w:val="24"/>
              </w:rPr>
              <w:t>2.3-1。</w:t>
            </w:r>
          </w:p>
          <w:p w14:paraId="74874DBA">
            <w:pPr>
              <w:jc w:val="center"/>
              <w:rPr>
                <w:b/>
                <w:bCs/>
                <w:color w:val="auto"/>
                <w:lang w:val="en-GB"/>
              </w:rPr>
            </w:pPr>
            <w:r>
              <w:rPr>
                <w:b/>
                <w:bCs/>
                <w:color w:val="auto"/>
                <w:lang w:val="en-GB"/>
              </w:rPr>
              <w:t>表2</w:t>
            </w:r>
            <w:r>
              <w:rPr>
                <w:rFonts w:hint="eastAsia"/>
                <w:b/>
                <w:bCs/>
                <w:color w:val="auto"/>
              </w:rPr>
              <w:t>.3-1</w:t>
            </w:r>
            <w:r>
              <w:rPr>
                <w:rFonts w:hint="eastAsia"/>
                <w:b/>
                <w:bCs/>
                <w:color w:val="auto"/>
                <w:lang w:val="en-GB"/>
              </w:rPr>
              <w:t>项目</w:t>
            </w:r>
            <w:r>
              <w:rPr>
                <w:b/>
                <w:bCs/>
                <w:color w:val="auto"/>
                <w:lang w:val="en-GB"/>
              </w:rPr>
              <w:t>主要设备一览表</w:t>
            </w:r>
          </w:p>
          <w:p w14:paraId="3976200E">
            <w:pPr>
              <w:pStyle w:val="4"/>
              <w:keepNext w:val="0"/>
              <w:keepLines w:val="0"/>
              <w:pageBreakBefore w:val="0"/>
              <w:widowControl w:val="0"/>
              <w:kinsoku/>
              <w:wordWrap/>
              <w:overflowPunct/>
              <w:topLinePunct w:val="0"/>
              <w:autoSpaceDE/>
              <w:autoSpaceDN/>
              <w:bidi w:val="0"/>
              <w:adjustRightInd/>
              <w:snapToGrid/>
              <w:spacing w:before="157" w:beforeLines="50"/>
              <w:ind w:firstLine="120"/>
              <w:textAlignment w:val="auto"/>
              <w:rPr>
                <w:rFonts w:hint="eastAsia" w:eastAsia="宋体"/>
                <w:color w:val="auto"/>
                <w:lang w:val="en-GB" w:eastAsia="zh-CN"/>
              </w:rPr>
            </w:pPr>
            <w:r>
              <w:rPr>
                <w:color w:val="auto"/>
              </w:rPr>
              <w:t>2.</w:t>
            </w:r>
            <w:r>
              <w:rPr>
                <w:rFonts w:hint="eastAsia"/>
                <w:color w:val="auto"/>
                <w:lang w:val="en-US" w:eastAsia="zh-CN"/>
              </w:rPr>
              <w:t>4项目</w:t>
            </w:r>
            <w:r>
              <w:rPr>
                <w:color w:val="auto"/>
                <w:lang w:val="en-GB"/>
              </w:rPr>
              <w:t>主要</w:t>
            </w:r>
            <w:r>
              <w:rPr>
                <w:rFonts w:hint="eastAsia"/>
                <w:color w:val="auto"/>
                <w:lang w:val="en-GB" w:eastAsia="zh-CN"/>
              </w:rPr>
              <w:t>原辅料</w:t>
            </w:r>
          </w:p>
          <w:p w14:paraId="4FD18B04">
            <w:pPr>
              <w:pStyle w:val="4"/>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eastAsia="宋体" w:cs="Times New Roman"/>
                <w:b w:val="0"/>
                <w:color w:val="auto"/>
                <w:kern w:val="2"/>
                <w:sz w:val="24"/>
                <w:szCs w:val="24"/>
                <w:lang w:val="en-GB" w:eastAsia="zh-CN" w:bidi="ar-SA"/>
              </w:rPr>
            </w:pPr>
            <w:r>
              <w:rPr>
                <w:rFonts w:hint="eastAsia" w:ascii="Times New Roman" w:hAnsi="Times New Roman" w:eastAsia="宋体" w:cs="Times New Roman"/>
                <w:b w:val="0"/>
                <w:color w:val="auto"/>
                <w:kern w:val="2"/>
                <w:sz w:val="24"/>
                <w:szCs w:val="24"/>
                <w:lang w:val="en-GB" w:eastAsia="zh-CN" w:bidi="ar-SA"/>
              </w:rPr>
              <w:t>本次项目原辅材料及能源消耗情况详见表2.</w:t>
            </w:r>
            <w:r>
              <w:rPr>
                <w:rFonts w:hint="eastAsia" w:ascii="Times New Roman" w:hAnsi="Times New Roman" w:cs="Times New Roman"/>
                <w:b w:val="0"/>
                <w:color w:val="auto"/>
                <w:kern w:val="2"/>
                <w:sz w:val="24"/>
                <w:szCs w:val="24"/>
                <w:lang w:val="en-US" w:eastAsia="zh-CN" w:bidi="ar-SA"/>
              </w:rPr>
              <w:t>4</w:t>
            </w:r>
            <w:r>
              <w:rPr>
                <w:rFonts w:hint="eastAsia" w:ascii="Times New Roman" w:hAnsi="Times New Roman" w:eastAsia="宋体" w:cs="Times New Roman"/>
                <w:b w:val="0"/>
                <w:color w:val="auto"/>
                <w:kern w:val="2"/>
                <w:sz w:val="24"/>
                <w:szCs w:val="24"/>
                <w:lang w:val="en-GB" w:eastAsia="zh-CN" w:bidi="ar-SA"/>
              </w:rPr>
              <w:t>-</w:t>
            </w:r>
            <w:r>
              <w:rPr>
                <w:rFonts w:hint="eastAsia" w:ascii="Times New Roman" w:hAnsi="Times New Roman" w:cs="Times New Roman"/>
                <w:b w:val="0"/>
                <w:color w:val="auto"/>
                <w:kern w:val="2"/>
                <w:sz w:val="24"/>
                <w:szCs w:val="24"/>
                <w:lang w:val="en-US" w:eastAsia="zh-CN" w:bidi="ar-SA"/>
              </w:rPr>
              <w:t>1</w:t>
            </w:r>
            <w:r>
              <w:rPr>
                <w:rFonts w:hint="eastAsia" w:ascii="Times New Roman" w:hAnsi="Times New Roman" w:eastAsia="宋体" w:cs="Times New Roman"/>
                <w:b w:val="0"/>
                <w:color w:val="auto"/>
                <w:kern w:val="2"/>
                <w:sz w:val="24"/>
                <w:szCs w:val="24"/>
                <w:lang w:val="en-GB" w:eastAsia="zh-CN" w:bidi="ar-SA"/>
              </w:rPr>
              <w:t>、表2.</w:t>
            </w:r>
            <w:r>
              <w:rPr>
                <w:rFonts w:hint="eastAsia" w:ascii="Times New Roman" w:hAnsi="Times New Roman" w:cs="Times New Roman"/>
                <w:b w:val="0"/>
                <w:color w:val="auto"/>
                <w:kern w:val="2"/>
                <w:sz w:val="24"/>
                <w:szCs w:val="24"/>
                <w:lang w:val="en-US" w:eastAsia="zh-CN" w:bidi="ar-SA"/>
              </w:rPr>
              <w:t>4</w:t>
            </w:r>
            <w:r>
              <w:rPr>
                <w:rFonts w:hint="eastAsia" w:ascii="Times New Roman" w:hAnsi="Times New Roman" w:eastAsia="宋体" w:cs="Times New Roman"/>
                <w:b w:val="0"/>
                <w:color w:val="auto"/>
                <w:kern w:val="2"/>
                <w:sz w:val="24"/>
                <w:szCs w:val="24"/>
                <w:lang w:val="en-GB" w:eastAsia="zh-CN" w:bidi="ar-SA"/>
              </w:rPr>
              <w:t>-</w:t>
            </w:r>
            <w:r>
              <w:rPr>
                <w:rFonts w:hint="eastAsia" w:ascii="Times New Roman" w:hAnsi="Times New Roman" w:cs="Times New Roman"/>
                <w:b w:val="0"/>
                <w:color w:val="auto"/>
                <w:kern w:val="2"/>
                <w:sz w:val="24"/>
                <w:szCs w:val="24"/>
                <w:lang w:val="en-US" w:eastAsia="zh-CN" w:bidi="ar-SA"/>
              </w:rPr>
              <w:t>2</w:t>
            </w:r>
            <w:r>
              <w:rPr>
                <w:rFonts w:hint="eastAsia" w:ascii="Times New Roman" w:hAnsi="Times New Roman" w:eastAsia="宋体" w:cs="Times New Roman"/>
                <w:b w:val="0"/>
                <w:color w:val="auto"/>
                <w:kern w:val="2"/>
                <w:sz w:val="24"/>
                <w:szCs w:val="24"/>
                <w:lang w:val="en-GB" w:eastAsia="zh-CN" w:bidi="ar-SA"/>
              </w:rPr>
              <w:t>。</w:t>
            </w:r>
          </w:p>
          <w:p w14:paraId="5C3094A3">
            <w:pPr>
              <w:jc w:val="center"/>
              <w:rPr>
                <w:b/>
                <w:bCs/>
                <w:color w:val="auto"/>
                <w:lang w:val="en-GB"/>
              </w:rPr>
            </w:pPr>
            <w:r>
              <w:rPr>
                <w:b/>
                <w:bCs/>
                <w:color w:val="auto"/>
                <w:lang w:val="en-GB"/>
              </w:rPr>
              <w:t>表2</w:t>
            </w:r>
            <w:r>
              <w:rPr>
                <w:rFonts w:hint="eastAsia"/>
                <w:b/>
                <w:bCs/>
                <w:color w:val="auto"/>
              </w:rPr>
              <w:t>.</w:t>
            </w:r>
            <w:r>
              <w:rPr>
                <w:rFonts w:hint="eastAsia"/>
                <w:b/>
                <w:bCs/>
                <w:color w:val="auto"/>
                <w:lang w:val="en-US" w:eastAsia="zh-CN"/>
              </w:rPr>
              <w:t>4</w:t>
            </w:r>
            <w:r>
              <w:rPr>
                <w:rFonts w:hint="eastAsia"/>
                <w:b/>
                <w:bCs/>
                <w:color w:val="auto"/>
              </w:rPr>
              <w:t>-1</w:t>
            </w:r>
            <w:r>
              <w:rPr>
                <w:rFonts w:hint="eastAsia"/>
                <w:b/>
                <w:bCs/>
                <w:color w:val="auto"/>
                <w:lang w:val="en-GB"/>
              </w:rPr>
              <w:t>项目原辅材料</w:t>
            </w:r>
            <w:r>
              <w:rPr>
                <w:b/>
                <w:bCs/>
                <w:color w:val="auto"/>
                <w:lang w:val="en-GB"/>
              </w:rPr>
              <w:t>一览表</w:t>
            </w:r>
          </w:p>
          <w:p w14:paraId="1EC5139C">
            <w:pPr>
              <w:pStyle w:val="129"/>
              <w:keepNext w:val="0"/>
              <w:keepLines w:val="0"/>
              <w:pageBreakBefore w:val="0"/>
              <w:widowControl w:val="0"/>
              <w:numPr>
                <w:ilvl w:val="0"/>
                <w:numId w:val="0"/>
              </w:numPr>
              <w:kinsoku/>
              <w:wordWrap/>
              <w:overflowPunct/>
              <w:topLinePunct w:val="0"/>
              <w:autoSpaceDE/>
              <w:autoSpaceDN/>
              <w:bidi w:val="0"/>
              <w:adjustRightInd w:val="0"/>
              <w:snapToGrid w:val="0"/>
              <w:spacing w:before="120" w:beforeLines="50" w:line="240" w:lineRule="auto"/>
              <w:ind w:left="0" w:leftChars="0" w:firstLine="0" w:firstLineChars="0"/>
              <w:textAlignment w:val="auto"/>
              <w:rPr>
                <w:bCs/>
                <w:snapToGrid w:val="0"/>
                <w:color w:val="auto"/>
                <w:kern w:val="0"/>
                <w:szCs w:val="21"/>
              </w:rPr>
            </w:pPr>
            <w:r>
              <w:rPr>
                <w:rFonts w:hint="default" w:ascii="Times New Roman" w:hAnsi="Times New Roman" w:eastAsia="宋体" w:cs="Times New Roman"/>
                <w:b/>
                <w:bCs w:val="0"/>
                <w:snapToGrid w:val="0"/>
                <w:color w:val="auto"/>
                <w:kern w:val="0"/>
                <w:sz w:val="21"/>
                <w:szCs w:val="21"/>
                <w:u w:val="none"/>
                <w:lang w:val="en-US" w:eastAsia="zh-CN" w:bidi="ar-SA"/>
              </w:rPr>
              <w:t>表2.</w:t>
            </w:r>
            <w:r>
              <w:rPr>
                <w:rFonts w:hint="eastAsia" w:ascii="Times New Roman" w:hAnsi="Times New Roman" w:cs="Times New Roman"/>
                <w:b/>
                <w:bCs w:val="0"/>
                <w:snapToGrid w:val="0"/>
                <w:color w:val="auto"/>
                <w:kern w:val="0"/>
                <w:sz w:val="21"/>
                <w:szCs w:val="21"/>
                <w:u w:val="none"/>
                <w:lang w:val="en-US" w:eastAsia="zh-CN" w:bidi="ar-SA"/>
              </w:rPr>
              <w:t>4</w:t>
            </w:r>
            <w:r>
              <w:rPr>
                <w:rFonts w:hint="default" w:ascii="Times New Roman" w:hAnsi="Times New Roman" w:eastAsia="宋体" w:cs="Times New Roman"/>
                <w:b/>
                <w:bCs w:val="0"/>
                <w:snapToGrid w:val="0"/>
                <w:color w:val="auto"/>
                <w:kern w:val="0"/>
                <w:sz w:val="21"/>
                <w:szCs w:val="21"/>
                <w:u w:val="none"/>
                <w:lang w:val="en-US" w:eastAsia="zh-CN" w:bidi="ar-SA"/>
              </w:rPr>
              <w:t>-</w:t>
            </w:r>
            <w:r>
              <w:rPr>
                <w:rFonts w:hint="eastAsia" w:cs="Times New Roman"/>
                <w:b/>
                <w:bCs w:val="0"/>
                <w:snapToGrid w:val="0"/>
                <w:color w:val="auto"/>
                <w:kern w:val="0"/>
                <w:sz w:val="21"/>
                <w:szCs w:val="21"/>
                <w:u w:val="none"/>
                <w:lang w:val="en-US" w:eastAsia="zh-CN" w:bidi="ar-SA"/>
              </w:rPr>
              <w:t>2</w:t>
            </w:r>
            <w:r>
              <w:rPr>
                <w:bCs/>
                <w:snapToGrid w:val="0"/>
                <w:color w:val="auto"/>
                <w:kern w:val="0"/>
                <w:szCs w:val="21"/>
              </w:rPr>
              <w:t>能源及水资源消耗</w:t>
            </w:r>
          </w:p>
          <w:p w14:paraId="10EF7347">
            <w:pPr>
              <w:pStyle w:val="4"/>
              <w:keepNext w:val="0"/>
              <w:keepLines w:val="0"/>
              <w:pageBreakBefore w:val="0"/>
              <w:widowControl w:val="0"/>
              <w:kinsoku/>
              <w:wordWrap/>
              <w:overflowPunct/>
              <w:topLinePunct w:val="0"/>
              <w:autoSpaceDE/>
              <w:autoSpaceDN/>
              <w:bidi w:val="0"/>
              <w:adjustRightInd/>
              <w:snapToGrid/>
              <w:spacing w:before="157" w:beforeLines="50"/>
              <w:ind w:firstLine="120"/>
              <w:textAlignment w:val="auto"/>
              <w:rPr>
                <w:rFonts w:hint="eastAsia" w:eastAsia="宋体"/>
                <w:color w:val="auto"/>
                <w:lang w:eastAsia="zh-CN"/>
              </w:rPr>
            </w:pPr>
            <w:r>
              <w:rPr>
                <w:color w:val="auto"/>
              </w:rPr>
              <w:t>2.</w:t>
            </w:r>
            <w:r>
              <w:rPr>
                <w:rFonts w:hint="eastAsia"/>
                <w:color w:val="auto"/>
                <w:lang w:val="en-US" w:eastAsia="zh-CN"/>
              </w:rPr>
              <w:t>5项目</w:t>
            </w:r>
            <w:r>
              <w:rPr>
                <w:color w:val="auto"/>
                <w:lang w:val="en-GB"/>
              </w:rPr>
              <w:t>主要</w:t>
            </w:r>
            <w:r>
              <w:rPr>
                <w:rFonts w:hint="eastAsia"/>
                <w:color w:val="auto"/>
                <w:lang w:val="en-GB" w:eastAsia="zh-CN"/>
              </w:rPr>
              <w:t>产品方案及产能情况</w:t>
            </w:r>
          </w:p>
          <w:p w14:paraId="6B8443B7">
            <w:pPr>
              <w:spacing w:line="360" w:lineRule="auto"/>
              <w:ind w:firstLine="480" w:firstLineChars="200"/>
              <w:jc w:val="left"/>
              <w:rPr>
                <w:color w:val="auto"/>
                <w:sz w:val="24"/>
              </w:rPr>
            </w:pPr>
            <w:r>
              <w:rPr>
                <w:rFonts w:hint="eastAsia"/>
                <w:color w:val="auto"/>
                <w:sz w:val="24"/>
                <w:lang w:eastAsia="zh-CN"/>
              </w:rPr>
              <w:t>拟建项目新增产能为：</w:t>
            </w:r>
            <w:r>
              <w:rPr>
                <w:rFonts w:hint="eastAsia"/>
                <w:color w:val="auto"/>
                <w:sz w:val="24"/>
                <w:shd w:val="clear" w:color="auto" w:fill="FFFFFF"/>
                <w:lang w:val="en-US" w:eastAsia="zh-CN"/>
              </w:rPr>
              <w:t>建设发电设备生产基地，年组装及加工发电机组设备6000台套（其中储能柜500台）</w:t>
            </w:r>
            <w:r>
              <w:rPr>
                <w:rFonts w:hint="eastAsia"/>
                <w:color w:val="auto"/>
                <w:sz w:val="24"/>
                <w:lang w:val="en-US" w:eastAsia="zh-CN"/>
              </w:rPr>
              <w:t>。</w:t>
            </w:r>
            <w:r>
              <w:rPr>
                <w:rFonts w:hint="eastAsia"/>
                <w:color w:val="auto"/>
                <w:sz w:val="24"/>
              </w:rPr>
              <w:t>项目</w:t>
            </w:r>
            <w:r>
              <w:rPr>
                <w:rFonts w:hint="eastAsia"/>
                <w:color w:val="auto"/>
                <w:sz w:val="24"/>
                <w:lang w:eastAsia="zh-CN"/>
              </w:rPr>
              <w:t>产品产能</w:t>
            </w:r>
            <w:r>
              <w:rPr>
                <w:color w:val="auto"/>
                <w:sz w:val="24"/>
              </w:rPr>
              <w:t>见表</w:t>
            </w:r>
            <w:r>
              <w:rPr>
                <w:rFonts w:hint="eastAsia"/>
                <w:color w:val="auto"/>
                <w:sz w:val="24"/>
              </w:rPr>
              <w:t>2.</w:t>
            </w:r>
            <w:r>
              <w:rPr>
                <w:rFonts w:hint="eastAsia"/>
                <w:color w:val="auto"/>
                <w:sz w:val="24"/>
                <w:lang w:val="en-US" w:eastAsia="zh-CN"/>
              </w:rPr>
              <w:t>5</w:t>
            </w:r>
            <w:r>
              <w:rPr>
                <w:rFonts w:hint="eastAsia"/>
                <w:color w:val="auto"/>
                <w:sz w:val="24"/>
              </w:rPr>
              <w:t>-1</w:t>
            </w:r>
            <w:r>
              <w:rPr>
                <w:color w:val="auto"/>
                <w:sz w:val="24"/>
              </w:rPr>
              <w:t>。</w:t>
            </w:r>
          </w:p>
          <w:p w14:paraId="4612B982">
            <w:pPr>
              <w:jc w:val="center"/>
              <w:rPr>
                <w:b/>
                <w:bCs/>
                <w:color w:val="auto"/>
                <w:lang w:val="en-GB"/>
              </w:rPr>
            </w:pPr>
            <w:r>
              <w:rPr>
                <w:b/>
                <w:bCs/>
                <w:color w:val="auto"/>
                <w:lang w:val="en-GB"/>
              </w:rPr>
              <w:t>表</w:t>
            </w:r>
            <w:r>
              <w:rPr>
                <w:b/>
                <w:bCs/>
                <w:color w:val="auto"/>
              </w:rPr>
              <w:t>2.</w:t>
            </w:r>
            <w:r>
              <w:rPr>
                <w:rFonts w:hint="eastAsia"/>
                <w:b/>
                <w:bCs/>
                <w:color w:val="auto"/>
                <w:lang w:val="en-US" w:eastAsia="zh-CN"/>
              </w:rPr>
              <w:t>5</w:t>
            </w:r>
            <w:r>
              <w:rPr>
                <w:b/>
                <w:bCs/>
                <w:color w:val="auto"/>
              </w:rPr>
              <w:t>-1</w:t>
            </w:r>
            <w:r>
              <w:rPr>
                <w:rFonts w:hint="eastAsia"/>
                <w:b/>
                <w:bCs/>
                <w:color w:val="auto"/>
                <w:lang w:val="en-GB"/>
              </w:rPr>
              <w:t>新增产品的生产方案</w:t>
            </w:r>
          </w:p>
          <w:tbl>
            <w:tblPr>
              <w:tblStyle w:val="31"/>
              <w:tblW w:w="7755"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69"/>
              <w:gridCol w:w="2294"/>
              <w:gridCol w:w="1895"/>
              <w:gridCol w:w="2597"/>
            </w:tblGrid>
            <w:tr w14:paraId="49B76C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69" w:type="dxa"/>
                  <w:tcBorders>
                    <w:tl2br w:val="nil"/>
                    <w:tr2bl w:val="nil"/>
                  </w:tcBorders>
                  <w:vAlign w:val="center"/>
                </w:tcPr>
                <w:p w14:paraId="1CA9CB69">
                  <w:pPr>
                    <w:jc w:val="center"/>
                    <w:rPr>
                      <w:rFonts w:hint="eastAsia" w:eastAsia="宋体"/>
                      <w:b/>
                      <w:bCs/>
                      <w:color w:val="auto"/>
                      <w:szCs w:val="21"/>
                      <w:lang w:val="en-US" w:eastAsia="zh-CN"/>
                    </w:rPr>
                  </w:pPr>
                  <w:r>
                    <w:rPr>
                      <w:rFonts w:hint="eastAsia"/>
                      <w:b/>
                      <w:bCs/>
                      <w:color w:val="auto"/>
                      <w:szCs w:val="21"/>
                      <w:lang w:val="en-US" w:eastAsia="zh-CN"/>
                    </w:rPr>
                    <w:t>序号</w:t>
                  </w:r>
                </w:p>
              </w:tc>
              <w:tc>
                <w:tcPr>
                  <w:tcW w:w="2294" w:type="dxa"/>
                  <w:tcBorders>
                    <w:tl2br w:val="nil"/>
                    <w:tr2bl w:val="nil"/>
                  </w:tcBorders>
                  <w:vAlign w:val="center"/>
                </w:tcPr>
                <w:p w14:paraId="4ED2AFA4">
                  <w:pPr>
                    <w:jc w:val="center"/>
                    <w:rPr>
                      <w:rFonts w:hint="eastAsia" w:eastAsia="宋体"/>
                      <w:color w:val="auto"/>
                      <w:lang w:eastAsia="zh-CN"/>
                    </w:rPr>
                  </w:pPr>
                  <w:r>
                    <w:rPr>
                      <w:rFonts w:hint="eastAsia"/>
                      <w:b/>
                      <w:bCs/>
                      <w:color w:val="auto"/>
                      <w:szCs w:val="21"/>
                      <w:lang w:eastAsia="zh-CN"/>
                    </w:rPr>
                    <w:t>产品</w:t>
                  </w:r>
                  <w:r>
                    <w:rPr>
                      <w:b/>
                      <w:bCs/>
                      <w:color w:val="auto"/>
                      <w:szCs w:val="21"/>
                    </w:rPr>
                    <w:t>名称</w:t>
                  </w:r>
                </w:p>
              </w:tc>
              <w:tc>
                <w:tcPr>
                  <w:tcW w:w="1895" w:type="dxa"/>
                  <w:tcBorders>
                    <w:tl2br w:val="nil"/>
                    <w:tr2bl w:val="nil"/>
                  </w:tcBorders>
                  <w:vAlign w:val="center"/>
                </w:tcPr>
                <w:p w14:paraId="79E62C81">
                  <w:pPr>
                    <w:jc w:val="center"/>
                    <w:rPr>
                      <w:b/>
                      <w:bCs/>
                      <w:color w:val="auto"/>
                      <w:szCs w:val="21"/>
                    </w:rPr>
                  </w:pPr>
                  <w:r>
                    <w:rPr>
                      <w:rFonts w:hint="eastAsia"/>
                      <w:color w:val="auto"/>
                      <w:lang w:eastAsia="zh-CN"/>
                    </w:rPr>
                    <w:t>单位</w:t>
                  </w:r>
                </w:p>
              </w:tc>
              <w:tc>
                <w:tcPr>
                  <w:tcW w:w="2597" w:type="dxa"/>
                  <w:tcBorders>
                    <w:tl2br w:val="nil"/>
                    <w:tr2bl w:val="nil"/>
                  </w:tcBorders>
                  <w:vAlign w:val="center"/>
                </w:tcPr>
                <w:p w14:paraId="5CE0BCC4">
                  <w:pPr>
                    <w:jc w:val="center"/>
                    <w:rPr>
                      <w:rFonts w:hint="eastAsia"/>
                      <w:color w:val="auto"/>
                      <w:lang w:eastAsia="zh-CN"/>
                    </w:rPr>
                  </w:pPr>
                  <w:r>
                    <w:rPr>
                      <w:rFonts w:hint="eastAsia"/>
                      <w:color w:val="auto"/>
                      <w:lang w:eastAsia="zh-CN"/>
                    </w:rPr>
                    <w:t>生产规模</w:t>
                  </w:r>
                </w:p>
              </w:tc>
            </w:tr>
            <w:tr w14:paraId="436813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969" w:type="dxa"/>
                  <w:tcBorders>
                    <w:tl2br w:val="nil"/>
                    <w:tr2bl w:val="nil"/>
                  </w:tcBorders>
                  <w:vAlign w:val="center"/>
                </w:tcPr>
                <w:p w14:paraId="3C177C5A">
                  <w:pPr>
                    <w:jc w:val="center"/>
                    <w:rPr>
                      <w:color w:val="auto"/>
                      <w:szCs w:val="21"/>
                    </w:rPr>
                  </w:pPr>
                  <w:r>
                    <w:rPr>
                      <w:rFonts w:hint="eastAsia"/>
                      <w:color w:val="auto"/>
                      <w:sz w:val="24"/>
                      <w:lang w:val="en-US" w:eastAsia="zh-CN"/>
                    </w:rPr>
                    <w:t>1</w:t>
                  </w:r>
                </w:p>
              </w:tc>
              <w:tc>
                <w:tcPr>
                  <w:tcW w:w="2294" w:type="dxa"/>
                  <w:tcBorders>
                    <w:tl2br w:val="nil"/>
                    <w:tr2bl w:val="nil"/>
                  </w:tcBorders>
                  <w:vAlign w:val="center"/>
                </w:tcPr>
                <w:p w14:paraId="76FDDC08">
                  <w:pPr>
                    <w:jc w:val="center"/>
                    <w:rPr>
                      <w:color w:val="auto"/>
                      <w:sz w:val="21"/>
                      <w:szCs w:val="21"/>
                    </w:rPr>
                  </w:pPr>
                  <w:r>
                    <w:rPr>
                      <w:rFonts w:hint="eastAsia"/>
                      <w:caps/>
                      <w:color w:val="auto"/>
                      <w:sz w:val="21"/>
                      <w:szCs w:val="21"/>
                      <w:lang w:val="en-US" w:eastAsia="zh-CN"/>
                    </w:rPr>
                    <w:t>柴油发电机</w:t>
                  </w:r>
                </w:p>
              </w:tc>
              <w:tc>
                <w:tcPr>
                  <w:tcW w:w="1895" w:type="dxa"/>
                  <w:tcBorders>
                    <w:tl2br w:val="nil"/>
                    <w:tr2bl w:val="nil"/>
                  </w:tcBorders>
                  <w:vAlign w:val="center"/>
                </w:tcPr>
                <w:p w14:paraId="7302299D">
                  <w:pPr>
                    <w:jc w:val="center"/>
                    <w:rPr>
                      <w:rFonts w:hint="default" w:eastAsia="宋体"/>
                      <w:b/>
                      <w:bCs/>
                      <w:color w:val="auto"/>
                      <w:szCs w:val="21"/>
                      <w:lang w:val="en-US" w:eastAsia="zh-CN"/>
                    </w:rPr>
                  </w:pPr>
                  <w:r>
                    <w:rPr>
                      <w:rFonts w:hint="eastAsia"/>
                      <w:b w:val="0"/>
                      <w:bCs w:val="0"/>
                      <w:color w:val="auto"/>
                      <w:szCs w:val="21"/>
                      <w:lang w:val="en-US" w:eastAsia="zh-CN"/>
                    </w:rPr>
                    <w:t>台/年</w:t>
                  </w:r>
                </w:p>
              </w:tc>
              <w:tc>
                <w:tcPr>
                  <w:tcW w:w="2597" w:type="dxa"/>
                  <w:tcBorders>
                    <w:tl2br w:val="nil"/>
                    <w:tr2bl w:val="nil"/>
                  </w:tcBorders>
                  <w:vAlign w:val="center"/>
                </w:tcPr>
                <w:p w14:paraId="7A6E2471">
                  <w:pPr>
                    <w:jc w:val="center"/>
                    <w:rPr>
                      <w:rFonts w:hint="default"/>
                      <w:b w:val="0"/>
                      <w:bCs w:val="0"/>
                      <w:color w:val="auto"/>
                      <w:szCs w:val="21"/>
                      <w:lang w:val="en-US" w:eastAsia="zh-CN"/>
                    </w:rPr>
                  </w:pPr>
                  <w:r>
                    <w:rPr>
                      <w:rFonts w:hint="eastAsia"/>
                      <w:b w:val="0"/>
                      <w:bCs w:val="0"/>
                      <w:color w:val="auto"/>
                      <w:szCs w:val="21"/>
                      <w:lang w:val="en-US" w:eastAsia="zh-CN"/>
                    </w:rPr>
                    <w:t>4000</w:t>
                  </w:r>
                </w:p>
              </w:tc>
            </w:tr>
            <w:tr w14:paraId="49FBDE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969" w:type="dxa"/>
                  <w:tcBorders>
                    <w:tl2br w:val="nil"/>
                    <w:tr2bl w:val="nil"/>
                  </w:tcBorders>
                  <w:vAlign w:val="center"/>
                </w:tcPr>
                <w:p w14:paraId="6E6F69EB">
                  <w:pPr>
                    <w:jc w:val="center"/>
                    <w:rPr>
                      <w:rFonts w:hint="default"/>
                      <w:color w:val="auto"/>
                      <w:sz w:val="24"/>
                      <w:lang w:val="en-US" w:eastAsia="zh-CN"/>
                    </w:rPr>
                  </w:pPr>
                  <w:r>
                    <w:rPr>
                      <w:rFonts w:hint="eastAsia"/>
                      <w:color w:val="auto"/>
                      <w:sz w:val="24"/>
                      <w:lang w:val="en-US" w:eastAsia="zh-CN"/>
                    </w:rPr>
                    <w:t>2</w:t>
                  </w:r>
                </w:p>
              </w:tc>
              <w:tc>
                <w:tcPr>
                  <w:tcW w:w="2294" w:type="dxa"/>
                  <w:tcBorders>
                    <w:tl2br w:val="nil"/>
                    <w:tr2bl w:val="nil"/>
                  </w:tcBorders>
                  <w:vAlign w:val="center"/>
                </w:tcPr>
                <w:p w14:paraId="2DAE8C26">
                  <w:pPr>
                    <w:jc w:val="center"/>
                    <w:rPr>
                      <w:rFonts w:hint="eastAsia"/>
                      <w:color w:val="auto"/>
                      <w:sz w:val="21"/>
                      <w:szCs w:val="21"/>
                      <w:lang w:val="en-US" w:eastAsia="zh-CN"/>
                    </w:rPr>
                  </w:pPr>
                  <w:r>
                    <w:rPr>
                      <w:rFonts w:hint="eastAsia"/>
                      <w:caps/>
                      <w:color w:val="auto"/>
                      <w:sz w:val="21"/>
                      <w:szCs w:val="21"/>
                      <w:lang w:val="en-US" w:eastAsia="zh-CN"/>
                    </w:rPr>
                    <w:t>燃气发电机</w:t>
                  </w:r>
                </w:p>
              </w:tc>
              <w:tc>
                <w:tcPr>
                  <w:tcW w:w="1895" w:type="dxa"/>
                  <w:tcBorders>
                    <w:tl2br w:val="nil"/>
                    <w:tr2bl w:val="nil"/>
                  </w:tcBorders>
                  <w:vAlign w:val="center"/>
                </w:tcPr>
                <w:p w14:paraId="75F84D84">
                  <w:pPr>
                    <w:jc w:val="center"/>
                    <w:rPr>
                      <w:rFonts w:hint="eastAsia"/>
                      <w:b w:val="0"/>
                      <w:bCs w:val="0"/>
                      <w:color w:val="auto"/>
                      <w:szCs w:val="21"/>
                      <w:lang w:val="en-US" w:eastAsia="zh-CN"/>
                    </w:rPr>
                  </w:pPr>
                  <w:r>
                    <w:rPr>
                      <w:rFonts w:hint="eastAsia"/>
                      <w:b w:val="0"/>
                      <w:bCs w:val="0"/>
                      <w:color w:val="auto"/>
                      <w:szCs w:val="21"/>
                      <w:lang w:val="en-US" w:eastAsia="zh-CN"/>
                    </w:rPr>
                    <w:t>台/年</w:t>
                  </w:r>
                </w:p>
              </w:tc>
              <w:tc>
                <w:tcPr>
                  <w:tcW w:w="2597" w:type="dxa"/>
                  <w:tcBorders>
                    <w:tl2br w:val="nil"/>
                    <w:tr2bl w:val="nil"/>
                  </w:tcBorders>
                  <w:vAlign w:val="center"/>
                </w:tcPr>
                <w:p w14:paraId="346AC44D">
                  <w:pPr>
                    <w:jc w:val="center"/>
                    <w:rPr>
                      <w:rFonts w:hint="default"/>
                      <w:b w:val="0"/>
                      <w:bCs w:val="0"/>
                      <w:color w:val="auto"/>
                      <w:szCs w:val="21"/>
                      <w:lang w:val="en-US" w:eastAsia="zh-CN"/>
                    </w:rPr>
                  </w:pPr>
                  <w:r>
                    <w:rPr>
                      <w:rFonts w:hint="eastAsia"/>
                      <w:b w:val="0"/>
                      <w:bCs w:val="0"/>
                      <w:color w:val="auto"/>
                      <w:szCs w:val="21"/>
                      <w:lang w:val="en-US" w:eastAsia="zh-CN"/>
                    </w:rPr>
                    <w:t>1500</w:t>
                  </w:r>
                </w:p>
              </w:tc>
            </w:tr>
            <w:tr w14:paraId="1D2EDA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969" w:type="dxa"/>
                  <w:tcBorders>
                    <w:tl2br w:val="nil"/>
                    <w:tr2bl w:val="nil"/>
                  </w:tcBorders>
                  <w:vAlign w:val="center"/>
                </w:tcPr>
                <w:p w14:paraId="630ED020">
                  <w:pPr>
                    <w:jc w:val="center"/>
                    <w:rPr>
                      <w:rFonts w:hint="default"/>
                      <w:color w:val="auto"/>
                      <w:sz w:val="24"/>
                      <w:lang w:val="en-US" w:eastAsia="zh-CN"/>
                    </w:rPr>
                  </w:pPr>
                  <w:r>
                    <w:rPr>
                      <w:rFonts w:hint="eastAsia"/>
                      <w:color w:val="auto"/>
                      <w:sz w:val="24"/>
                      <w:lang w:val="en-US" w:eastAsia="zh-CN"/>
                    </w:rPr>
                    <w:t>3</w:t>
                  </w:r>
                </w:p>
              </w:tc>
              <w:tc>
                <w:tcPr>
                  <w:tcW w:w="2294" w:type="dxa"/>
                  <w:tcBorders>
                    <w:tl2br w:val="nil"/>
                    <w:tr2bl w:val="nil"/>
                  </w:tcBorders>
                  <w:vAlign w:val="center"/>
                </w:tcPr>
                <w:p w14:paraId="5D2D4161">
                  <w:pPr>
                    <w:adjustRightInd w:val="0"/>
                    <w:snapToGrid w:val="0"/>
                    <w:jc w:val="center"/>
                    <w:rPr>
                      <w:rFonts w:hint="eastAsia"/>
                      <w:color w:val="auto"/>
                      <w:sz w:val="21"/>
                      <w:szCs w:val="21"/>
                      <w:lang w:val="en-US" w:eastAsia="zh-CN"/>
                    </w:rPr>
                  </w:pPr>
                  <w:r>
                    <w:rPr>
                      <w:rFonts w:hint="eastAsia"/>
                      <w:color w:val="auto"/>
                      <w:sz w:val="21"/>
                      <w:szCs w:val="21"/>
                      <w:lang w:val="en-US" w:eastAsia="zh-CN"/>
                    </w:rPr>
                    <w:t>发电机储能柜</w:t>
                  </w:r>
                </w:p>
              </w:tc>
              <w:tc>
                <w:tcPr>
                  <w:tcW w:w="1895" w:type="dxa"/>
                  <w:tcBorders>
                    <w:tl2br w:val="nil"/>
                    <w:tr2bl w:val="nil"/>
                  </w:tcBorders>
                  <w:vAlign w:val="center"/>
                </w:tcPr>
                <w:p w14:paraId="16CBF7FE">
                  <w:pPr>
                    <w:jc w:val="center"/>
                    <w:rPr>
                      <w:rFonts w:hint="eastAsia"/>
                      <w:b w:val="0"/>
                      <w:bCs w:val="0"/>
                      <w:color w:val="auto"/>
                      <w:szCs w:val="21"/>
                      <w:lang w:val="en-US" w:eastAsia="zh-CN"/>
                    </w:rPr>
                  </w:pPr>
                  <w:r>
                    <w:rPr>
                      <w:rFonts w:hint="eastAsia"/>
                      <w:b w:val="0"/>
                      <w:bCs w:val="0"/>
                      <w:color w:val="auto"/>
                      <w:szCs w:val="21"/>
                      <w:lang w:val="en-US" w:eastAsia="zh-CN"/>
                    </w:rPr>
                    <w:t>套/年</w:t>
                  </w:r>
                </w:p>
              </w:tc>
              <w:tc>
                <w:tcPr>
                  <w:tcW w:w="2597" w:type="dxa"/>
                  <w:tcBorders>
                    <w:tl2br w:val="nil"/>
                    <w:tr2bl w:val="nil"/>
                  </w:tcBorders>
                  <w:vAlign w:val="center"/>
                </w:tcPr>
                <w:p w14:paraId="27277DA1">
                  <w:pPr>
                    <w:jc w:val="center"/>
                    <w:rPr>
                      <w:rFonts w:hint="default"/>
                      <w:b w:val="0"/>
                      <w:bCs w:val="0"/>
                      <w:color w:val="auto"/>
                      <w:szCs w:val="21"/>
                      <w:lang w:val="en-US" w:eastAsia="zh-CN"/>
                    </w:rPr>
                  </w:pPr>
                  <w:r>
                    <w:rPr>
                      <w:rFonts w:hint="eastAsia"/>
                      <w:b w:val="0"/>
                      <w:bCs w:val="0"/>
                      <w:color w:val="auto"/>
                      <w:szCs w:val="21"/>
                      <w:lang w:val="en-US" w:eastAsia="zh-CN"/>
                    </w:rPr>
                    <w:t>500</w:t>
                  </w:r>
                </w:p>
              </w:tc>
            </w:tr>
          </w:tbl>
          <w:p w14:paraId="425D1831">
            <w:pPr>
              <w:pStyle w:val="4"/>
              <w:spacing w:before="120" w:beforeLines="50"/>
              <w:ind w:firstLine="120"/>
              <w:rPr>
                <w:rFonts w:hint="default"/>
                <w:bCs/>
                <w:color w:val="auto"/>
              </w:rPr>
            </w:pPr>
            <w:r>
              <w:rPr>
                <w:color w:val="auto"/>
              </w:rPr>
              <w:t>2.</w:t>
            </w:r>
            <w:r>
              <w:rPr>
                <w:rFonts w:hint="eastAsia"/>
                <w:color w:val="auto"/>
                <w:lang w:val="en-US" w:eastAsia="zh-CN"/>
              </w:rPr>
              <w:t>6项目</w:t>
            </w:r>
            <w:r>
              <w:rPr>
                <w:color w:val="auto"/>
                <w:lang w:val="en-GB"/>
              </w:rPr>
              <w:t>水平衡</w:t>
            </w:r>
          </w:p>
          <w:p w14:paraId="5E4BF994">
            <w:pPr>
              <w:spacing w:line="360" w:lineRule="auto"/>
              <w:ind w:firstLine="480" w:firstLineChars="200"/>
              <w:outlineLvl w:val="0"/>
              <w:rPr>
                <w:color w:val="auto"/>
                <w:sz w:val="24"/>
              </w:rPr>
            </w:pPr>
            <w:r>
              <w:rPr>
                <w:rFonts w:hint="eastAsia"/>
                <w:color w:val="auto"/>
                <w:sz w:val="24"/>
              </w:rPr>
              <w:t>本项目用水均为自来水。根据建设单位提供资料，项目用水主要为职工</w:t>
            </w:r>
            <w:r>
              <w:rPr>
                <w:rFonts w:hint="eastAsia"/>
                <w:color w:val="auto"/>
                <w:sz w:val="24"/>
                <w:lang w:eastAsia="zh-CN"/>
              </w:rPr>
              <w:t>生活</w:t>
            </w:r>
            <w:r>
              <w:rPr>
                <w:rFonts w:hint="eastAsia"/>
                <w:color w:val="auto"/>
                <w:sz w:val="24"/>
              </w:rPr>
              <w:t>用水</w:t>
            </w:r>
            <w:r>
              <w:rPr>
                <w:rFonts w:hint="eastAsia"/>
                <w:color w:val="auto"/>
                <w:sz w:val="24"/>
                <w:lang w:eastAsia="zh-CN"/>
              </w:rPr>
              <w:t>以及脱脂除油清洗用水</w:t>
            </w:r>
            <w:r>
              <w:rPr>
                <w:rFonts w:hint="eastAsia"/>
                <w:color w:val="auto"/>
                <w:sz w:val="24"/>
              </w:rPr>
              <w:t>。</w:t>
            </w:r>
          </w:p>
          <w:p w14:paraId="4A9401D4">
            <w:pPr>
              <w:spacing w:line="360" w:lineRule="auto"/>
              <w:ind w:firstLine="480" w:firstLineChars="200"/>
              <w:rPr>
                <w:rFonts w:hint="eastAsia" w:eastAsia="宋体"/>
                <w:color w:val="auto"/>
                <w:sz w:val="24"/>
                <w:lang w:eastAsia="zh-CN"/>
              </w:rPr>
            </w:pPr>
            <w:r>
              <w:rPr>
                <w:rFonts w:hint="eastAsia"/>
                <w:color w:val="auto"/>
                <w:sz w:val="24"/>
                <w:lang w:eastAsia="zh-CN"/>
              </w:rPr>
              <w:t>（</w:t>
            </w:r>
            <w:r>
              <w:rPr>
                <w:rFonts w:hint="eastAsia"/>
                <w:color w:val="auto"/>
                <w:sz w:val="24"/>
                <w:lang w:val="en-US" w:eastAsia="zh-CN"/>
              </w:rPr>
              <w:t>1</w:t>
            </w:r>
            <w:r>
              <w:rPr>
                <w:rFonts w:hint="eastAsia"/>
                <w:color w:val="auto"/>
                <w:sz w:val="24"/>
                <w:lang w:eastAsia="zh-CN"/>
              </w:rPr>
              <w:t>）生活用水</w:t>
            </w:r>
          </w:p>
          <w:p w14:paraId="2AC775E2">
            <w:pPr>
              <w:spacing w:line="360" w:lineRule="auto"/>
              <w:ind w:firstLine="480" w:firstLineChars="200"/>
              <w:rPr>
                <w:rFonts w:hint="default" w:ascii="Times New Roman" w:hAnsi="Times New Roman" w:eastAsia="宋体" w:cs="Times New Roman"/>
                <w:color w:val="auto"/>
                <w:sz w:val="24"/>
              </w:rPr>
            </w:pPr>
            <w:r>
              <w:rPr>
                <w:color w:val="auto"/>
                <w:sz w:val="24"/>
              </w:rPr>
              <w:t>本项目</w:t>
            </w:r>
            <w:r>
              <w:rPr>
                <w:rFonts w:hint="eastAsia"/>
                <w:color w:val="auto"/>
                <w:sz w:val="24"/>
                <w:lang w:eastAsia="zh-CN"/>
              </w:rPr>
              <w:t>新增员工</w:t>
            </w:r>
            <w:r>
              <w:rPr>
                <w:rFonts w:hint="eastAsia"/>
                <w:color w:val="auto"/>
                <w:sz w:val="24"/>
                <w:lang w:val="en-US" w:eastAsia="zh-CN"/>
              </w:rPr>
              <w:t>300人，</w:t>
            </w:r>
            <w:r>
              <w:rPr>
                <w:rFonts w:hint="eastAsia" w:ascii="宋体" w:hAnsi="宋体" w:eastAsia="宋体" w:cs="宋体"/>
                <w:color w:val="auto"/>
                <w:kern w:val="0"/>
                <w:sz w:val="24"/>
                <w:szCs w:val="24"/>
                <w:lang w:val="en-US" w:eastAsia="zh-CN" w:bidi="ar"/>
              </w:rPr>
              <w:t>根据《建筑给水排水设计标准》（</w:t>
            </w:r>
            <w:r>
              <w:rPr>
                <w:rFonts w:hint="default" w:ascii="Times New Roman" w:hAnsi="Times New Roman" w:eastAsia="宋体" w:cs="Times New Roman"/>
                <w:color w:val="auto"/>
                <w:kern w:val="0"/>
                <w:sz w:val="24"/>
                <w:szCs w:val="24"/>
                <w:lang w:val="en-US" w:eastAsia="zh-CN" w:bidi="ar"/>
              </w:rPr>
              <w:t>GB50015-2019</w:t>
            </w:r>
            <w:r>
              <w:rPr>
                <w:rFonts w:hint="eastAsia" w:ascii="宋体" w:hAnsi="宋体" w:eastAsia="宋体" w:cs="宋体"/>
                <w:color w:val="auto"/>
                <w:kern w:val="0"/>
                <w:sz w:val="24"/>
                <w:szCs w:val="24"/>
                <w:lang w:val="en-US" w:eastAsia="zh-CN" w:bidi="ar"/>
              </w:rPr>
              <w:t>），车间工人的生活用水定额应根据车间性质确定，一般宜采用</w:t>
            </w:r>
            <w:r>
              <w:rPr>
                <w:rFonts w:hint="default" w:ascii="Times New Roman" w:hAnsi="Times New Roman" w:eastAsia="宋体" w:cs="Times New Roman"/>
                <w:color w:val="auto"/>
                <w:kern w:val="0"/>
                <w:sz w:val="24"/>
                <w:szCs w:val="24"/>
                <w:lang w:val="en-US" w:eastAsia="zh-CN" w:bidi="ar"/>
              </w:rPr>
              <w:t>30</w:t>
            </w:r>
            <w:r>
              <w:rPr>
                <w:rFonts w:hint="eastAsia" w:cs="Times New Roman"/>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50L/</w:t>
            </w:r>
            <w:r>
              <w:rPr>
                <w:rFonts w:hint="eastAsia" w:ascii="宋体" w:hAnsi="宋体" w:eastAsia="宋体" w:cs="宋体"/>
                <w:color w:val="auto"/>
                <w:kern w:val="0"/>
                <w:sz w:val="24"/>
                <w:szCs w:val="24"/>
                <w:lang w:val="en-US" w:eastAsia="zh-CN" w:bidi="ar"/>
              </w:rPr>
              <w:t>人·班，本项目不住厂职工生活用水定额按</w:t>
            </w:r>
            <w:r>
              <w:rPr>
                <w:rFonts w:hint="default" w:ascii="Times New Roman" w:hAnsi="Times New Roman" w:eastAsia="宋体" w:cs="Times New Roman"/>
                <w:color w:val="auto"/>
                <w:kern w:val="0"/>
                <w:sz w:val="24"/>
                <w:szCs w:val="24"/>
                <w:lang w:val="en-US" w:eastAsia="zh-CN" w:bidi="ar"/>
              </w:rPr>
              <w:t>50L/</w:t>
            </w:r>
            <w:r>
              <w:rPr>
                <w:rFonts w:hint="eastAsia" w:ascii="宋体" w:hAnsi="宋体" w:eastAsia="宋体" w:cs="宋体"/>
                <w:color w:val="auto"/>
                <w:kern w:val="0"/>
                <w:sz w:val="24"/>
                <w:szCs w:val="24"/>
                <w:lang w:val="en-US" w:eastAsia="zh-CN" w:bidi="ar"/>
              </w:rPr>
              <w:t>人·班计。</w:t>
            </w:r>
            <w:r>
              <w:rPr>
                <w:rFonts w:hint="eastAsia" w:ascii="宋体" w:hAnsi="宋体" w:cs="宋体"/>
                <w:color w:val="auto"/>
                <w:kern w:val="0"/>
                <w:sz w:val="24"/>
                <w:szCs w:val="24"/>
                <w:lang w:val="en-US" w:eastAsia="zh-CN" w:bidi="ar"/>
              </w:rPr>
              <w:t>项目</w:t>
            </w:r>
            <w:r>
              <w:rPr>
                <w:rFonts w:hint="eastAsia"/>
                <w:color w:val="auto"/>
                <w:sz w:val="24"/>
              </w:rPr>
              <w:t>年工作3</w:t>
            </w:r>
            <w:r>
              <w:rPr>
                <w:rFonts w:hint="eastAsia"/>
                <w:color w:val="auto"/>
                <w:sz w:val="24"/>
                <w:lang w:val="en-US" w:eastAsia="zh-CN"/>
              </w:rPr>
              <w:t>00</w:t>
            </w:r>
            <w:r>
              <w:rPr>
                <w:rFonts w:hint="eastAsia"/>
                <w:color w:val="auto"/>
                <w:sz w:val="24"/>
              </w:rPr>
              <w:t>天，</w:t>
            </w:r>
            <w:r>
              <w:rPr>
                <w:color w:val="auto"/>
                <w:sz w:val="24"/>
              </w:rPr>
              <w:t>则</w:t>
            </w:r>
            <w:r>
              <w:rPr>
                <w:rFonts w:hint="eastAsia"/>
                <w:color w:val="auto"/>
                <w:sz w:val="24"/>
              </w:rPr>
              <w:t>职工</w:t>
            </w:r>
            <w:r>
              <w:rPr>
                <w:rFonts w:hint="eastAsia"/>
                <w:color w:val="auto"/>
                <w:sz w:val="24"/>
                <w:lang w:eastAsia="zh-CN"/>
              </w:rPr>
              <w:t>新增</w:t>
            </w:r>
            <w:r>
              <w:rPr>
                <w:rFonts w:hint="eastAsia"/>
                <w:color w:val="auto"/>
                <w:sz w:val="24"/>
              </w:rPr>
              <w:t>用水量为</w:t>
            </w:r>
            <w:r>
              <w:rPr>
                <w:rFonts w:hint="eastAsia"/>
                <w:color w:val="auto"/>
                <w:sz w:val="24"/>
                <w:lang w:val="en-US" w:eastAsia="zh-CN"/>
              </w:rPr>
              <w:t>15</w:t>
            </w:r>
            <w:r>
              <w:rPr>
                <w:rFonts w:hint="eastAsia" w:cs="Times New Roman"/>
                <w:color w:val="auto"/>
                <w:sz w:val="24"/>
                <w:highlight w:val="none"/>
                <w:lang w:val="en-US" w:eastAsia="zh-CN"/>
              </w:rPr>
              <w:t>m</w:t>
            </w:r>
            <w:r>
              <w:rPr>
                <w:rFonts w:hint="eastAsia" w:cs="Times New Roman"/>
                <w:color w:val="auto"/>
                <w:sz w:val="24"/>
                <w:highlight w:val="none"/>
                <w:vertAlign w:val="superscript"/>
                <w:lang w:val="en-US" w:eastAsia="zh-CN"/>
              </w:rPr>
              <w:t>3</w:t>
            </w:r>
            <w:r>
              <w:rPr>
                <w:rFonts w:hint="eastAsia"/>
                <w:color w:val="auto"/>
                <w:sz w:val="24"/>
              </w:rPr>
              <w:t>/d（</w:t>
            </w:r>
            <w:r>
              <w:rPr>
                <w:rFonts w:hint="eastAsia"/>
                <w:color w:val="auto"/>
                <w:sz w:val="24"/>
                <w:lang w:val="en-US" w:eastAsia="zh-CN"/>
              </w:rPr>
              <w:t>4500</w:t>
            </w:r>
            <w:r>
              <w:rPr>
                <w:rFonts w:hint="eastAsia" w:cs="Times New Roman"/>
                <w:color w:val="auto"/>
                <w:sz w:val="24"/>
                <w:highlight w:val="none"/>
                <w:lang w:val="en-US" w:eastAsia="zh-CN"/>
              </w:rPr>
              <w:t>m</w:t>
            </w:r>
            <w:r>
              <w:rPr>
                <w:rFonts w:hint="eastAsia" w:cs="Times New Roman"/>
                <w:color w:val="auto"/>
                <w:sz w:val="24"/>
                <w:highlight w:val="none"/>
                <w:vertAlign w:val="superscript"/>
                <w:lang w:val="en-US" w:eastAsia="zh-CN"/>
              </w:rPr>
              <w:t>3</w:t>
            </w:r>
            <w:r>
              <w:rPr>
                <w:color w:val="auto"/>
                <w:sz w:val="24"/>
              </w:rPr>
              <w:t>/a</w:t>
            </w:r>
            <w:r>
              <w:rPr>
                <w:rFonts w:hint="eastAsia"/>
                <w:color w:val="auto"/>
                <w:sz w:val="24"/>
              </w:rPr>
              <w:t>）</w:t>
            </w:r>
            <w:r>
              <w:rPr>
                <w:rFonts w:hint="eastAsia"/>
                <w:color w:val="auto"/>
                <w:sz w:val="24"/>
                <w:lang w:val="en-US" w:eastAsia="zh-CN"/>
              </w:rPr>
              <w:t>，</w:t>
            </w:r>
            <w:r>
              <w:rPr>
                <w:rFonts w:hint="eastAsia" w:ascii="宋体" w:hAnsi="宋体" w:eastAsia="宋体" w:cs="宋体"/>
                <w:color w:val="auto"/>
                <w:kern w:val="0"/>
                <w:sz w:val="24"/>
                <w:szCs w:val="24"/>
                <w:lang w:val="en-US" w:eastAsia="zh-CN" w:bidi="ar"/>
              </w:rPr>
              <w:t>根据《排放源统计调查产排污计算方法和核算手册》中《生活源产排污系数手册》，人均日生活用水量</w:t>
            </w:r>
            <w:r>
              <w:rPr>
                <w:rFonts w:hint="default" w:ascii="Times New Roman" w:hAnsi="Times New Roman" w:eastAsia="宋体" w:cs="Times New Roman"/>
                <w:color w:val="auto"/>
                <w:kern w:val="0"/>
                <w:sz w:val="24"/>
                <w:szCs w:val="24"/>
                <w:lang w:val="en-US" w:eastAsia="zh-CN" w:bidi="ar"/>
              </w:rPr>
              <w:t>≤150</w:t>
            </w:r>
            <w:r>
              <w:rPr>
                <w:rFonts w:hint="eastAsia" w:ascii="宋体" w:hAnsi="宋体" w:eastAsia="宋体" w:cs="宋体"/>
                <w:color w:val="auto"/>
                <w:kern w:val="0"/>
                <w:sz w:val="24"/>
                <w:szCs w:val="24"/>
                <w:lang w:val="en-US" w:eastAsia="zh-CN" w:bidi="ar"/>
              </w:rPr>
              <w:t>升</w:t>
            </w:r>
            <w:r>
              <w:rPr>
                <w:rFonts w:hint="default" w:ascii="Times New Roman" w:hAnsi="Times New Roman" w:eastAsia="宋体" w:cs="Times New Roman"/>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人·天时</w:t>
            </w:r>
            <w:r>
              <w:rPr>
                <w:rFonts w:hint="default" w:ascii="Times New Roman" w:hAnsi="Times New Roman" w:eastAsia="宋体" w:cs="Times New Roman"/>
                <w:color w:val="auto"/>
                <w:kern w:val="0"/>
                <w:sz w:val="24"/>
                <w:szCs w:val="24"/>
                <w:lang w:val="en-US" w:eastAsia="zh-CN" w:bidi="ar"/>
              </w:rPr>
              <w:t>，折污系数取0.8，则项目生活污水产生量约</w:t>
            </w:r>
            <w:r>
              <w:rPr>
                <w:rFonts w:hint="eastAsia" w:cs="Times New Roman"/>
                <w:color w:val="auto"/>
                <w:kern w:val="0"/>
                <w:sz w:val="24"/>
                <w:szCs w:val="24"/>
                <w:lang w:val="en-US" w:eastAsia="zh-CN" w:bidi="ar"/>
              </w:rPr>
              <w:t>12</w:t>
            </w:r>
            <w:r>
              <w:rPr>
                <w:rFonts w:hint="eastAsia" w:cs="Times New Roman"/>
                <w:color w:val="auto"/>
                <w:sz w:val="24"/>
                <w:highlight w:val="none"/>
                <w:lang w:val="en-US" w:eastAsia="zh-CN"/>
              </w:rPr>
              <w:t>m</w:t>
            </w:r>
            <w:r>
              <w:rPr>
                <w:rFonts w:hint="eastAsia" w:cs="Times New Roman"/>
                <w:color w:val="auto"/>
                <w:sz w:val="24"/>
                <w:highlight w:val="none"/>
                <w:vertAlign w:val="superscript"/>
                <w:lang w:val="en-US" w:eastAsia="zh-CN"/>
              </w:rPr>
              <w:t>3</w:t>
            </w:r>
            <w:r>
              <w:rPr>
                <w:rFonts w:hint="default" w:ascii="Times New Roman" w:hAnsi="Times New Roman" w:eastAsia="宋体" w:cs="Times New Roman"/>
                <w:color w:val="auto"/>
                <w:kern w:val="0"/>
                <w:sz w:val="24"/>
                <w:szCs w:val="24"/>
                <w:lang w:val="en-US" w:eastAsia="zh-CN" w:bidi="ar"/>
              </w:rPr>
              <w:t>/d（</w:t>
            </w:r>
            <w:r>
              <w:rPr>
                <w:rFonts w:hint="eastAsia" w:cs="Times New Roman"/>
                <w:color w:val="auto"/>
                <w:kern w:val="0"/>
                <w:sz w:val="24"/>
                <w:szCs w:val="24"/>
                <w:lang w:val="en-US" w:eastAsia="zh-CN" w:bidi="ar"/>
              </w:rPr>
              <w:t>3600</w:t>
            </w:r>
            <w:r>
              <w:rPr>
                <w:rFonts w:hint="eastAsia" w:cs="Times New Roman"/>
                <w:color w:val="auto"/>
                <w:sz w:val="24"/>
                <w:highlight w:val="none"/>
                <w:lang w:val="en-US" w:eastAsia="zh-CN"/>
              </w:rPr>
              <w:t>m</w:t>
            </w:r>
            <w:r>
              <w:rPr>
                <w:rFonts w:hint="eastAsia" w:cs="Times New Roman"/>
                <w:color w:val="auto"/>
                <w:sz w:val="24"/>
                <w:highlight w:val="none"/>
                <w:vertAlign w:val="superscript"/>
                <w:lang w:val="en-US" w:eastAsia="zh-CN"/>
              </w:rPr>
              <w:t>3</w:t>
            </w:r>
            <w:r>
              <w:rPr>
                <w:rFonts w:hint="default" w:ascii="Times New Roman" w:hAnsi="Times New Roman" w:eastAsia="宋体" w:cs="Times New Roman"/>
                <w:color w:val="auto"/>
                <w:kern w:val="0"/>
                <w:sz w:val="24"/>
                <w:szCs w:val="24"/>
                <w:lang w:val="en-US" w:eastAsia="zh-CN" w:bidi="ar"/>
              </w:rPr>
              <w:t>/a）</w:t>
            </w:r>
            <w:r>
              <w:rPr>
                <w:rFonts w:hint="default" w:ascii="Times New Roman" w:hAnsi="Times New Roman" w:eastAsia="宋体" w:cs="Times New Roman"/>
                <w:color w:val="auto"/>
                <w:sz w:val="24"/>
              </w:rPr>
              <w:t>。</w:t>
            </w:r>
          </w:p>
          <w:p w14:paraId="3B5C30B5">
            <w:pPr>
              <w:numPr>
                <w:ilvl w:val="0"/>
                <w:numId w:val="1"/>
              </w:numPr>
              <w:spacing w:line="360" w:lineRule="auto"/>
              <w:ind w:firstLine="480" w:firstLineChars="200"/>
              <w:rPr>
                <w:rFonts w:hint="eastAsia" w:cs="Times New Roman"/>
                <w:color w:val="auto"/>
                <w:sz w:val="24"/>
                <w:lang w:eastAsia="zh-CN"/>
              </w:rPr>
            </w:pPr>
            <w:r>
              <w:rPr>
                <w:rFonts w:hint="eastAsia" w:cs="Times New Roman"/>
                <w:color w:val="auto"/>
                <w:sz w:val="24"/>
                <w:lang w:eastAsia="zh-CN"/>
              </w:rPr>
              <w:t>生产用水</w:t>
            </w:r>
          </w:p>
          <w:p w14:paraId="3D564DE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s="Times New Roman"/>
                <w:color w:val="auto"/>
                <w:sz w:val="24"/>
                <w:lang w:val="en-US" w:eastAsia="zh-CN"/>
              </w:rPr>
            </w:pPr>
            <w:r>
              <w:rPr>
                <w:rFonts w:hint="eastAsia" w:cs="Times New Roman"/>
                <w:color w:val="auto"/>
                <w:sz w:val="24"/>
                <w:lang w:eastAsia="zh-CN"/>
              </w:rPr>
              <w:t>项目生产用水主要为脱脂水洗工序用水。</w:t>
            </w:r>
            <w:r>
              <w:rPr>
                <w:rFonts w:hint="eastAsia" w:cs="Times New Roman"/>
                <w:color w:val="auto"/>
                <w:sz w:val="24"/>
                <w:highlight w:val="none"/>
                <w:lang w:val="en-US" w:eastAsia="zh-CN"/>
              </w:rPr>
              <w:t>建设单位拟建</w:t>
            </w:r>
            <w:r>
              <w:rPr>
                <w:rFonts w:hint="eastAsia" w:cs="Times New Roman"/>
                <w:color w:val="auto"/>
                <w:sz w:val="24"/>
                <w:lang w:val="en-US" w:eastAsia="zh-CN"/>
              </w:rPr>
              <w:t>1个</w:t>
            </w:r>
            <w:r>
              <w:rPr>
                <w:rFonts w:hint="eastAsia" w:cs="Times New Roman"/>
                <w:color w:val="auto"/>
                <w:sz w:val="24"/>
                <w:vertAlign w:val="baseline"/>
                <w:lang w:val="en-US" w:eastAsia="zh-CN"/>
              </w:rPr>
              <w:t>超声波清洗槽，</w:t>
            </w:r>
            <w:r>
              <w:rPr>
                <w:rFonts w:hint="eastAsia" w:cs="Times New Roman"/>
                <w:color w:val="auto"/>
                <w:sz w:val="24"/>
                <w:highlight w:val="none"/>
                <w:lang w:val="en-US" w:eastAsia="zh-CN"/>
              </w:rPr>
              <w:t>1个</w:t>
            </w:r>
            <w:r>
              <w:rPr>
                <w:rFonts w:hint="eastAsia" w:cs="Times New Roman"/>
                <w:color w:val="auto"/>
                <w:sz w:val="24"/>
                <w:highlight w:val="none"/>
                <w:vertAlign w:val="baseline"/>
                <w:lang w:val="en-US" w:eastAsia="zh-CN"/>
              </w:rPr>
              <w:t>脱脂除油槽，</w:t>
            </w:r>
            <w:r>
              <w:rPr>
                <w:rFonts w:hint="eastAsia" w:cs="Times New Roman"/>
                <w:color w:val="auto"/>
                <w:sz w:val="24"/>
                <w:lang w:val="en-US" w:eastAsia="zh-CN"/>
              </w:rPr>
              <w:t>2个清水水洗槽，容积均为</w:t>
            </w:r>
            <w:r>
              <w:rPr>
                <w:rFonts w:hint="eastAsia" w:cs="Times New Roman"/>
                <w:color w:val="auto"/>
                <w:sz w:val="24"/>
                <w:highlight w:val="none"/>
                <w:lang w:val="en-US" w:eastAsia="zh-CN"/>
              </w:rPr>
              <w:t>20m</w:t>
            </w:r>
            <w:r>
              <w:rPr>
                <w:rFonts w:hint="eastAsia" w:cs="Times New Roman"/>
                <w:color w:val="auto"/>
                <w:sz w:val="24"/>
                <w:highlight w:val="none"/>
                <w:vertAlign w:val="superscript"/>
                <w:lang w:val="en-US" w:eastAsia="zh-CN"/>
              </w:rPr>
              <w:t>3</w:t>
            </w:r>
            <w:r>
              <w:rPr>
                <w:rFonts w:hint="eastAsia" w:cs="Times New Roman"/>
                <w:color w:val="auto"/>
                <w:sz w:val="24"/>
                <w:highlight w:val="none"/>
                <w:vertAlign w:val="baseline"/>
                <w:lang w:val="en-US" w:eastAsia="zh-CN"/>
              </w:rPr>
              <w:t>。</w:t>
            </w:r>
            <w:r>
              <w:rPr>
                <w:rFonts w:hint="eastAsia" w:cs="Times New Roman"/>
                <w:color w:val="auto"/>
                <w:sz w:val="24"/>
                <w:lang w:eastAsia="zh-CN"/>
              </w:rPr>
              <w:t>零配件依次经过</w:t>
            </w:r>
            <w:r>
              <w:rPr>
                <w:rFonts w:hint="default" w:ascii="Times New Roman" w:hAnsi="Times New Roman" w:cs="Times New Roman"/>
                <w:color w:val="auto"/>
                <w:sz w:val="24"/>
                <w:lang w:eastAsia="zh-CN"/>
              </w:rPr>
              <w:t>①超声波清洗、②脱脂除油、③第一次水洗</w:t>
            </w:r>
            <w:r>
              <w:rPr>
                <w:rFonts w:hint="eastAsia" w:ascii="Times New Roman" w:hAnsi="Times New Roman" w:cs="Times New Roman"/>
                <w:color w:val="auto"/>
                <w:sz w:val="24"/>
                <w:lang w:eastAsia="zh-CN"/>
              </w:rPr>
              <w:t>以及</w:t>
            </w:r>
            <w:r>
              <w:rPr>
                <w:rFonts w:hint="default" w:ascii="Times New Roman" w:hAnsi="Times New Roman" w:cs="Times New Roman"/>
                <w:color w:val="auto"/>
                <w:sz w:val="24"/>
                <w:lang w:eastAsia="zh-CN"/>
              </w:rPr>
              <w:t>④第二次水洗</w:t>
            </w:r>
            <w:r>
              <w:rPr>
                <w:rFonts w:hint="eastAsia" w:ascii="Times New Roman" w:hAnsi="Times New Roman" w:cs="Times New Roman"/>
                <w:color w:val="auto"/>
                <w:sz w:val="24"/>
                <w:lang w:eastAsia="zh-CN"/>
              </w:rPr>
              <w:t>等四道脱脂水洗工序后</w:t>
            </w:r>
            <w:r>
              <w:rPr>
                <w:rFonts w:hint="default" w:ascii="Times New Roman" w:hAnsi="Times New Roman" w:cs="Times New Roman"/>
                <w:color w:val="auto"/>
                <w:sz w:val="24"/>
                <w:lang w:eastAsia="zh-CN"/>
              </w:rPr>
              <w:t>晾干待用。</w:t>
            </w:r>
            <w:r>
              <w:rPr>
                <w:rFonts w:hint="eastAsia" w:cs="Times New Roman"/>
                <w:color w:val="auto"/>
                <w:sz w:val="24"/>
                <w:lang w:eastAsia="zh-CN"/>
              </w:rPr>
              <w:t>脱脂水洗工序流程情况见图</w:t>
            </w:r>
            <w:r>
              <w:rPr>
                <w:rFonts w:hint="eastAsia" w:cs="Times New Roman"/>
                <w:color w:val="auto"/>
                <w:sz w:val="24"/>
                <w:lang w:val="en-US" w:eastAsia="zh-CN"/>
              </w:rPr>
              <w:t>2.6-1。脱脂水洗各工序用水平衡情况见图2.6-2。</w:t>
            </w:r>
          </w:p>
          <w:tbl>
            <w:tblPr>
              <w:tblStyle w:val="32"/>
              <w:tblW w:w="7814"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814"/>
            </w:tblGrid>
            <w:tr w14:paraId="3061C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814" w:type="dxa"/>
                </w:tcPr>
                <w:p w14:paraId="65030FA3">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eastAsia="宋体"/>
                      <w:color w:val="auto"/>
                      <w:sz w:val="24"/>
                      <w:vertAlign w:val="baseline"/>
                      <w:lang w:val="en-US" w:eastAsia="zh-CN"/>
                    </w:rPr>
                  </w:pPr>
                  <w:r>
                    <w:rPr>
                      <w:rFonts w:hint="default" w:eastAsia="宋体"/>
                      <w:color w:val="auto"/>
                      <w:sz w:val="24"/>
                      <w:vertAlign w:val="baseline"/>
                      <w:lang w:val="en-US" w:eastAsia="zh-CN"/>
                    </w:rPr>
                    <w:drawing>
                      <wp:inline distT="0" distB="0" distL="114300" distR="114300">
                        <wp:extent cx="4813935" cy="471170"/>
                        <wp:effectExtent l="0" t="0" r="0" b="0"/>
                        <wp:docPr id="54" name="E657119C-6982-421D-8BA7-E74DEB70A7D9-1" descr="C:/Users/Administrator/AppData/Local/Temp/wps.tfrLzz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E657119C-6982-421D-8BA7-E74DEB70A7D9-1" descr="C:/Users/Administrator/AppData/Local/Temp/wps.tfrLzzwps"/>
                                <pic:cNvPicPr>
                                  <a:picLocks noChangeAspect="1"/>
                                </pic:cNvPicPr>
                              </pic:nvPicPr>
                              <pic:blipFill>
                                <a:blip r:embed="rId8"/>
                                <a:stretch>
                                  <a:fillRect/>
                                </a:stretch>
                              </pic:blipFill>
                              <pic:spPr>
                                <a:xfrm>
                                  <a:off x="0" y="0"/>
                                  <a:ext cx="4813935" cy="471170"/>
                                </a:xfrm>
                                <a:prstGeom prst="rect">
                                  <a:avLst/>
                                </a:prstGeom>
                              </pic:spPr>
                            </pic:pic>
                          </a:graphicData>
                        </a:graphic>
                      </wp:inline>
                    </w:drawing>
                  </w:r>
                </w:p>
              </w:tc>
            </w:tr>
            <w:tr w14:paraId="37476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814" w:type="dxa"/>
                </w:tcPr>
                <w:p w14:paraId="7BDDA8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sz w:val="24"/>
                      <w:vertAlign w:val="baseline"/>
                      <w:lang w:val="en-US" w:eastAsia="zh-CN"/>
                    </w:rPr>
                  </w:pPr>
                  <w:r>
                    <w:rPr>
                      <w:rFonts w:hint="eastAsia"/>
                      <w:b/>
                      <w:bCs/>
                      <w:color w:val="auto"/>
                      <w:kern w:val="0"/>
                      <w:szCs w:val="21"/>
                      <w:highlight w:val="none"/>
                    </w:rPr>
                    <w:t>图2</w:t>
                  </w:r>
                  <w:r>
                    <w:rPr>
                      <w:rFonts w:hint="eastAsia"/>
                      <w:b/>
                      <w:bCs/>
                      <w:color w:val="auto"/>
                      <w:kern w:val="0"/>
                      <w:szCs w:val="21"/>
                      <w:highlight w:val="none"/>
                      <w:lang w:val="en-US" w:eastAsia="zh-CN"/>
                    </w:rPr>
                    <w:t>.6</w:t>
                  </w:r>
                  <w:r>
                    <w:rPr>
                      <w:rFonts w:hint="eastAsia"/>
                      <w:b/>
                      <w:bCs/>
                      <w:color w:val="auto"/>
                      <w:kern w:val="0"/>
                      <w:szCs w:val="21"/>
                      <w:highlight w:val="none"/>
                    </w:rPr>
                    <w:t>-</w:t>
                  </w:r>
                  <w:r>
                    <w:rPr>
                      <w:rFonts w:hint="eastAsia"/>
                      <w:b/>
                      <w:bCs/>
                      <w:color w:val="auto"/>
                      <w:kern w:val="0"/>
                      <w:szCs w:val="21"/>
                      <w:highlight w:val="none"/>
                      <w:lang w:val="en-US" w:eastAsia="zh-CN"/>
                    </w:rPr>
                    <w:t>1</w:t>
                  </w:r>
                  <w:r>
                    <w:rPr>
                      <w:rFonts w:hint="eastAsia"/>
                      <w:b/>
                      <w:bCs/>
                      <w:color w:val="auto"/>
                      <w:kern w:val="0"/>
                      <w:szCs w:val="21"/>
                      <w:highlight w:val="none"/>
                      <w:lang w:eastAsia="zh-CN"/>
                    </w:rPr>
                    <w:t>脱脂水洗工序流程</w:t>
                  </w:r>
                  <w:r>
                    <w:rPr>
                      <w:rFonts w:hint="eastAsia"/>
                      <w:b/>
                      <w:bCs/>
                      <w:color w:val="auto"/>
                      <w:kern w:val="0"/>
                      <w:szCs w:val="21"/>
                      <w:highlight w:val="none"/>
                    </w:rPr>
                    <w:t>图</w:t>
                  </w:r>
                </w:p>
              </w:tc>
            </w:tr>
          </w:tbl>
          <w:p w14:paraId="602B854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lang w:eastAsia="zh-CN"/>
              </w:rPr>
            </w:pPr>
            <w:r>
              <w:rPr>
                <w:rFonts w:hint="default" w:ascii="Times New Roman" w:hAnsi="Times New Roman" w:cs="Times New Roman"/>
                <w:color w:val="auto"/>
                <w:sz w:val="24"/>
                <w:lang w:val="en-US" w:eastAsia="zh-CN"/>
              </w:rPr>
              <w:t>①</w:t>
            </w:r>
            <w:r>
              <w:rPr>
                <w:rFonts w:hint="default" w:ascii="Times New Roman" w:hAnsi="Times New Roman" w:cs="Times New Roman"/>
                <w:color w:val="auto"/>
                <w:sz w:val="24"/>
                <w:lang w:eastAsia="zh-CN"/>
              </w:rPr>
              <w:t>脱脂</w:t>
            </w:r>
            <w:r>
              <w:rPr>
                <w:rFonts w:hint="eastAsia" w:cs="Times New Roman"/>
                <w:color w:val="auto"/>
                <w:sz w:val="24"/>
                <w:lang w:eastAsia="zh-CN"/>
              </w:rPr>
              <w:t>除油</w:t>
            </w:r>
            <w:r>
              <w:rPr>
                <w:rFonts w:hint="default" w:ascii="Times New Roman" w:hAnsi="Times New Roman" w:cs="Times New Roman"/>
                <w:color w:val="auto"/>
                <w:sz w:val="24"/>
                <w:lang w:eastAsia="zh-CN"/>
              </w:rPr>
              <w:t>配比用水</w:t>
            </w:r>
          </w:p>
          <w:p w14:paraId="4AA26CE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Times New Roman"/>
                <w:color w:val="auto"/>
                <w:sz w:val="24"/>
                <w:highlight w:val="none"/>
                <w:lang w:val="en-US" w:eastAsia="zh-CN"/>
              </w:rPr>
            </w:pPr>
            <w:r>
              <w:rPr>
                <w:rFonts w:hint="default" w:ascii="Times New Roman" w:hAnsi="Times New Roman" w:cs="Times New Roman"/>
                <w:color w:val="auto"/>
                <w:sz w:val="24"/>
                <w:highlight w:val="none"/>
                <w:lang w:eastAsia="zh-CN"/>
              </w:rPr>
              <w:t>本项目部分零配件需进行脱脂除油，</w:t>
            </w:r>
            <w:r>
              <w:rPr>
                <w:rFonts w:hint="eastAsia" w:cs="Times New Roman"/>
                <w:color w:val="auto"/>
                <w:sz w:val="24"/>
                <w:highlight w:val="none"/>
                <w:lang w:eastAsia="zh-CN"/>
              </w:rPr>
              <w:t>根据</w:t>
            </w:r>
            <w:r>
              <w:rPr>
                <w:rFonts w:hint="eastAsia" w:cs="Times New Roman"/>
                <w:color w:val="auto"/>
                <w:sz w:val="24"/>
                <w:highlight w:val="none"/>
                <w:lang w:val="en-US" w:eastAsia="zh-CN"/>
              </w:rPr>
              <w:t>建设单位提供资料，</w:t>
            </w:r>
            <w:r>
              <w:rPr>
                <w:rFonts w:hint="default" w:ascii="Times New Roman" w:hAnsi="Times New Roman" w:cs="Times New Roman"/>
                <w:color w:val="auto"/>
                <w:sz w:val="24"/>
                <w:highlight w:val="none"/>
                <w:lang w:eastAsia="zh-CN"/>
              </w:rPr>
              <w:t>高效除油粉</w:t>
            </w:r>
            <w:r>
              <w:rPr>
                <w:rFonts w:hint="eastAsia" w:cs="Times New Roman"/>
                <w:color w:val="auto"/>
                <w:sz w:val="24"/>
                <w:highlight w:val="none"/>
                <w:lang w:eastAsia="zh-CN"/>
              </w:rPr>
              <w:t>及高效碱性除油剂用量均为</w:t>
            </w:r>
            <w:r>
              <w:rPr>
                <w:rFonts w:hint="eastAsia" w:cs="Times New Roman"/>
                <w:color w:val="auto"/>
                <w:sz w:val="24"/>
                <w:highlight w:val="none"/>
                <w:lang w:val="en-US" w:eastAsia="zh-CN"/>
              </w:rPr>
              <w:t>6t/a，</w:t>
            </w:r>
            <w:r>
              <w:rPr>
                <w:rFonts w:hint="default" w:ascii="Times New Roman" w:hAnsi="Times New Roman" w:cs="Times New Roman"/>
                <w:color w:val="auto"/>
                <w:sz w:val="24"/>
                <w:highlight w:val="none"/>
                <w:lang w:eastAsia="zh-CN"/>
              </w:rPr>
              <w:t>项目高效除油粉</w:t>
            </w:r>
            <w:r>
              <w:rPr>
                <w:rFonts w:hint="eastAsia" w:cs="Times New Roman"/>
                <w:color w:val="auto"/>
                <w:sz w:val="24"/>
                <w:highlight w:val="none"/>
                <w:lang w:eastAsia="zh-CN"/>
              </w:rPr>
              <w:t>：高效碱性除油剂：水</w:t>
            </w:r>
            <w:r>
              <w:rPr>
                <w:rFonts w:hint="default" w:ascii="Times New Roman" w:hAnsi="Times New Roman" w:cs="Times New Roman"/>
                <w:color w:val="auto"/>
                <w:sz w:val="24"/>
                <w:highlight w:val="none"/>
                <w:lang w:eastAsia="zh-CN"/>
              </w:rPr>
              <w:t>配比为</w:t>
            </w:r>
            <w:r>
              <w:rPr>
                <w:rFonts w:hint="eastAsia" w:cs="Times New Roman"/>
                <w:color w:val="auto"/>
                <w:sz w:val="24"/>
                <w:highlight w:val="none"/>
                <w:lang w:val="en-US" w:eastAsia="zh-CN"/>
              </w:rPr>
              <w:t>1:</w:t>
            </w:r>
            <w:r>
              <w:rPr>
                <w:rFonts w:hint="default" w:ascii="Times New Roman" w:hAnsi="Times New Roman" w:cs="Times New Roman"/>
                <w:color w:val="auto"/>
                <w:sz w:val="24"/>
                <w:highlight w:val="none"/>
                <w:lang w:val="en-US" w:eastAsia="zh-CN"/>
              </w:rPr>
              <w:t>1:</w:t>
            </w:r>
            <w:r>
              <w:rPr>
                <w:rFonts w:hint="eastAsia" w:cs="Times New Roman"/>
                <w:color w:val="auto"/>
                <w:sz w:val="24"/>
                <w:highlight w:val="none"/>
                <w:lang w:val="en-US" w:eastAsia="zh-CN"/>
              </w:rPr>
              <w:t>2</w:t>
            </w:r>
            <w:r>
              <w:rPr>
                <w:rFonts w:hint="default" w:ascii="Times New Roman" w:hAnsi="Times New Roman" w:cs="Times New Roman"/>
                <w:color w:val="auto"/>
                <w:sz w:val="24"/>
                <w:highlight w:val="none"/>
                <w:lang w:val="en-US" w:eastAsia="zh-CN"/>
              </w:rPr>
              <w:t>0，</w:t>
            </w:r>
            <w:r>
              <w:rPr>
                <w:rFonts w:hint="eastAsia" w:cs="Times New Roman"/>
                <w:color w:val="auto"/>
                <w:sz w:val="24"/>
                <w:highlight w:val="none"/>
                <w:lang w:val="en-US" w:eastAsia="zh-CN"/>
              </w:rPr>
              <w:t>脱脂除油槽</w:t>
            </w:r>
            <w:r>
              <w:rPr>
                <w:rFonts w:hint="default" w:ascii="Times New Roman" w:hAnsi="Times New Roman" w:cs="Times New Roman"/>
                <w:color w:val="auto"/>
                <w:sz w:val="24"/>
                <w:highlight w:val="none"/>
                <w:lang w:val="en-US" w:eastAsia="zh-CN"/>
              </w:rPr>
              <w:t>配比用水量为</w:t>
            </w:r>
            <w:r>
              <w:rPr>
                <w:rFonts w:hint="eastAsia" w:cs="Times New Roman"/>
                <w:color w:val="auto"/>
                <w:sz w:val="24"/>
                <w:highlight w:val="none"/>
                <w:lang w:val="en-US" w:eastAsia="zh-CN"/>
              </w:rPr>
              <w:t>12</w:t>
            </w:r>
            <w:r>
              <w:rPr>
                <w:rFonts w:hint="default" w:ascii="Times New Roman" w:hAnsi="Times New Roman" w:cs="Times New Roman"/>
                <w:color w:val="auto"/>
                <w:sz w:val="24"/>
                <w:highlight w:val="none"/>
                <w:lang w:val="en-US" w:eastAsia="zh-CN"/>
              </w:rPr>
              <w:t>0</w:t>
            </w:r>
            <w:r>
              <w:rPr>
                <w:rFonts w:hint="eastAsia" w:cs="Times New Roman"/>
                <w:color w:val="auto"/>
                <w:sz w:val="24"/>
                <w:highlight w:val="none"/>
                <w:lang w:val="en-US" w:eastAsia="zh-CN"/>
              </w:rPr>
              <w:t>m</w:t>
            </w:r>
            <w:r>
              <w:rPr>
                <w:rFonts w:hint="eastAsia" w:cs="Times New Roman"/>
                <w:color w:val="auto"/>
                <w:sz w:val="24"/>
                <w:highlight w:val="none"/>
                <w:vertAlign w:val="superscript"/>
                <w:lang w:val="en-US" w:eastAsia="zh-CN"/>
              </w:rPr>
              <w:t>3</w:t>
            </w:r>
            <w:r>
              <w:rPr>
                <w:rFonts w:hint="default" w:ascii="Times New Roman" w:hAnsi="Times New Roman" w:cs="Times New Roman"/>
                <w:color w:val="auto"/>
                <w:sz w:val="24"/>
                <w:highlight w:val="none"/>
                <w:lang w:val="en-US" w:eastAsia="zh-CN"/>
              </w:rPr>
              <w:t>/a</w:t>
            </w:r>
            <w:r>
              <w:rPr>
                <w:rFonts w:hint="eastAsia" w:cs="Times New Roman"/>
                <w:color w:val="auto"/>
                <w:sz w:val="24"/>
                <w:highlight w:val="none"/>
                <w:lang w:val="en-US" w:eastAsia="zh-CN"/>
              </w:rPr>
              <w:t>。脱脂除油用水定期补充，并定期捞渣，无废水外排。</w:t>
            </w:r>
          </w:p>
          <w:p w14:paraId="2B22281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lang w:val="en-US" w:eastAsia="zh-CN"/>
              </w:rPr>
            </w:pPr>
            <w:r>
              <w:rPr>
                <w:rFonts w:hint="default" w:ascii="Times New Roman" w:hAnsi="Times New Roman" w:cs="Times New Roman"/>
                <w:color w:val="auto"/>
                <w:sz w:val="24"/>
                <w:lang w:val="en-US" w:eastAsia="zh-CN"/>
              </w:rPr>
              <w:t>②清洗用水</w:t>
            </w:r>
          </w:p>
          <w:p w14:paraId="77D27B6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Times New Roman"/>
                <w:color w:val="auto"/>
                <w:sz w:val="24"/>
                <w:vertAlign w:val="baseline"/>
                <w:lang w:val="en-US" w:eastAsia="zh-CN"/>
              </w:rPr>
            </w:pPr>
            <w:r>
              <w:rPr>
                <w:rFonts w:hint="eastAsia" w:cs="Times New Roman"/>
                <w:color w:val="auto"/>
                <w:sz w:val="24"/>
                <w:lang w:val="en-US" w:eastAsia="zh-CN"/>
              </w:rPr>
              <w:t>建设单位拟建1个</w:t>
            </w:r>
            <w:r>
              <w:rPr>
                <w:rFonts w:hint="eastAsia" w:cs="Times New Roman"/>
                <w:color w:val="auto"/>
                <w:sz w:val="24"/>
                <w:vertAlign w:val="baseline"/>
                <w:lang w:val="en-US" w:eastAsia="zh-CN"/>
              </w:rPr>
              <w:t>超声波清洗槽，</w:t>
            </w:r>
            <w:r>
              <w:rPr>
                <w:rFonts w:hint="eastAsia" w:cs="Times New Roman"/>
                <w:color w:val="auto"/>
                <w:sz w:val="24"/>
                <w:lang w:val="en-US" w:eastAsia="zh-CN"/>
              </w:rPr>
              <w:t>2个清水水洗槽，</w:t>
            </w:r>
            <w:r>
              <w:rPr>
                <w:rFonts w:hint="eastAsia" w:cs="Times New Roman"/>
                <w:color w:val="auto"/>
                <w:sz w:val="24"/>
                <w:vertAlign w:val="baseline"/>
                <w:lang w:val="en-US" w:eastAsia="zh-CN"/>
              </w:rPr>
              <w:t>根据建设单位提供资料，超声波清洗槽、</w:t>
            </w:r>
            <w:r>
              <w:rPr>
                <w:rFonts w:hint="default" w:ascii="Times New Roman" w:hAnsi="Times New Roman" w:cs="Times New Roman"/>
                <w:color w:val="auto"/>
                <w:sz w:val="24"/>
                <w:lang w:eastAsia="zh-CN"/>
              </w:rPr>
              <w:t>第一次水洗</w:t>
            </w:r>
            <w:r>
              <w:rPr>
                <w:rFonts w:hint="eastAsia" w:cs="Times New Roman"/>
                <w:color w:val="auto"/>
                <w:sz w:val="24"/>
                <w:lang w:eastAsia="zh-CN"/>
              </w:rPr>
              <w:t>槽以及</w:t>
            </w:r>
            <w:r>
              <w:rPr>
                <w:rFonts w:hint="default" w:ascii="Times New Roman" w:hAnsi="Times New Roman" w:cs="Times New Roman"/>
                <w:color w:val="auto"/>
                <w:sz w:val="24"/>
                <w:lang w:eastAsia="zh-CN"/>
              </w:rPr>
              <w:t>第</w:t>
            </w:r>
            <w:r>
              <w:rPr>
                <w:rFonts w:hint="eastAsia" w:cs="Times New Roman"/>
                <w:color w:val="auto"/>
                <w:sz w:val="24"/>
                <w:lang w:eastAsia="zh-CN"/>
              </w:rPr>
              <w:t>二</w:t>
            </w:r>
            <w:r>
              <w:rPr>
                <w:rFonts w:hint="default" w:ascii="Times New Roman" w:hAnsi="Times New Roman" w:cs="Times New Roman"/>
                <w:color w:val="auto"/>
                <w:sz w:val="24"/>
                <w:lang w:eastAsia="zh-CN"/>
              </w:rPr>
              <w:t>次水洗</w:t>
            </w:r>
            <w:r>
              <w:rPr>
                <w:rFonts w:hint="eastAsia" w:cs="Times New Roman"/>
                <w:color w:val="auto"/>
                <w:sz w:val="24"/>
                <w:lang w:eastAsia="zh-CN"/>
              </w:rPr>
              <w:t>槽</w:t>
            </w:r>
            <w:r>
              <w:rPr>
                <w:rFonts w:hint="eastAsia" w:cs="Times New Roman"/>
                <w:color w:val="auto"/>
                <w:sz w:val="24"/>
                <w:vertAlign w:val="baseline"/>
                <w:lang w:val="en-US" w:eastAsia="zh-CN"/>
              </w:rPr>
              <w:t>每3天排放槽内体积约1/5废水进入脱脂清洗废水收集池内，共约12</w:t>
            </w:r>
            <w:r>
              <w:rPr>
                <w:rFonts w:hint="eastAsia" w:cs="Times New Roman"/>
                <w:color w:val="auto"/>
                <w:sz w:val="24"/>
                <w:lang w:val="en-US" w:eastAsia="zh-CN"/>
              </w:rPr>
              <w:t>m</w:t>
            </w:r>
            <w:r>
              <w:rPr>
                <w:rFonts w:hint="eastAsia" w:cs="Times New Roman"/>
                <w:color w:val="auto"/>
                <w:sz w:val="24"/>
                <w:vertAlign w:val="superscript"/>
                <w:lang w:val="en-US" w:eastAsia="zh-CN"/>
              </w:rPr>
              <w:t>3</w:t>
            </w:r>
            <w:r>
              <w:rPr>
                <w:rFonts w:hint="eastAsia" w:cs="Times New Roman"/>
                <w:color w:val="auto"/>
                <w:sz w:val="24"/>
                <w:vertAlign w:val="baseline"/>
                <w:lang w:val="en-US" w:eastAsia="zh-CN"/>
              </w:rPr>
              <w:t>/次进行处理后回用。</w:t>
            </w:r>
            <w:r>
              <w:rPr>
                <w:rFonts w:hint="eastAsia" w:cs="Times New Roman"/>
                <w:color w:val="auto"/>
                <w:sz w:val="24"/>
                <w:lang w:val="en-US" w:eastAsia="zh-CN"/>
              </w:rPr>
              <w:t>项目用水</w:t>
            </w:r>
            <w:r>
              <w:rPr>
                <w:rFonts w:hint="eastAsia" w:cs="Times New Roman"/>
                <w:color w:val="auto"/>
                <w:sz w:val="24"/>
                <w:vertAlign w:val="baseline"/>
                <w:lang w:val="en-US" w:eastAsia="zh-CN"/>
              </w:rPr>
              <w:t>定期补充新鲜水，无废水外排。</w:t>
            </w:r>
          </w:p>
          <w:p w14:paraId="305683D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color w:val="auto"/>
                <w:sz w:val="24"/>
                <w:highlight w:val="none"/>
                <w:vertAlign w:val="baseline"/>
              </w:rPr>
            </w:pPr>
            <w:r>
              <w:rPr>
                <w:rFonts w:hint="eastAsia" w:cs="Times New Roman"/>
                <w:color w:val="auto"/>
                <w:sz w:val="24"/>
                <w:vertAlign w:val="baseline"/>
                <w:lang w:val="en-US" w:eastAsia="zh-CN"/>
              </w:rPr>
              <w:t>根据建设单位提供资料，项目废水处理过程中共损耗水量16.05</w:t>
            </w:r>
            <w:r>
              <w:rPr>
                <w:rFonts w:hint="eastAsia" w:cs="Times New Roman"/>
                <w:color w:val="auto"/>
                <w:sz w:val="24"/>
                <w:lang w:val="en-US" w:eastAsia="zh-CN"/>
              </w:rPr>
              <w:t>m</w:t>
            </w:r>
            <w:r>
              <w:rPr>
                <w:rFonts w:hint="eastAsia" w:cs="Times New Roman"/>
                <w:color w:val="auto"/>
                <w:sz w:val="24"/>
                <w:vertAlign w:val="superscript"/>
                <w:lang w:val="en-US" w:eastAsia="zh-CN"/>
              </w:rPr>
              <w:t>3</w:t>
            </w:r>
            <w:r>
              <w:rPr>
                <w:rFonts w:hint="eastAsia" w:cs="Times New Roman"/>
                <w:color w:val="auto"/>
                <w:sz w:val="24"/>
                <w:vertAlign w:val="baseline"/>
                <w:lang w:val="en-US" w:eastAsia="zh-CN"/>
              </w:rPr>
              <w:t>/a（其中随泥饼外运损耗约11.25</w:t>
            </w:r>
            <w:r>
              <w:rPr>
                <w:rFonts w:hint="eastAsia" w:cs="Times New Roman"/>
                <w:color w:val="auto"/>
                <w:sz w:val="24"/>
                <w:lang w:val="en-US" w:eastAsia="zh-CN"/>
              </w:rPr>
              <w:t>m</w:t>
            </w:r>
            <w:r>
              <w:rPr>
                <w:rFonts w:hint="eastAsia" w:cs="Times New Roman"/>
                <w:color w:val="auto"/>
                <w:sz w:val="24"/>
                <w:vertAlign w:val="superscript"/>
                <w:lang w:val="en-US" w:eastAsia="zh-CN"/>
              </w:rPr>
              <w:t>3</w:t>
            </w:r>
            <w:r>
              <w:rPr>
                <w:rFonts w:hint="eastAsia" w:cs="Times New Roman"/>
                <w:color w:val="auto"/>
                <w:sz w:val="24"/>
                <w:vertAlign w:val="baseline"/>
                <w:lang w:val="en-US" w:eastAsia="zh-CN"/>
              </w:rPr>
              <w:t>/a，委外处置脱脂清洗废液4.8</w:t>
            </w:r>
            <w:r>
              <w:rPr>
                <w:rFonts w:hint="eastAsia" w:cs="Times New Roman"/>
                <w:color w:val="auto"/>
                <w:sz w:val="24"/>
                <w:lang w:val="en-US" w:eastAsia="zh-CN"/>
              </w:rPr>
              <w:t>m</w:t>
            </w:r>
            <w:r>
              <w:rPr>
                <w:rFonts w:hint="eastAsia" w:cs="Times New Roman"/>
                <w:color w:val="auto"/>
                <w:sz w:val="24"/>
                <w:vertAlign w:val="superscript"/>
                <w:lang w:val="en-US" w:eastAsia="zh-CN"/>
              </w:rPr>
              <w:t>3</w:t>
            </w:r>
            <w:r>
              <w:rPr>
                <w:rFonts w:hint="eastAsia" w:cs="Times New Roman"/>
                <w:color w:val="auto"/>
                <w:sz w:val="24"/>
                <w:vertAlign w:val="baseline"/>
                <w:lang w:val="en-US" w:eastAsia="zh-CN"/>
              </w:rPr>
              <w:t>/a，详见图4.2-1自建污水处理站废水处理工艺流程图），同时项目零配件超声波清洗、第一次水洗以及第二次水洗过程中水槽内水有少量损耗，日损耗量约为各水槽容积5%，损耗量为1</w:t>
            </w:r>
            <w:r>
              <w:rPr>
                <w:rFonts w:hint="eastAsia" w:cs="Times New Roman"/>
                <w:color w:val="auto"/>
                <w:sz w:val="24"/>
                <w:lang w:val="en-US" w:eastAsia="zh-CN"/>
              </w:rPr>
              <w:t>m</w:t>
            </w:r>
            <w:r>
              <w:rPr>
                <w:rFonts w:hint="eastAsia" w:cs="Times New Roman"/>
                <w:color w:val="auto"/>
                <w:sz w:val="24"/>
                <w:vertAlign w:val="superscript"/>
                <w:lang w:val="en-US" w:eastAsia="zh-CN"/>
              </w:rPr>
              <w:t>3</w:t>
            </w:r>
            <w:r>
              <w:rPr>
                <w:rFonts w:hint="eastAsia" w:cs="Times New Roman"/>
                <w:color w:val="auto"/>
                <w:sz w:val="24"/>
                <w:vertAlign w:val="baseline"/>
                <w:lang w:val="en-US" w:eastAsia="zh-CN"/>
              </w:rPr>
              <w:t>/d（300</w:t>
            </w:r>
            <w:r>
              <w:rPr>
                <w:rFonts w:hint="eastAsia" w:cs="Times New Roman"/>
                <w:color w:val="auto"/>
                <w:sz w:val="24"/>
                <w:lang w:val="en-US" w:eastAsia="zh-CN"/>
              </w:rPr>
              <w:t>m</w:t>
            </w:r>
            <w:r>
              <w:rPr>
                <w:rFonts w:hint="eastAsia" w:cs="Times New Roman"/>
                <w:color w:val="auto"/>
                <w:sz w:val="24"/>
                <w:vertAlign w:val="superscript"/>
                <w:lang w:val="en-US" w:eastAsia="zh-CN"/>
              </w:rPr>
              <w:t>3</w:t>
            </w:r>
            <w:r>
              <w:rPr>
                <w:rFonts w:hint="eastAsia" w:cs="Times New Roman"/>
                <w:color w:val="auto"/>
                <w:sz w:val="24"/>
                <w:vertAlign w:val="baseline"/>
                <w:lang w:val="en-US" w:eastAsia="zh-CN"/>
              </w:rPr>
              <w:t>/a）</w:t>
            </w:r>
            <w:r>
              <w:rPr>
                <w:rFonts w:hint="eastAsia" w:ascii="Times New Roman" w:hAnsi="Times New Roman" w:eastAsia="宋体" w:cs="Times New Roman"/>
                <w:color w:val="auto"/>
                <w:sz w:val="24"/>
                <w:vertAlign w:val="baseline"/>
                <w:lang w:val="en-US" w:eastAsia="zh-CN"/>
              </w:rPr>
              <w:t>。</w:t>
            </w:r>
            <w:r>
              <w:rPr>
                <w:rFonts w:hint="eastAsia" w:cs="Times New Roman"/>
                <w:color w:val="auto"/>
                <w:sz w:val="24"/>
                <w:vertAlign w:val="baseline"/>
                <w:lang w:val="en-US" w:eastAsia="zh-CN"/>
              </w:rPr>
              <w:t>拟建</w:t>
            </w:r>
            <w:r>
              <w:rPr>
                <w:rFonts w:hint="eastAsia" w:cs="Times New Roman"/>
                <w:color w:val="auto"/>
                <w:sz w:val="24"/>
                <w:lang w:val="en-US" w:eastAsia="zh-CN"/>
              </w:rPr>
              <w:t>项目</w:t>
            </w:r>
            <w:r>
              <w:rPr>
                <w:rFonts w:hint="eastAsia" w:cs="Times New Roman"/>
                <w:color w:val="auto"/>
                <w:sz w:val="24"/>
                <w:vertAlign w:val="baseline"/>
                <w:lang w:val="en-US" w:eastAsia="zh-CN"/>
              </w:rPr>
              <w:t>定期补充新鲜水，</w:t>
            </w:r>
            <w:r>
              <w:rPr>
                <w:rFonts w:hint="eastAsia"/>
                <w:color w:val="auto"/>
                <w:sz w:val="24"/>
                <w:highlight w:val="none"/>
              </w:rPr>
              <w:t>本项目水平衡图详见图2</w:t>
            </w:r>
            <w:r>
              <w:rPr>
                <w:rFonts w:hint="eastAsia"/>
                <w:color w:val="auto"/>
                <w:sz w:val="24"/>
                <w:highlight w:val="none"/>
                <w:lang w:val="en-US" w:eastAsia="zh-CN"/>
              </w:rPr>
              <w:t>.6</w:t>
            </w:r>
            <w:r>
              <w:rPr>
                <w:rFonts w:hint="eastAsia"/>
                <w:color w:val="auto"/>
                <w:sz w:val="24"/>
                <w:highlight w:val="none"/>
              </w:rPr>
              <w:t>-</w:t>
            </w:r>
            <w:r>
              <w:rPr>
                <w:rFonts w:hint="eastAsia"/>
                <w:color w:val="auto"/>
                <w:sz w:val="24"/>
                <w:highlight w:val="none"/>
                <w:lang w:val="en-US" w:eastAsia="zh-CN"/>
              </w:rPr>
              <w:t>2</w:t>
            </w:r>
            <w:r>
              <w:rPr>
                <w:rFonts w:hint="eastAsia"/>
                <w:color w:val="auto"/>
                <w:sz w:val="24"/>
                <w:highlight w:val="none"/>
              </w:rPr>
              <w:t>。</w:t>
            </w:r>
          </w:p>
          <w:tbl>
            <w:tblPr>
              <w:tblStyle w:val="32"/>
              <w:tblW w:w="8039"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039"/>
            </w:tblGrid>
            <w:tr w14:paraId="56787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039" w:type="dxa"/>
                </w:tcPr>
                <w:p w14:paraId="213933C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宋体"/>
                      <w:color w:val="auto"/>
                      <w:sz w:val="24"/>
                      <w:vertAlign w:val="baseline"/>
                      <w:lang w:eastAsia="zh-CN"/>
                    </w:rPr>
                  </w:pPr>
                  <w:r>
                    <w:rPr>
                      <w:rFonts w:hint="eastAsia" w:eastAsia="宋体"/>
                      <w:color w:val="auto"/>
                      <w:sz w:val="24"/>
                      <w:vertAlign w:val="baseline"/>
                      <w:lang w:eastAsia="zh-CN"/>
                    </w:rPr>
                    <w:drawing>
                      <wp:inline distT="0" distB="0" distL="114300" distR="114300">
                        <wp:extent cx="4422140" cy="3219450"/>
                        <wp:effectExtent l="0" t="0" r="16510" b="0"/>
                        <wp:docPr id="53" name="E657119C-6982-421D-8BA7-E74DEB70A7D9-2" descr="C:/Users/Administrator/AppData/Local/Temp/wps.LdGWoe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E657119C-6982-421D-8BA7-E74DEB70A7D9-2" descr="C:/Users/Administrator/AppData/Local/Temp/wps.LdGWoewps"/>
                                <pic:cNvPicPr>
                                  <a:picLocks noChangeAspect="1"/>
                                </pic:cNvPicPr>
                              </pic:nvPicPr>
                              <pic:blipFill>
                                <a:blip r:embed="rId9"/>
                                <a:stretch>
                                  <a:fillRect/>
                                </a:stretch>
                              </pic:blipFill>
                              <pic:spPr>
                                <a:xfrm>
                                  <a:off x="0" y="0"/>
                                  <a:ext cx="4422140" cy="3219450"/>
                                </a:xfrm>
                                <a:prstGeom prst="rect">
                                  <a:avLst/>
                                </a:prstGeom>
                              </pic:spPr>
                            </pic:pic>
                          </a:graphicData>
                        </a:graphic>
                      </wp:inline>
                    </w:drawing>
                  </w:r>
                </w:p>
              </w:tc>
            </w:tr>
            <w:tr w14:paraId="12C42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8039" w:type="dxa"/>
                </w:tcPr>
                <w:p w14:paraId="77B486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 w:val="24"/>
                      <w:vertAlign w:val="baseline"/>
                    </w:rPr>
                  </w:pPr>
                  <w:r>
                    <w:rPr>
                      <w:rFonts w:hint="eastAsia"/>
                      <w:b/>
                      <w:bCs/>
                      <w:color w:val="auto"/>
                      <w:kern w:val="0"/>
                      <w:szCs w:val="21"/>
                      <w:highlight w:val="none"/>
                    </w:rPr>
                    <w:t>图2</w:t>
                  </w:r>
                  <w:r>
                    <w:rPr>
                      <w:rFonts w:hint="eastAsia"/>
                      <w:b/>
                      <w:bCs/>
                      <w:color w:val="auto"/>
                      <w:kern w:val="0"/>
                      <w:szCs w:val="21"/>
                      <w:highlight w:val="none"/>
                      <w:lang w:val="en-US" w:eastAsia="zh-CN"/>
                    </w:rPr>
                    <w:t>.6</w:t>
                  </w:r>
                  <w:r>
                    <w:rPr>
                      <w:rFonts w:hint="eastAsia"/>
                      <w:b/>
                      <w:bCs/>
                      <w:color w:val="auto"/>
                      <w:kern w:val="0"/>
                      <w:szCs w:val="21"/>
                      <w:highlight w:val="none"/>
                    </w:rPr>
                    <w:t>-</w:t>
                  </w:r>
                  <w:r>
                    <w:rPr>
                      <w:rFonts w:hint="eastAsia"/>
                      <w:b/>
                      <w:bCs/>
                      <w:color w:val="auto"/>
                      <w:kern w:val="0"/>
                      <w:szCs w:val="21"/>
                      <w:highlight w:val="none"/>
                      <w:lang w:val="en-US" w:eastAsia="zh-CN"/>
                    </w:rPr>
                    <w:t>2</w:t>
                  </w:r>
                  <w:r>
                    <w:rPr>
                      <w:rFonts w:hint="eastAsia"/>
                      <w:b/>
                      <w:bCs/>
                      <w:color w:val="auto"/>
                      <w:kern w:val="0"/>
                      <w:szCs w:val="21"/>
                      <w:highlight w:val="none"/>
                    </w:rPr>
                    <w:t>项目水平衡图</w:t>
                  </w:r>
                </w:p>
              </w:tc>
            </w:tr>
          </w:tbl>
          <w:p w14:paraId="7FD8D8E4">
            <w:pPr>
              <w:pStyle w:val="4"/>
              <w:keepNext w:val="0"/>
              <w:keepLines w:val="0"/>
              <w:pageBreakBefore w:val="0"/>
              <w:widowControl w:val="0"/>
              <w:kinsoku/>
              <w:wordWrap/>
              <w:overflowPunct/>
              <w:topLinePunct w:val="0"/>
              <w:autoSpaceDE/>
              <w:autoSpaceDN/>
              <w:bidi w:val="0"/>
              <w:adjustRightInd/>
              <w:snapToGrid/>
              <w:spacing w:before="157" w:beforeLines="50"/>
              <w:ind w:firstLine="120"/>
              <w:textAlignment w:val="auto"/>
              <w:rPr>
                <w:rFonts w:hint="eastAsia" w:eastAsia="宋体"/>
                <w:color w:val="auto"/>
                <w:lang w:val="en-GB" w:eastAsia="zh-CN"/>
              </w:rPr>
            </w:pPr>
            <w:r>
              <w:rPr>
                <w:color w:val="auto"/>
              </w:rPr>
              <w:t>2.6</w:t>
            </w:r>
            <w:r>
              <w:rPr>
                <w:color w:val="auto"/>
                <w:lang w:val="en-GB"/>
              </w:rPr>
              <w:t>平面布置</w:t>
            </w:r>
            <w:r>
              <w:rPr>
                <w:rFonts w:hint="eastAsia"/>
                <w:color w:val="auto"/>
                <w:lang w:val="en-GB" w:eastAsia="zh-CN"/>
              </w:rPr>
              <w:t>合理性分析</w:t>
            </w:r>
          </w:p>
          <w:p w14:paraId="7F5CFEEB">
            <w:pPr>
              <w:spacing w:line="360" w:lineRule="auto"/>
              <w:ind w:firstLine="480" w:firstLineChars="200"/>
              <w:rPr>
                <w:color w:val="auto"/>
              </w:rPr>
            </w:pPr>
            <w:r>
              <w:rPr>
                <w:rFonts w:hint="eastAsia"/>
                <w:color w:val="auto"/>
                <w:sz w:val="24"/>
                <w:highlight w:val="none"/>
                <w:lang w:eastAsia="zh-CN"/>
              </w:rPr>
              <w:t>项目总平图严格按规范进行设计，本着通行顺畅和功能分区明确的原则，厂区布局采用分区布置。项目各车间内整体布局紧凑，便于工艺流程的进行和成品的堆放，使物流通畅；功能分区明确；所在厂房与周围建筑物间留出必要的间距和通道，符合防火、卫生、安全要求。厂房平面布局基本上做到按照生产工艺流程布置，功能区布局明确，物流顺畅。综上所述，本项目的总平布置基本合理。</w:t>
            </w:r>
          </w:p>
        </w:tc>
      </w:tr>
      <w:tr w14:paraId="3C571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6" w:hRule="atLeast"/>
          <w:jc w:val="center"/>
        </w:trPr>
        <w:tc>
          <w:tcPr>
            <w:tcW w:w="769" w:type="dxa"/>
            <w:vAlign w:val="center"/>
          </w:tcPr>
          <w:p w14:paraId="49F39EBB">
            <w:pPr>
              <w:pStyle w:val="27"/>
              <w:adjustRightInd w:val="0"/>
              <w:snapToGrid w:val="0"/>
              <w:spacing w:before="0" w:beforeAutospacing="0" w:after="0" w:afterAutospacing="0"/>
              <w:jc w:val="center"/>
              <w:rPr>
                <w:rFonts w:ascii="Times New Roman" w:hAnsi="Times New Roman"/>
                <w:color w:val="auto"/>
                <w:sz w:val="21"/>
                <w:szCs w:val="21"/>
              </w:rPr>
            </w:pPr>
            <w:r>
              <w:rPr>
                <w:rFonts w:ascii="Times New Roman" w:hAnsi="Times New Roman"/>
                <w:color w:val="auto"/>
                <w:szCs w:val="24"/>
              </w:rPr>
              <w:t>工艺流程和产排污环节</w:t>
            </w:r>
          </w:p>
        </w:tc>
        <w:tc>
          <w:tcPr>
            <w:tcW w:w="8030" w:type="dxa"/>
          </w:tcPr>
          <w:p w14:paraId="282299C4">
            <w:pPr>
              <w:pStyle w:val="4"/>
              <w:ind w:firstLine="120"/>
              <w:rPr>
                <w:rFonts w:hint="default"/>
                <w:color w:val="auto"/>
              </w:rPr>
            </w:pPr>
            <w:r>
              <w:rPr>
                <w:color w:val="auto"/>
              </w:rPr>
              <w:t>2.7</w:t>
            </w:r>
            <w:r>
              <w:rPr>
                <w:color w:val="auto"/>
                <w:lang w:val="en-GB"/>
              </w:rPr>
              <w:t>工艺流程及产污环节</w:t>
            </w:r>
          </w:p>
          <w:p w14:paraId="70D0044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s="Times New Roman"/>
                <w:color w:val="auto"/>
                <w:sz w:val="24"/>
                <w:highlight w:val="none"/>
                <w:lang w:eastAsia="zh-CN"/>
              </w:rPr>
            </w:pPr>
            <w:r>
              <w:rPr>
                <w:rFonts w:hint="eastAsia" w:ascii="Times New Roman" w:hAnsi="Times New Roman" w:eastAsia="宋体" w:cs="Times New Roman"/>
                <w:color w:val="auto"/>
                <w:sz w:val="24"/>
                <w:highlight w:val="none"/>
                <w:lang w:eastAsia="zh-CN"/>
              </w:rPr>
              <w:t>本</w:t>
            </w:r>
            <w:r>
              <w:rPr>
                <w:rFonts w:hint="eastAsia" w:cs="Times New Roman"/>
                <w:color w:val="auto"/>
                <w:sz w:val="24"/>
                <w:highlight w:val="none"/>
                <w:lang w:eastAsia="zh-CN"/>
              </w:rPr>
              <w:t>次建设</w:t>
            </w:r>
            <w:r>
              <w:rPr>
                <w:rFonts w:hint="eastAsia" w:ascii="Times New Roman" w:hAnsi="Times New Roman" w:eastAsia="宋体" w:cs="Times New Roman"/>
                <w:color w:val="auto"/>
                <w:sz w:val="24"/>
                <w:highlight w:val="none"/>
                <w:lang w:eastAsia="zh-CN"/>
              </w:rPr>
              <w:t>项目生产工艺</w:t>
            </w:r>
            <w:r>
              <w:rPr>
                <w:rFonts w:hint="eastAsia" w:cs="Times New Roman"/>
                <w:color w:val="auto"/>
                <w:sz w:val="24"/>
                <w:highlight w:val="none"/>
                <w:lang w:eastAsia="zh-CN"/>
              </w:rPr>
              <w:t>主要分为钣金生产工艺以及装配工艺流程。</w:t>
            </w:r>
          </w:p>
          <w:p w14:paraId="0D6E62B7">
            <w:pPr>
              <w:pStyle w:val="5"/>
              <w:bidi w:val="0"/>
              <w:rPr>
                <w:rFonts w:hint="eastAsia"/>
                <w:color w:val="auto"/>
                <w:lang w:val="en-US" w:eastAsia="zh-CN"/>
              </w:rPr>
            </w:pPr>
            <w:r>
              <w:rPr>
                <w:rFonts w:hint="eastAsia"/>
                <w:color w:val="auto"/>
                <w:lang w:val="en-US" w:eastAsia="zh-CN"/>
              </w:rPr>
              <w:t>2.7.1钣金工艺</w:t>
            </w:r>
          </w:p>
          <w:p w14:paraId="6CD6E16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s="Times New Roman"/>
                <w:color w:val="auto"/>
                <w:sz w:val="24"/>
                <w:highlight w:val="none"/>
                <w:lang w:eastAsia="zh-CN"/>
              </w:rPr>
            </w:pPr>
            <w:r>
              <w:rPr>
                <w:rFonts w:hint="eastAsia" w:cs="Times New Roman"/>
                <w:color w:val="auto"/>
                <w:sz w:val="24"/>
                <w:highlight w:val="none"/>
                <w:lang w:eastAsia="zh-CN"/>
              </w:rPr>
              <w:t>项目各零配件钣金工艺流程包括：底座、龙门架、箱体、烟管、消声器。</w:t>
            </w:r>
          </w:p>
          <w:p w14:paraId="738DA9E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auto"/>
                <w:sz w:val="24"/>
                <w:highlight w:val="none"/>
                <w:lang w:eastAsia="zh-CN"/>
              </w:rPr>
            </w:pPr>
            <w:r>
              <w:rPr>
                <w:rFonts w:hint="eastAsia" w:cs="Times New Roman"/>
                <w:color w:val="auto"/>
                <w:sz w:val="24"/>
                <w:highlight w:val="none"/>
                <w:lang w:eastAsia="zh-CN"/>
              </w:rPr>
              <w:t>（</w:t>
            </w:r>
            <w:r>
              <w:rPr>
                <w:rFonts w:hint="eastAsia" w:cs="Times New Roman"/>
                <w:color w:val="auto"/>
                <w:sz w:val="24"/>
                <w:highlight w:val="none"/>
                <w:lang w:val="en-US" w:eastAsia="zh-CN"/>
              </w:rPr>
              <w:t>1</w:t>
            </w:r>
            <w:r>
              <w:rPr>
                <w:rFonts w:hint="eastAsia" w:cs="Times New Roman"/>
                <w:color w:val="auto"/>
                <w:sz w:val="24"/>
                <w:highlight w:val="none"/>
                <w:lang w:eastAsia="zh-CN"/>
              </w:rPr>
              <w:t>）底座</w:t>
            </w:r>
            <w:r>
              <w:rPr>
                <w:rFonts w:hint="eastAsia" w:ascii="Times New Roman" w:hAnsi="Times New Roman" w:eastAsia="宋体" w:cs="Times New Roman"/>
                <w:color w:val="auto"/>
                <w:sz w:val="24"/>
                <w:highlight w:val="none"/>
                <w:lang w:eastAsia="zh-CN"/>
              </w:rPr>
              <w:t>工艺流程框图如下：</w:t>
            </w:r>
          </w:p>
          <w:tbl>
            <w:tblPr>
              <w:tblStyle w:val="32"/>
              <w:tblW w:w="8039"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039"/>
            </w:tblGrid>
            <w:tr w14:paraId="06A5F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039" w:type="dxa"/>
                </w:tcPr>
                <w:p w14:paraId="209DDF2E">
                  <w:pPr>
                    <w:jc w:val="center"/>
                    <w:rPr>
                      <w:rFonts w:hint="eastAsia" w:eastAsia="宋体"/>
                      <w:b/>
                      <w:bCs/>
                      <w:color w:val="auto"/>
                      <w:szCs w:val="21"/>
                      <w:lang w:eastAsia="zh-CN"/>
                    </w:rPr>
                  </w:pPr>
                  <w:r>
                    <w:rPr>
                      <w:rFonts w:hint="eastAsia" w:eastAsia="宋体"/>
                      <w:b/>
                      <w:bCs/>
                      <w:color w:val="auto"/>
                      <w:szCs w:val="21"/>
                      <w:lang w:eastAsia="zh-CN"/>
                    </w:rPr>
                    <w:drawing>
                      <wp:inline distT="0" distB="0" distL="114300" distR="114300">
                        <wp:extent cx="4928235" cy="1285240"/>
                        <wp:effectExtent l="0" t="0" r="0" b="0"/>
                        <wp:docPr id="207" name="ECB019B1-382A-4266-B25C-5B523AA43C14-3" descr="C:/Users/Administrator/AppData/Local/Temp/wps.gJcbtI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ECB019B1-382A-4266-B25C-5B523AA43C14-3" descr="C:/Users/Administrator/AppData/Local/Temp/wps.gJcbtIwps"/>
                                <pic:cNvPicPr>
                                  <a:picLocks noChangeAspect="1"/>
                                </pic:cNvPicPr>
                              </pic:nvPicPr>
                              <pic:blipFill>
                                <a:blip r:embed="rId10"/>
                                <a:stretch>
                                  <a:fillRect/>
                                </a:stretch>
                              </pic:blipFill>
                              <pic:spPr>
                                <a:xfrm>
                                  <a:off x="0" y="0"/>
                                  <a:ext cx="4928235" cy="1285240"/>
                                </a:xfrm>
                                <a:prstGeom prst="rect">
                                  <a:avLst/>
                                </a:prstGeom>
                              </pic:spPr>
                            </pic:pic>
                          </a:graphicData>
                        </a:graphic>
                      </wp:inline>
                    </w:drawing>
                  </w:r>
                </w:p>
              </w:tc>
            </w:tr>
            <w:tr w14:paraId="26CCC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039" w:type="dxa"/>
                </w:tcPr>
                <w:p w14:paraId="4A4C40DC">
                  <w:pPr>
                    <w:jc w:val="center"/>
                    <w:rPr>
                      <w:rFonts w:hint="eastAsia" w:eastAsia="宋体"/>
                      <w:b/>
                      <w:bCs/>
                      <w:color w:val="auto"/>
                      <w:szCs w:val="21"/>
                      <w:lang w:eastAsia="zh-CN"/>
                    </w:rPr>
                  </w:pPr>
                  <w:r>
                    <w:rPr>
                      <w:b/>
                      <w:bCs/>
                      <w:color w:val="auto"/>
                      <w:szCs w:val="21"/>
                    </w:rPr>
                    <w:t>图</w:t>
                  </w:r>
                  <w:r>
                    <w:rPr>
                      <w:rFonts w:hint="eastAsia"/>
                      <w:b/>
                      <w:bCs/>
                      <w:color w:val="auto"/>
                      <w:szCs w:val="21"/>
                    </w:rPr>
                    <w:t>2</w:t>
                  </w:r>
                  <w:r>
                    <w:rPr>
                      <w:rFonts w:hint="eastAsia"/>
                      <w:b/>
                      <w:bCs/>
                      <w:color w:val="auto"/>
                      <w:szCs w:val="21"/>
                      <w:lang w:val="en-US" w:eastAsia="zh-CN"/>
                    </w:rPr>
                    <w:t>.7</w:t>
                  </w:r>
                  <w:r>
                    <w:rPr>
                      <w:rFonts w:hint="eastAsia"/>
                      <w:b/>
                      <w:bCs/>
                      <w:color w:val="auto"/>
                      <w:szCs w:val="21"/>
                    </w:rPr>
                    <w:t>-</w:t>
                  </w:r>
                  <w:r>
                    <w:rPr>
                      <w:rFonts w:hint="eastAsia"/>
                      <w:b/>
                      <w:bCs/>
                      <w:color w:val="auto"/>
                      <w:szCs w:val="21"/>
                      <w:lang w:val="en-US" w:eastAsia="zh-CN"/>
                    </w:rPr>
                    <w:t>1</w:t>
                  </w:r>
                  <w:r>
                    <w:rPr>
                      <w:rFonts w:hint="eastAsia"/>
                      <w:b/>
                      <w:bCs/>
                      <w:color w:val="auto"/>
                      <w:szCs w:val="21"/>
                      <w:lang w:eastAsia="zh-CN"/>
                    </w:rPr>
                    <w:t>底座钣金工艺流程图</w:t>
                  </w:r>
                </w:p>
              </w:tc>
            </w:tr>
          </w:tbl>
          <w:p w14:paraId="2F7D4793">
            <w:pPr>
              <w:snapToGrid w:val="0"/>
              <w:spacing w:line="360" w:lineRule="auto"/>
              <w:ind w:firstLine="482" w:firstLineChars="200"/>
              <w:rPr>
                <w:b/>
                <w:bCs/>
                <w:color w:val="auto"/>
                <w:kern w:val="0"/>
                <w:sz w:val="24"/>
              </w:rPr>
            </w:pPr>
            <w:r>
              <w:rPr>
                <w:rFonts w:hint="eastAsia"/>
                <w:b/>
                <w:bCs/>
                <w:color w:val="auto"/>
                <w:kern w:val="0"/>
                <w:sz w:val="24"/>
                <w:lang w:eastAsia="zh-CN"/>
              </w:rPr>
              <w:t>工艺</w:t>
            </w:r>
            <w:r>
              <w:rPr>
                <w:rFonts w:hint="eastAsia"/>
                <w:b/>
                <w:bCs/>
                <w:color w:val="auto"/>
                <w:kern w:val="0"/>
                <w:sz w:val="24"/>
              </w:rPr>
              <w:t>流程简述：</w:t>
            </w:r>
          </w:p>
          <w:p w14:paraId="228C6DB2">
            <w:pPr>
              <w:numPr>
                <w:ilvl w:val="0"/>
                <w:numId w:val="0"/>
              </w:numPr>
              <w:spacing w:line="360" w:lineRule="auto"/>
              <w:ind w:left="0" w:leftChars="0" w:firstLine="480" w:firstLineChars="200"/>
              <w:rPr>
                <w:rFonts w:hint="eastAsia" w:cs="Times New Roman"/>
                <w:b w:val="0"/>
                <w:bCs w:val="0"/>
                <w:color w:val="auto"/>
                <w:kern w:val="2"/>
                <w:sz w:val="24"/>
                <w:szCs w:val="24"/>
                <w:lang w:val="en-US" w:eastAsia="zh-CN" w:bidi="ar-SA"/>
              </w:rPr>
            </w:pPr>
            <w:r>
              <w:rPr>
                <w:rFonts w:hint="eastAsia" w:cs="Times New Roman"/>
                <w:b w:val="0"/>
                <w:bCs w:val="0"/>
                <w:color w:val="auto"/>
                <w:kern w:val="2"/>
                <w:sz w:val="24"/>
                <w:szCs w:val="24"/>
                <w:lang w:val="en-US" w:eastAsia="zh-CN" w:bidi="ar-SA"/>
              </w:rPr>
              <w:t>切割：外购铁板根据各部件设计要求，利用激光切割机，切割工序产生少量粉尘废气G1；</w:t>
            </w:r>
          </w:p>
          <w:p w14:paraId="4F3B370D">
            <w:pPr>
              <w:numPr>
                <w:ilvl w:val="0"/>
                <w:numId w:val="0"/>
              </w:numPr>
              <w:spacing w:line="360" w:lineRule="auto"/>
              <w:ind w:left="0" w:leftChars="0" w:firstLine="480" w:firstLineChars="200"/>
              <w:rPr>
                <w:rFonts w:hint="eastAsia"/>
                <w:b w:val="0"/>
                <w:bCs w:val="0"/>
                <w:color w:val="auto"/>
                <w:sz w:val="24"/>
                <w:lang w:eastAsia="zh-CN"/>
              </w:rPr>
            </w:pPr>
            <w:r>
              <w:rPr>
                <w:rFonts w:hint="eastAsia"/>
                <w:b w:val="0"/>
                <w:bCs w:val="0"/>
                <w:color w:val="auto"/>
                <w:sz w:val="24"/>
                <w:lang w:eastAsia="zh-CN"/>
              </w:rPr>
              <w:t>数控弯折：板材根据设计要求进行折弯；</w:t>
            </w:r>
          </w:p>
          <w:p w14:paraId="45C6EED4">
            <w:pPr>
              <w:numPr>
                <w:ilvl w:val="0"/>
                <w:numId w:val="0"/>
              </w:numPr>
              <w:spacing w:line="360" w:lineRule="auto"/>
              <w:ind w:left="0" w:leftChars="0" w:firstLine="480" w:firstLineChars="200"/>
              <w:rPr>
                <w:rFonts w:hint="eastAsia"/>
                <w:b w:val="0"/>
                <w:bCs w:val="0"/>
                <w:color w:val="auto"/>
                <w:sz w:val="24"/>
                <w:lang w:eastAsia="zh-CN"/>
              </w:rPr>
            </w:pPr>
            <w:r>
              <w:rPr>
                <w:rFonts w:hint="eastAsia"/>
                <w:b w:val="0"/>
                <w:bCs w:val="0"/>
                <w:color w:val="auto"/>
                <w:sz w:val="24"/>
                <w:lang w:eastAsia="zh-CN"/>
              </w:rPr>
              <w:t>焊接：弯折后板材根据设计要求进行焊接，焊接工序有少量焊接烟尘产生</w:t>
            </w:r>
            <w:r>
              <w:rPr>
                <w:rFonts w:hint="eastAsia"/>
                <w:b w:val="0"/>
                <w:bCs w:val="0"/>
                <w:color w:val="auto"/>
                <w:sz w:val="24"/>
                <w:lang w:val="en-US" w:eastAsia="zh-CN"/>
              </w:rPr>
              <w:t>G2</w:t>
            </w:r>
            <w:r>
              <w:rPr>
                <w:rFonts w:hint="eastAsia"/>
                <w:b w:val="0"/>
                <w:bCs w:val="0"/>
                <w:color w:val="auto"/>
                <w:sz w:val="24"/>
                <w:lang w:eastAsia="zh-CN"/>
              </w:rPr>
              <w:t>；</w:t>
            </w:r>
          </w:p>
          <w:p w14:paraId="0EFE780C">
            <w:pPr>
              <w:numPr>
                <w:ilvl w:val="0"/>
                <w:numId w:val="0"/>
              </w:numPr>
              <w:spacing w:line="360" w:lineRule="auto"/>
              <w:ind w:left="0" w:leftChars="0" w:firstLine="480" w:firstLineChars="200"/>
              <w:rPr>
                <w:rFonts w:hint="eastAsia"/>
                <w:b w:val="0"/>
                <w:bCs w:val="0"/>
                <w:color w:val="auto"/>
                <w:sz w:val="24"/>
                <w:lang w:eastAsia="zh-CN"/>
              </w:rPr>
            </w:pPr>
            <w:r>
              <w:rPr>
                <w:rFonts w:hint="eastAsia"/>
                <w:b w:val="0"/>
                <w:bCs w:val="0"/>
                <w:color w:val="auto"/>
                <w:sz w:val="24"/>
                <w:lang w:eastAsia="zh-CN"/>
              </w:rPr>
              <w:t>油箱试压</w:t>
            </w:r>
            <w:r>
              <w:rPr>
                <w:rFonts w:hint="eastAsia"/>
                <w:b w:val="0"/>
                <w:bCs w:val="0"/>
                <w:color w:val="auto"/>
                <w:sz w:val="24"/>
                <w:lang w:val="en-US" w:eastAsia="zh-CN"/>
              </w:rPr>
              <w:t>/</w:t>
            </w:r>
            <w:r>
              <w:rPr>
                <w:rFonts w:hint="eastAsia"/>
                <w:b w:val="0"/>
                <w:bCs w:val="0"/>
                <w:color w:val="auto"/>
                <w:sz w:val="24"/>
                <w:lang w:eastAsia="zh-CN"/>
              </w:rPr>
              <w:t>测漏：根据设计要求对油箱进行试压及测漏；</w:t>
            </w:r>
          </w:p>
          <w:p w14:paraId="57030EE3">
            <w:pPr>
              <w:numPr>
                <w:ilvl w:val="0"/>
                <w:numId w:val="0"/>
              </w:numPr>
              <w:spacing w:line="360" w:lineRule="auto"/>
              <w:ind w:left="0" w:leftChars="0" w:firstLine="480" w:firstLineChars="200"/>
              <w:rPr>
                <w:rFonts w:hint="eastAsia"/>
                <w:b w:val="0"/>
                <w:bCs w:val="0"/>
                <w:color w:val="auto"/>
                <w:sz w:val="24"/>
                <w:lang w:eastAsia="zh-CN"/>
              </w:rPr>
            </w:pPr>
            <w:r>
              <w:rPr>
                <w:rFonts w:hint="eastAsia"/>
                <w:b w:val="0"/>
                <w:bCs w:val="0"/>
                <w:color w:val="auto"/>
                <w:sz w:val="24"/>
                <w:lang w:eastAsia="zh-CN"/>
              </w:rPr>
              <w:t>抛丸：使用抛丸机对部件进行处理，抛丸工序</w:t>
            </w:r>
            <w:r>
              <w:rPr>
                <w:rFonts w:hint="eastAsia" w:cs="Times New Roman"/>
                <w:b w:val="0"/>
                <w:bCs w:val="0"/>
                <w:color w:val="auto"/>
                <w:kern w:val="2"/>
                <w:sz w:val="24"/>
                <w:szCs w:val="24"/>
                <w:lang w:val="en-US" w:eastAsia="zh-CN" w:bidi="ar-SA"/>
              </w:rPr>
              <w:t>产生少量粉尘废气G3</w:t>
            </w:r>
            <w:r>
              <w:rPr>
                <w:rFonts w:hint="eastAsia"/>
                <w:b w:val="0"/>
                <w:bCs w:val="0"/>
                <w:color w:val="auto"/>
                <w:sz w:val="24"/>
              </w:rPr>
              <w:t>。</w:t>
            </w:r>
          </w:p>
          <w:p w14:paraId="18A2343C">
            <w:pPr>
              <w:numPr>
                <w:ilvl w:val="0"/>
                <w:numId w:val="0"/>
              </w:numPr>
              <w:spacing w:line="360" w:lineRule="auto"/>
              <w:ind w:left="0" w:leftChars="0" w:firstLine="480" w:firstLineChars="200"/>
              <w:rPr>
                <w:rFonts w:hint="eastAsia"/>
                <w:b w:val="0"/>
                <w:bCs w:val="0"/>
                <w:color w:val="auto"/>
                <w:sz w:val="24"/>
                <w:lang w:eastAsia="zh-CN"/>
              </w:rPr>
            </w:pPr>
            <w:r>
              <w:rPr>
                <w:rFonts w:hint="eastAsia"/>
                <w:b w:val="0"/>
                <w:bCs w:val="0"/>
                <w:color w:val="auto"/>
                <w:sz w:val="24"/>
                <w:lang w:eastAsia="zh-CN"/>
              </w:rPr>
              <w:t>表面处理：经抛丸处理后工件需进行表面处理（喷漆），</w:t>
            </w:r>
            <w:r>
              <w:rPr>
                <w:rFonts w:hint="eastAsia"/>
                <w:b/>
                <w:bCs/>
                <w:color w:val="auto"/>
                <w:sz w:val="24"/>
                <w:lang w:eastAsia="zh-CN"/>
              </w:rPr>
              <w:t>该工序委外处置</w:t>
            </w:r>
            <w:r>
              <w:rPr>
                <w:rFonts w:hint="eastAsia"/>
                <w:b w:val="0"/>
                <w:bCs w:val="0"/>
                <w:color w:val="auto"/>
                <w:sz w:val="24"/>
                <w:lang w:eastAsia="zh-CN"/>
              </w:rPr>
              <w:t>；</w:t>
            </w:r>
          </w:p>
          <w:p w14:paraId="01B00C2D">
            <w:pPr>
              <w:numPr>
                <w:ilvl w:val="0"/>
                <w:numId w:val="0"/>
              </w:numPr>
              <w:spacing w:line="360" w:lineRule="auto"/>
              <w:ind w:left="0" w:leftChars="0" w:firstLine="480" w:firstLineChars="200"/>
              <w:rPr>
                <w:rFonts w:hint="eastAsia"/>
                <w:b w:val="0"/>
                <w:bCs w:val="0"/>
                <w:color w:val="auto"/>
                <w:sz w:val="24"/>
                <w:lang w:eastAsia="zh-CN"/>
              </w:rPr>
            </w:pPr>
            <w:r>
              <w:rPr>
                <w:rFonts w:hint="eastAsia"/>
                <w:b w:val="0"/>
                <w:bCs w:val="0"/>
                <w:color w:val="auto"/>
                <w:sz w:val="24"/>
                <w:lang w:eastAsia="zh-CN"/>
              </w:rPr>
              <w:t>装配：处理后板材按设计要求装配后作为底座配件待用。</w:t>
            </w:r>
          </w:p>
          <w:p w14:paraId="4D0C8BA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auto"/>
                <w:sz w:val="24"/>
                <w:highlight w:val="none"/>
                <w:lang w:eastAsia="zh-CN"/>
              </w:rPr>
            </w:pPr>
            <w:r>
              <w:rPr>
                <w:rFonts w:hint="eastAsia" w:cs="Times New Roman"/>
                <w:color w:val="auto"/>
                <w:sz w:val="24"/>
                <w:highlight w:val="none"/>
                <w:lang w:eastAsia="zh-CN"/>
              </w:rPr>
              <w:t>（</w:t>
            </w:r>
            <w:r>
              <w:rPr>
                <w:rFonts w:hint="eastAsia" w:cs="Times New Roman"/>
                <w:color w:val="auto"/>
                <w:sz w:val="24"/>
                <w:highlight w:val="none"/>
                <w:lang w:val="en-US" w:eastAsia="zh-CN"/>
              </w:rPr>
              <w:t>2</w:t>
            </w:r>
            <w:r>
              <w:rPr>
                <w:rFonts w:hint="eastAsia" w:cs="Times New Roman"/>
                <w:color w:val="auto"/>
                <w:sz w:val="24"/>
                <w:highlight w:val="none"/>
                <w:lang w:eastAsia="zh-CN"/>
              </w:rPr>
              <w:t>）龙门架</w:t>
            </w:r>
            <w:r>
              <w:rPr>
                <w:rFonts w:hint="eastAsia" w:ascii="Times New Roman" w:hAnsi="Times New Roman" w:eastAsia="宋体" w:cs="Times New Roman"/>
                <w:color w:val="auto"/>
                <w:sz w:val="24"/>
                <w:highlight w:val="none"/>
                <w:lang w:eastAsia="zh-CN"/>
              </w:rPr>
              <w:t>工艺流程框图如下：</w:t>
            </w:r>
          </w:p>
          <w:tbl>
            <w:tblPr>
              <w:tblStyle w:val="32"/>
              <w:tblW w:w="8039"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039"/>
            </w:tblGrid>
            <w:tr w14:paraId="2E422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039" w:type="dxa"/>
                </w:tcPr>
                <w:p w14:paraId="6A63E3FA">
                  <w:pPr>
                    <w:jc w:val="center"/>
                    <w:rPr>
                      <w:rFonts w:hint="eastAsia" w:eastAsia="宋体"/>
                      <w:b/>
                      <w:bCs/>
                      <w:color w:val="auto"/>
                      <w:szCs w:val="21"/>
                      <w:lang w:eastAsia="zh-CN"/>
                    </w:rPr>
                  </w:pPr>
                  <w:r>
                    <w:rPr>
                      <w:rFonts w:hint="eastAsia" w:eastAsia="宋体"/>
                      <w:b/>
                      <w:bCs/>
                      <w:color w:val="auto"/>
                      <w:szCs w:val="21"/>
                      <w:lang w:eastAsia="zh-CN"/>
                    </w:rPr>
                    <w:drawing>
                      <wp:inline distT="0" distB="0" distL="114300" distR="114300">
                        <wp:extent cx="5073015" cy="1778635"/>
                        <wp:effectExtent l="0" t="0" r="0" b="0"/>
                        <wp:docPr id="195" name="ECB019B1-382A-4266-B25C-5B523AA43C14-4" descr="C:/Users/Administrator/AppData/Local/Temp/wps.msGLED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ECB019B1-382A-4266-B25C-5B523AA43C14-4" descr="C:/Users/Administrator/AppData/Local/Temp/wps.msGLEDwps"/>
                                <pic:cNvPicPr>
                                  <a:picLocks noChangeAspect="1"/>
                                </pic:cNvPicPr>
                              </pic:nvPicPr>
                              <pic:blipFill>
                                <a:blip r:embed="rId11"/>
                                <a:stretch>
                                  <a:fillRect/>
                                </a:stretch>
                              </pic:blipFill>
                              <pic:spPr>
                                <a:xfrm>
                                  <a:off x="0" y="0"/>
                                  <a:ext cx="5073015" cy="1778635"/>
                                </a:xfrm>
                                <a:prstGeom prst="rect">
                                  <a:avLst/>
                                </a:prstGeom>
                              </pic:spPr>
                            </pic:pic>
                          </a:graphicData>
                        </a:graphic>
                      </wp:inline>
                    </w:drawing>
                  </w:r>
                </w:p>
              </w:tc>
            </w:tr>
            <w:tr w14:paraId="6FE40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039" w:type="dxa"/>
                </w:tcPr>
                <w:p w14:paraId="1767D8B4">
                  <w:pPr>
                    <w:jc w:val="center"/>
                    <w:rPr>
                      <w:rFonts w:hint="eastAsia" w:eastAsia="宋体"/>
                      <w:b/>
                      <w:bCs/>
                      <w:color w:val="auto"/>
                      <w:szCs w:val="21"/>
                      <w:lang w:eastAsia="zh-CN"/>
                    </w:rPr>
                  </w:pPr>
                  <w:r>
                    <w:rPr>
                      <w:b/>
                      <w:bCs/>
                      <w:color w:val="auto"/>
                      <w:szCs w:val="21"/>
                    </w:rPr>
                    <w:t>图</w:t>
                  </w:r>
                  <w:r>
                    <w:rPr>
                      <w:rFonts w:hint="eastAsia"/>
                      <w:b/>
                      <w:bCs/>
                      <w:color w:val="auto"/>
                      <w:szCs w:val="21"/>
                    </w:rPr>
                    <w:t>2</w:t>
                  </w:r>
                  <w:r>
                    <w:rPr>
                      <w:rFonts w:hint="eastAsia"/>
                      <w:b/>
                      <w:bCs/>
                      <w:color w:val="auto"/>
                      <w:szCs w:val="21"/>
                      <w:lang w:val="en-US" w:eastAsia="zh-CN"/>
                    </w:rPr>
                    <w:t>.7</w:t>
                  </w:r>
                  <w:r>
                    <w:rPr>
                      <w:rFonts w:hint="eastAsia"/>
                      <w:b/>
                      <w:bCs/>
                      <w:color w:val="auto"/>
                      <w:szCs w:val="21"/>
                    </w:rPr>
                    <w:t>-</w:t>
                  </w:r>
                  <w:r>
                    <w:rPr>
                      <w:rFonts w:hint="eastAsia"/>
                      <w:b/>
                      <w:bCs/>
                      <w:color w:val="auto"/>
                      <w:szCs w:val="21"/>
                      <w:lang w:val="en-US" w:eastAsia="zh-CN"/>
                    </w:rPr>
                    <w:t>2</w:t>
                  </w:r>
                  <w:r>
                    <w:rPr>
                      <w:rFonts w:hint="eastAsia"/>
                      <w:b/>
                      <w:bCs/>
                      <w:color w:val="auto"/>
                      <w:szCs w:val="21"/>
                      <w:lang w:eastAsia="zh-CN"/>
                    </w:rPr>
                    <w:t>龙门架钣金工艺流程图</w:t>
                  </w:r>
                </w:p>
              </w:tc>
            </w:tr>
          </w:tbl>
          <w:p w14:paraId="529061C2">
            <w:pPr>
              <w:numPr>
                <w:ilvl w:val="0"/>
                <w:numId w:val="0"/>
              </w:numPr>
              <w:spacing w:line="360" w:lineRule="auto"/>
              <w:ind w:left="0" w:leftChars="0" w:firstLine="480" w:firstLineChars="200"/>
              <w:rPr>
                <w:rFonts w:hint="eastAsia" w:cs="Times New Roman"/>
                <w:b w:val="0"/>
                <w:bCs w:val="0"/>
                <w:color w:val="auto"/>
                <w:kern w:val="2"/>
                <w:sz w:val="24"/>
                <w:szCs w:val="24"/>
                <w:lang w:val="en-US" w:eastAsia="zh-CN" w:bidi="ar-SA"/>
              </w:rPr>
            </w:pPr>
            <w:r>
              <w:rPr>
                <w:rFonts w:hint="eastAsia" w:cs="Times New Roman"/>
                <w:b w:val="0"/>
                <w:bCs w:val="0"/>
                <w:color w:val="auto"/>
                <w:kern w:val="2"/>
                <w:sz w:val="24"/>
                <w:szCs w:val="24"/>
                <w:lang w:val="en-US" w:eastAsia="zh-CN" w:bidi="ar-SA"/>
              </w:rPr>
              <w:t>切割：外购铁板根据各部件设计要求，利用激光切割机进行切割下料，切割工序产生少量粉尘废气G1；</w:t>
            </w:r>
          </w:p>
          <w:p w14:paraId="50CA7976">
            <w:pPr>
              <w:numPr>
                <w:ilvl w:val="0"/>
                <w:numId w:val="0"/>
              </w:numPr>
              <w:spacing w:line="360" w:lineRule="auto"/>
              <w:ind w:left="0" w:leftChars="0" w:firstLine="480" w:firstLineChars="200"/>
              <w:rPr>
                <w:rFonts w:hint="eastAsia"/>
                <w:b w:val="0"/>
                <w:bCs w:val="0"/>
                <w:color w:val="auto"/>
                <w:sz w:val="24"/>
              </w:rPr>
            </w:pPr>
            <w:r>
              <w:rPr>
                <w:rFonts w:hint="eastAsia"/>
                <w:b w:val="0"/>
                <w:bCs w:val="0"/>
                <w:color w:val="auto"/>
                <w:sz w:val="24"/>
                <w:lang w:eastAsia="zh-CN"/>
              </w:rPr>
              <w:t>打磨：切割后板材经手工打磨去除毛刺，打磨工序</w:t>
            </w:r>
            <w:r>
              <w:rPr>
                <w:rFonts w:hint="eastAsia" w:cs="Times New Roman"/>
                <w:b w:val="0"/>
                <w:bCs w:val="0"/>
                <w:color w:val="auto"/>
                <w:kern w:val="2"/>
                <w:sz w:val="24"/>
                <w:szCs w:val="24"/>
                <w:lang w:val="en-US" w:eastAsia="zh-CN" w:bidi="ar-SA"/>
              </w:rPr>
              <w:t>产生少量粉尘废气G4</w:t>
            </w:r>
            <w:r>
              <w:rPr>
                <w:rFonts w:hint="eastAsia"/>
                <w:b w:val="0"/>
                <w:bCs w:val="0"/>
                <w:color w:val="auto"/>
                <w:sz w:val="24"/>
              </w:rPr>
              <w:t>。</w:t>
            </w:r>
          </w:p>
          <w:p w14:paraId="1307AE38">
            <w:pPr>
              <w:numPr>
                <w:ilvl w:val="0"/>
                <w:numId w:val="0"/>
              </w:numPr>
              <w:spacing w:line="360" w:lineRule="auto"/>
              <w:ind w:left="0" w:leftChars="0" w:firstLine="480" w:firstLineChars="200"/>
              <w:rPr>
                <w:rFonts w:hint="eastAsia"/>
                <w:b w:val="0"/>
                <w:bCs w:val="0"/>
                <w:color w:val="auto"/>
                <w:sz w:val="24"/>
                <w:lang w:eastAsia="zh-CN"/>
              </w:rPr>
            </w:pPr>
            <w:r>
              <w:rPr>
                <w:rFonts w:hint="eastAsia"/>
                <w:b w:val="0"/>
                <w:bCs w:val="0"/>
                <w:color w:val="auto"/>
                <w:sz w:val="24"/>
                <w:lang w:eastAsia="zh-CN"/>
              </w:rPr>
              <w:t>数控弯折：打磨后板材根据设计要求进行折弯；</w:t>
            </w:r>
          </w:p>
          <w:p w14:paraId="6A0D4023">
            <w:pPr>
              <w:numPr>
                <w:ilvl w:val="0"/>
                <w:numId w:val="0"/>
              </w:numPr>
              <w:spacing w:line="360" w:lineRule="auto"/>
              <w:ind w:left="0" w:leftChars="0" w:firstLine="480" w:firstLineChars="200"/>
              <w:rPr>
                <w:rFonts w:hint="eastAsia"/>
                <w:b w:val="0"/>
                <w:bCs w:val="0"/>
                <w:color w:val="auto"/>
                <w:sz w:val="24"/>
                <w:lang w:eastAsia="zh-CN"/>
              </w:rPr>
            </w:pPr>
            <w:r>
              <w:rPr>
                <w:rFonts w:hint="eastAsia"/>
                <w:b w:val="0"/>
                <w:bCs w:val="0"/>
                <w:color w:val="auto"/>
                <w:sz w:val="24"/>
                <w:lang w:eastAsia="zh-CN"/>
              </w:rPr>
              <w:t>焊接：弯折后板材根据设计要求进行焊接，焊接工序有少量焊接烟尘产生</w:t>
            </w:r>
            <w:r>
              <w:rPr>
                <w:rFonts w:hint="eastAsia"/>
                <w:b w:val="0"/>
                <w:bCs w:val="0"/>
                <w:color w:val="auto"/>
                <w:sz w:val="24"/>
                <w:lang w:val="en-US" w:eastAsia="zh-CN"/>
              </w:rPr>
              <w:t>G2</w:t>
            </w:r>
            <w:r>
              <w:rPr>
                <w:rFonts w:hint="eastAsia"/>
                <w:b w:val="0"/>
                <w:bCs w:val="0"/>
                <w:color w:val="auto"/>
                <w:sz w:val="24"/>
                <w:lang w:eastAsia="zh-CN"/>
              </w:rPr>
              <w:t>；</w:t>
            </w:r>
          </w:p>
          <w:p w14:paraId="6EF7D2DA">
            <w:pPr>
              <w:numPr>
                <w:ilvl w:val="0"/>
                <w:numId w:val="0"/>
              </w:numPr>
              <w:spacing w:line="360" w:lineRule="auto"/>
              <w:ind w:left="0" w:leftChars="0" w:firstLine="480" w:firstLineChars="200"/>
              <w:rPr>
                <w:rFonts w:hint="eastAsia"/>
                <w:b w:val="0"/>
                <w:bCs w:val="0"/>
                <w:color w:val="auto"/>
                <w:sz w:val="24"/>
              </w:rPr>
            </w:pPr>
            <w:r>
              <w:rPr>
                <w:rFonts w:hint="eastAsia"/>
                <w:b w:val="0"/>
                <w:bCs w:val="0"/>
                <w:color w:val="auto"/>
                <w:sz w:val="24"/>
                <w:lang w:eastAsia="zh-CN"/>
              </w:rPr>
              <w:t>抛丸：使用抛丸机对部件进行处理，抛丸工序</w:t>
            </w:r>
            <w:r>
              <w:rPr>
                <w:rFonts w:hint="eastAsia" w:cs="Times New Roman"/>
                <w:b w:val="0"/>
                <w:bCs w:val="0"/>
                <w:color w:val="auto"/>
                <w:kern w:val="2"/>
                <w:sz w:val="24"/>
                <w:szCs w:val="24"/>
                <w:lang w:val="en-US" w:eastAsia="zh-CN" w:bidi="ar-SA"/>
              </w:rPr>
              <w:t>产生少量粉尘废气G3</w:t>
            </w:r>
            <w:r>
              <w:rPr>
                <w:rFonts w:hint="eastAsia"/>
                <w:b w:val="0"/>
                <w:bCs w:val="0"/>
                <w:color w:val="auto"/>
                <w:sz w:val="24"/>
              </w:rPr>
              <w:t>。</w:t>
            </w:r>
          </w:p>
          <w:p w14:paraId="5BE96675">
            <w:pPr>
              <w:numPr>
                <w:ilvl w:val="0"/>
                <w:numId w:val="0"/>
              </w:numPr>
              <w:spacing w:line="360" w:lineRule="auto"/>
              <w:ind w:left="0" w:leftChars="0" w:firstLine="480" w:firstLineChars="200"/>
              <w:rPr>
                <w:rFonts w:hint="eastAsia" w:eastAsia="宋体"/>
                <w:b w:val="0"/>
                <w:bCs w:val="0"/>
                <w:color w:val="auto"/>
                <w:sz w:val="24"/>
                <w:lang w:eastAsia="zh-CN"/>
              </w:rPr>
            </w:pPr>
            <w:r>
              <w:rPr>
                <w:rFonts w:hint="eastAsia"/>
                <w:b w:val="0"/>
                <w:bCs w:val="0"/>
                <w:color w:val="auto"/>
                <w:sz w:val="24"/>
                <w:lang w:eastAsia="zh-CN"/>
              </w:rPr>
              <w:t>脱脂：根据设计要求，抛丸后部件需进行脱脂水洗，该工序有少量脱脂水洗废水</w:t>
            </w:r>
            <w:r>
              <w:rPr>
                <w:rFonts w:hint="eastAsia"/>
                <w:b w:val="0"/>
                <w:bCs w:val="0"/>
                <w:color w:val="auto"/>
                <w:sz w:val="24"/>
                <w:lang w:val="en-US" w:eastAsia="zh-CN"/>
              </w:rPr>
              <w:t>W1</w:t>
            </w:r>
            <w:r>
              <w:rPr>
                <w:rFonts w:hint="eastAsia"/>
                <w:b w:val="0"/>
                <w:bCs w:val="0"/>
                <w:color w:val="auto"/>
                <w:sz w:val="24"/>
                <w:lang w:eastAsia="zh-CN"/>
              </w:rPr>
              <w:t>产生；</w:t>
            </w:r>
          </w:p>
          <w:p w14:paraId="76930FDA">
            <w:pPr>
              <w:numPr>
                <w:ilvl w:val="0"/>
                <w:numId w:val="0"/>
              </w:numPr>
              <w:spacing w:line="360" w:lineRule="auto"/>
              <w:ind w:left="0" w:leftChars="0" w:firstLine="480" w:firstLineChars="200"/>
              <w:rPr>
                <w:rFonts w:hint="eastAsia"/>
                <w:b w:val="0"/>
                <w:bCs w:val="0"/>
                <w:color w:val="auto"/>
                <w:sz w:val="24"/>
                <w:lang w:eastAsia="zh-CN"/>
              </w:rPr>
            </w:pPr>
            <w:r>
              <w:rPr>
                <w:rFonts w:hint="eastAsia"/>
                <w:b w:val="0"/>
                <w:bCs w:val="0"/>
                <w:color w:val="auto"/>
                <w:sz w:val="24"/>
                <w:lang w:eastAsia="zh-CN"/>
              </w:rPr>
              <w:t>表面处理：经脱脂水洗处理后工件需进行表面处理（喷塑），</w:t>
            </w:r>
            <w:r>
              <w:rPr>
                <w:rFonts w:hint="eastAsia"/>
                <w:b/>
                <w:bCs/>
                <w:color w:val="auto"/>
                <w:sz w:val="24"/>
                <w:lang w:eastAsia="zh-CN"/>
              </w:rPr>
              <w:t>该工序委外处置</w:t>
            </w:r>
            <w:r>
              <w:rPr>
                <w:rFonts w:hint="eastAsia"/>
                <w:b w:val="0"/>
                <w:bCs w:val="0"/>
                <w:color w:val="auto"/>
                <w:sz w:val="24"/>
                <w:lang w:eastAsia="zh-CN"/>
              </w:rPr>
              <w:t>；</w:t>
            </w:r>
          </w:p>
          <w:p w14:paraId="6FB6C9B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b w:val="0"/>
                <w:bCs w:val="0"/>
                <w:color w:val="auto"/>
                <w:sz w:val="24"/>
                <w:lang w:eastAsia="zh-CN"/>
              </w:rPr>
            </w:pPr>
            <w:r>
              <w:rPr>
                <w:rFonts w:hint="eastAsia"/>
                <w:b w:val="0"/>
                <w:bCs w:val="0"/>
                <w:color w:val="auto"/>
                <w:sz w:val="24"/>
                <w:lang w:eastAsia="zh-CN"/>
              </w:rPr>
              <w:t>装配：处理后板材按设计要求装配后作为龙门架配件待用。</w:t>
            </w:r>
          </w:p>
          <w:p w14:paraId="4FD027D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auto"/>
                <w:sz w:val="24"/>
                <w:highlight w:val="none"/>
                <w:lang w:eastAsia="zh-CN"/>
              </w:rPr>
            </w:pPr>
            <w:r>
              <w:rPr>
                <w:rFonts w:hint="eastAsia" w:cs="Times New Roman"/>
                <w:color w:val="auto"/>
                <w:sz w:val="24"/>
                <w:highlight w:val="none"/>
                <w:lang w:eastAsia="zh-CN"/>
              </w:rPr>
              <w:t>（</w:t>
            </w:r>
            <w:r>
              <w:rPr>
                <w:rFonts w:hint="eastAsia" w:cs="Times New Roman"/>
                <w:color w:val="auto"/>
                <w:sz w:val="24"/>
                <w:highlight w:val="none"/>
                <w:lang w:val="en-US" w:eastAsia="zh-CN"/>
              </w:rPr>
              <w:t>3</w:t>
            </w:r>
            <w:r>
              <w:rPr>
                <w:rFonts w:hint="eastAsia" w:cs="Times New Roman"/>
                <w:color w:val="auto"/>
                <w:sz w:val="24"/>
                <w:highlight w:val="none"/>
                <w:lang w:eastAsia="zh-CN"/>
              </w:rPr>
              <w:t>）箱体钣金</w:t>
            </w:r>
            <w:r>
              <w:rPr>
                <w:rFonts w:hint="eastAsia" w:ascii="Times New Roman" w:hAnsi="Times New Roman" w:eastAsia="宋体" w:cs="Times New Roman"/>
                <w:color w:val="auto"/>
                <w:sz w:val="24"/>
                <w:highlight w:val="none"/>
                <w:lang w:eastAsia="zh-CN"/>
              </w:rPr>
              <w:t>工艺流程框图如下：</w:t>
            </w:r>
          </w:p>
          <w:tbl>
            <w:tblPr>
              <w:tblStyle w:val="32"/>
              <w:tblW w:w="8039"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039"/>
            </w:tblGrid>
            <w:tr w14:paraId="3C714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039" w:type="dxa"/>
                </w:tcPr>
                <w:p w14:paraId="0A24EE53">
                  <w:pPr>
                    <w:jc w:val="center"/>
                    <w:rPr>
                      <w:rFonts w:hint="eastAsia" w:eastAsia="宋体"/>
                      <w:b/>
                      <w:bCs/>
                      <w:color w:val="auto"/>
                      <w:szCs w:val="21"/>
                      <w:lang w:eastAsia="zh-CN"/>
                    </w:rPr>
                  </w:pPr>
                  <w:r>
                    <w:rPr>
                      <w:rFonts w:hint="eastAsia" w:eastAsia="宋体"/>
                      <w:b/>
                      <w:bCs/>
                      <w:color w:val="auto"/>
                      <w:szCs w:val="21"/>
                      <w:lang w:eastAsia="zh-CN"/>
                    </w:rPr>
                    <w:drawing>
                      <wp:inline distT="0" distB="0" distL="114300" distR="114300">
                        <wp:extent cx="4956810" cy="1737995"/>
                        <wp:effectExtent l="0" t="0" r="0" b="0"/>
                        <wp:docPr id="206" name="ECB019B1-382A-4266-B25C-5B523AA43C14-5" descr="C:/Users/Administrator/AppData/Local/Temp/wps.TALOGY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ECB019B1-382A-4266-B25C-5B523AA43C14-5" descr="C:/Users/Administrator/AppData/Local/Temp/wps.TALOGYwps"/>
                                <pic:cNvPicPr>
                                  <a:picLocks noChangeAspect="1"/>
                                </pic:cNvPicPr>
                              </pic:nvPicPr>
                              <pic:blipFill>
                                <a:blip r:embed="rId12"/>
                                <a:stretch>
                                  <a:fillRect/>
                                </a:stretch>
                              </pic:blipFill>
                              <pic:spPr>
                                <a:xfrm>
                                  <a:off x="0" y="0"/>
                                  <a:ext cx="4956810" cy="1737995"/>
                                </a:xfrm>
                                <a:prstGeom prst="rect">
                                  <a:avLst/>
                                </a:prstGeom>
                              </pic:spPr>
                            </pic:pic>
                          </a:graphicData>
                        </a:graphic>
                      </wp:inline>
                    </w:drawing>
                  </w:r>
                </w:p>
              </w:tc>
            </w:tr>
            <w:tr w14:paraId="34B3C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039" w:type="dxa"/>
                </w:tcPr>
                <w:p w14:paraId="3711DAE1">
                  <w:pPr>
                    <w:jc w:val="center"/>
                    <w:rPr>
                      <w:rFonts w:hint="eastAsia" w:eastAsia="宋体"/>
                      <w:b/>
                      <w:bCs/>
                      <w:color w:val="auto"/>
                      <w:szCs w:val="21"/>
                      <w:lang w:eastAsia="zh-CN"/>
                    </w:rPr>
                  </w:pPr>
                  <w:r>
                    <w:rPr>
                      <w:b/>
                      <w:bCs/>
                      <w:color w:val="auto"/>
                      <w:szCs w:val="21"/>
                    </w:rPr>
                    <w:t>图</w:t>
                  </w:r>
                  <w:r>
                    <w:rPr>
                      <w:rFonts w:hint="eastAsia"/>
                      <w:b/>
                      <w:bCs/>
                      <w:color w:val="auto"/>
                      <w:szCs w:val="21"/>
                    </w:rPr>
                    <w:t>2</w:t>
                  </w:r>
                  <w:r>
                    <w:rPr>
                      <w:rFonts w:hint="eastAsia"/>
                      <w:b/>
                      <w:bCs/>
                      <w:color w:val="auto"/>
                      <w:szCs w:val="21"/>
                      <w:lang w:val="en-US" w:eastAsia="zh-CN"/>
                    </w:rPr>
                    <w:t>.7</w:t>
                  </w:r>
                  <w:r>
                    <w:rPr>
                      <w:rFonts w:hint="eastAsia"/>
                      <w:b/>
                      <w:bCs/>
                      <w:color w:val="auto"/>
                      <w:szCs w:val="21"/>
                    </w:rPr>
                    <w:t>-</w:t>
                  </w:r>
                  <w:r>
                    <w:rPr>
                      <w:rFonts w:hint="eastAsia"/>
                      <w:b/>
                      <w:bCs/>
                      <w:color w:val="auto"/>
                      <w:szCs w:val="21"/>
                      <w:lang w:val="en-US" w:eastAsia="zh-CN"/>
                    </w:rPr>
                    <w:t>3</w:t>
                  </w:r>
                  <w:r>
                    <w:rPr>
                      <w:rFonts w:hint="eastAsia"/>
                      <w:b/>
                      <w:bCs/>
                      <w:color w:val="auto"/>
                      <w:szCs w:val="21"/>
                      <w:lang w:eastAsia="zh-CN"/>
                    </w:rPr>
                    <w:t>箱体钣金工艺流程图</w:t>
                  </w:r>
                </w:p>
              </w:tc>
            </w:tr>
          </w:tbl>
          <w:p w14:paraId="726DE946">
            <w:pPr>
              <w:snapToGrid w:val="0"/>
              <w:spacing w:line="360" w:lineRule="auto"/>
              <w:ind w:firstLine="482" w:firstLineChars="200"/>
              <w:rPr>
                <w:b/>
                <w:bCs/>
                <w:color w:val="auto"/>
                <w:kern w:val="0"/>
                <w:sz w:val="24"/>
              </w:rPr>
            </w:pPr>
            <w:r>
              <w:rPr>
                <w:rFonts w:hint="eastAsia"/>
                <w:b/>
                <w:bCs/>
                <w:color w:val="auto"/>
                <w:kern w:val="0"/>
                <w:sz w:val="24"/>
                <w:lang w:eastAsia="zh-CN"/>
              </w:rPr>
              <w:t>工艺</w:t>
            </w:r>
            <w:r>
              <w:rPr>
                <w:rFonts w:hint="eastAsia"/>
                <w:b/>
                <w:bCs/>
                <w:color w:val="auto"/>
                <w:kern w:val="0"/>
                <w:sz w:val="24"/>
              </w:rPr>
              <w:t>流程简述：</w:t>
            </w:r>
          </w:p>
          <w:p w14:paraId="180E5A60">
            <w:pPr>
              <w:numPr>
                <w:ilvl w:val="0"/>
                <w:numId w:val="0"/>
              </w:numPr>
              <w:spacing w:line="360" w:lineRule="auto"/>
              <w:ind w:left="0" w:leftChars="0" w:firstLine="480" w:firstLineChars="200"/>
              <w:rPr>
                <w:rFonts w:hint="eastAsia" w:cs="Times New Roman"/>
                <w:b w:val="0"/>
                <w:bCs w:val="0"/>
                <w:color w:val="auto"/>
                <w:kern w:val="2"/>
                <w:sz w:val="24"/>
                <w:szCs w:val="24"/>
                <w:lang w:val="en-US" w:eastAsia="zh-CN" w:bidi="ar-SA"/>
              </w:rPr>
            </w:pPr>
            <w:r>
              <w:rPr>
                <w:rFonts w:hint="eastAsia" w:cs="Times New Roman"/>
                <w:b w:val="0"/>
                <w:bCs w:val="0"/>
                <w:color w:val="auto"/>
                <w:kern w:val="2"/>
                <w:sz w:val="24"/>
                <w:szCs w:val="24"/>
                <w:lang w:val="en-US" w:eastAsia="zh-CN" w:bidi="ar-SA"/>
              </w:rPr>
              <w:t>切割：外购铁板根据各部件设计要求，利用激光切割机切割下料，切割工序产生少量粉尘废气G1；</w:t>
            </w:r>
          </w:p>
          <w:p w14:paraId="5257BF87">
            <w:pPr>
              <w:numPr>
                <w:ilvl w:val="0"/>
                <w:numId w:val="0"/>
              </w:numPr>
              <w:spacing w:line="360" w:lineRule="auto"/>
              <w:ind w:left="0" w:leftChars="0" w:firstLine="480" w:firstLineChars="200"/>
              <w:rPr>
                <w:rFonts w:hint="eastAsia"/>
                <w:b w:val="0"/>
                <w:bCs w:val="0"/>
                <w:color w:val="auto"/>
                <w:sz w:val="24"/>
              </w:rPr>
            </w:pPr>
            <w:r>
              <w:rPr>
                <w:rFonts w:hint="eastAsia"/>
                <w:b w:val="0"/>
                <w:bCs w:val="0"/>
                <w:color w:val="auto"/>
                <w:sz w:val="24"/>
                <w:lang w:eastAsia="zh-CN"/>
              </w:rPr>
              <w:t>打磨：切割后板材经手工打磨去除毛刺，打磨工序</w:t>
            </w:r>
            <w:r>
              <w:rPr>
                <w:rFonts w:hint="eastAsia" w:cs="Times New Roman"/>
                <w:b w:val="0"/>
                <w:bCs w:val="0"/>
                <w:color w:val="auto"/>
                <w:kern w:val="2"/>
                <w:sz w:val="24"/>
                <w:szCs w:val="24"/>
                <w:lang w:val="en-US" w:eastAsia="zh-CN" w:bidi="ar-SA"/>
              </w:rPr>
              <w:t>产生少量粉尘废气G4</w:t>
            </w:r>
            <w:r>
              <w:rPr>
                <w:rFonts w:hint="eastAsia"/>
                <w:b w:val="0"/>
                <w:bCs w:val="0"/>
                <w:color w:val="auto"/>
                <w:sz w:val="24"/>
              </w:rPr>
              <w:t>。</w:t>
            </w:r>
          </w:p>
          <w:p w14:paraId="2482280E">
            <w:pPr>
              <w:numPr>
                <w:ilvl w:val="0"/>
                <w:numId w:val="0"/>
              </w:numPr>
              <w:spacing w:line="360" w:lineRule="auto"/>
              <w:ind w:left="0" w:leftChars="0" w:firstLine="480" w:firstLineChars="200"/>
              <w:rPr>
                <w:rFonts w:hint="eastAsia"/>
                <w:b w:val="0"/>
                <w:bCs w:val="0"/>
                <w:color w:val="auto"/>
                <w:sz w:val="24"/>
                <w:lang w:eastAsia="zh-CN"/>
              </w:rPr>
            </w:pPr>
            <w:r>
              <w:rPr>
                <w:rFonts w:hint="eastAsia"/>
                <w:b w:val="0"/>
                <w:bCs w:val="0"/>
                <w:color w:val="auto"/>
                <w:sz w:val="24"/>
                <w:lang w:eastAsia="zh-CN"/>
              </w:rPr>
              <w:t>数控弯折：打磨后板材根据设计要求进行折弯；</w:t>
            </w:r>
          </w:p>
          <w:p w14:paraId="541E5C2E">
            <w:pPr>
              <w:numPr>
                <w:ilvl w:val="0"/>
                <w:numId w:val="0"/>
              </w:numPr>
              <w:spacing w:line="360" w:lineRule="auto"/>
              <w:ind w:left="0" w:leftChars="0" w:firstLine="480" w:firstLineChars="200"/>
              <w:rPr>
                <w:rFonts w:hint="eastAsia"/>
                <w:b w:val="0"/>
                <w:bCs w:val="0"/>
                <w:color w:val="auto"/>
                <w:sz w:val="24"/>
                <w:lang w:eastAsia="zh-CN"/>
              </w:rPr>
            </w:pPr>
            <w:r>
              <w:rPr>
                <w:rFonts w:hint="eastAsia"/>
                <w:b w:val="0"/>
                <w:bCs w:val="0"/>
                <w:color w:val="auto"/>
                <w:sz w:val="24"/>
                <w:lang w:eastAsia="zh-CN"/>
              </w:rPr>
              <w:t>焊接：弯折后板材根据设计要求进行焊接，焊接工序有少量焊接烟尘产生</w:t>
            </w:r>
            <w:r>
              <w:rPr>
                <w:rFonts w:hint="eastAsia"/>
                <w:b w:val="0"/>
                <w:bCs w:val="0"/>
                <w:color w:val="auto"/>
                <w:sz w:val="24"/>
                <w:lang w:val="en-US" w:eastAsia="zh-CN"/>
              </w:rPr>
              <w:t>G2</w:t>
            </w:r>
            <w:r>
              <w:rPr>
                <w:rFonts w:hint="eastAsia"/>
                <w:b w:val="0"/>
                <w:bCs w:val="0"/>
                <w:color w:val="auto"/>
                <w:sz w:val="24"/>
                <w:lang w:eastAsia="zh-CN"/>
              </w:rPr>
              <w:t>；</w:t>
            </w:r>
          </w:p>
          <w:p w14:paraId="4F8D5D77">
            <w:pPr>
              <w:numPr>
                <w:ilvl w:val="0"/>
                <w:numId w:val="0"/>
              </w:numPr>
              <w:spacing w:line="360" w:lineRule="auto"/>
              <w:ind w:left="0" w:leftChars="0" w:firstLine="480" w:firstLineChars="200"/>
              <w:rPr>
                <w:rFonts w:hint="eastAsia"/>
                <w:b w:val="0"/>
                <w:bCs w:val="0"/>
                <w:color w:val="auto"/>
                <w:sz w:val="24"/>
                <w:lang w:eastAsia="zh-CN"/>
              </w:rPr>
            </w:pPr>
            <w:r>
              <w:rPr>
                <w:rFonts w:hint="eastAsia"/>
                <w:b w:val="0"/>
                <w:bCs w:val="0"/>
                <w:color w:val="auto"/>
                <w:sz w:val="24"/>
                <w:lang w:eastAsia="zh-CN"/>
              </w:rPr>
              <w:t>喷砂打磨：根据设计要求进行喷砂打磨，该工序有少量粉尘废气产生</w:t>
            </w:r>
            <w:r>
              <w:rPr>
                <w:rFonts w:hint="eastAsia"/>
                <w:b w:val="0"/>
                <w:bCs w:val="0"/>
                <w:color w:val="auto"/>
                <w:sz w:val="24"/>
                <w:lang w:val="en-US" w:eastAsia="zh-CN"/>
              </w:rPr>
              <w:t>G5</w:t>
            </w:r>
            <w:r>
              <w:rPr>
                <w:rFonts w:hint="eastAsia"/>
                <w:b w:val="0"/>
                <w:bCs w:val="0"/>
                <w:color w:val="auto"/>
                <w:sz w:val="24"/>
                <w:lang w:eastAsia="zh-CN"/>
              </w:rPr>
              <w:t>；</w:t>
            </w:r>
          </w:p>
          <w:p w14:paraId="30FCAC40">
            <w:pPr>
              <w:numPr>
                <w:ilvl w:val="0"/>
                <w:numId w:val="0"/>
              </w:numPr>
              <w:spacing w:line="360" w:lineRule="auto"/>
              <w:ind w:left="0" w:leftChars="0" w:firstLine="480" w:firstLineChars="200"/>
              <w:rPr>
                <w:rFonts w:hint="eastAsia" w:eastAsia="宋体"/>
                <w:b w:val="0"/>
                <w:bCs w:val="0"/>
                <w:color w:val="auto"/>
                <w:sz w:val="24"/>
                <w:lang w:eastAsia="zh-CN"/>
              </w:rPr>
            </w:pPr>
            <w:r>
              <w:rPr>
                <w:rFonts w:hint="eastAsia"/>
                <w:b w:val="0"/>
                <w:bCs w:val="0"/>
                <w:color w:val="auto"/>
                <w:sz w:val="24"/>
                <w:lang w:eastAsia="zh-CN"/>
              </w:rPr>
              <w:t>脱脂：根据设计要求，喷砂打磨后部件需进行脱脂水洗，该工序有少量脱脂水洗废水</w:t>
            </w:r>
            <w:r>
              <w:rPr>
                <w:rFonts w:hint="eastAsia"/>
                <w:b w:val="0"/>
                <w:bCs w:val="0"/>
                <w:color w:val="auto"/>
                <w:sz w:val="24"/>
                <w:lang w:val="en-US" w:eastAsia="zh-CN"/>
              </w:rPr>
              <w:t>W1</w:t>
            </w:r>
            <w:r>
              <w:rPr>
                <w:rFonts w:hint="eastAsia"/>
                <w:b w:val="0"/>
                <w:bCs w:val="0"/>
                <w:color w:val="auto"/>
                <w:sz w:val="24"/>
                <w:lang w:eastAsia="zh-CN"/>
              </w:rPr>
              <w:t>产生；</w:t>
            </w:r>
          </w:p>
          <w:p w14:paraId="694B512A">
            <w:pPr>
              <w:numPr>
                <w:ilvl w:val="0"/>
                <w:numId w:val="0"/>
              </w:numPr>
              <w:spacing w:line="360" w:lineRule="auto"/>
              <w:ind w:left="0" w:leftChars="0" w:firstLine="480" w:firstLineChars="200"/>
              <w:rPr>
                <w:rFonts w:hint="eastAsia"/>
                <w:b w:val="0"/>
                <w:bCs w:val="0"/>
                <w:color w:val="auto"/>
                <w:sz w:val="24"/>
                <w:lang w:eastAsia="zh-CN"/>
              </w:rPr>
            </w:pPr>
            <w:r>
              <w:rPr>
                <w:rFonts w:hint="eastAsia"/>
                <w:b w:val="0"/>
                <w:bCs w:val="0"/>
                <w:color w:val="auto"/>
                <w:sz w:val="24"/>
                <w:lang w:eastAsia="zh-CN"/>
              </w:rPr>
              <w:t>表面处理：经喷砂打磨处理后工件需进行表面处理（喷塑），</w:t>
            </w:r>
            <w:r>
              <w:rPr>
                <w:rFonts w:hint="eastAsia"/>
                <w:b/>
                <w:bCs/>
                <w:color w:val="auto"/>
                <w:sz w:val="24"/>
                <w:lang w:eastAsia="zh-CN"/>
              </w:rPr>
              <w:t>该工序委外处置</w:t>
            </w:r>
            <w:r>
              <w:rPr>
                <w:rFonts w:hint="eastAsia"/>
                <w:b w:val="0"/>
                <w:bCs w:val="0"/>
                <w:color w:val="auto"/>
                <w:sz w:val="24"/>
                <w:lang w:eastAsia="zh-CN"/>
              </w:rPr>
              <w:t>；</w:t>
            </w:r>
          </w:p>
          <w:p w14:paraId="638F253D">
            <w:pPr>
              <w:numPr>
                <w:ilvl w:val="0"/>
                <w:numId w:val="0"/>
              </w:numPr>
              <w:spacing w:line="360" w:lineRule="auto"/>
              <w:ind w:left="0" w:leftChars="0" w:firstLine="480" w:firstLineChars="200"/>
              <w:rPr>
                <w:rFonts w:hint="eastAsia"/>
                <w:b w:val="0"/>
                <w:bCs w:val="0"/>
                <w:color w:val="auto"/>
                <w:sz w:val="24"/>
                <w:lang w:eastAsia="zh-CN"/>
              </w:rPr>
            </w:pPr>
            <w:r>
              <w:rPr>
                <w:rFonts w:hint="eastAsia"/>
                <w:b w:val="0"/>
                <w:bCs w:val="0"/>
                <w:color w:val="auto"/>
                <w:sz w:val="24"/>
                <w:lang w:eastAsia="zh-CN"/>
              </w:rPr>
              <w:t>装配：处理后板材按设计要求装配后作为箱体配件待用。</w:t>
            </w:r>
          </w:p>
          <w:p w14:paraId="3A09029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auto"/>
                <w:sz w:val="24"/>
                <w:highlight w:val="none"/>
                <w:lang w:eastAsia="zh-CN"/>
              </w:rPr>
            </w:pPr>
            <w:r>
              <w:rPr>
                <w:rFonts w:hint="eastAsia" w:cs="Times New Roman"/>
                <w:color w:val="auto"/>
                <w:sz w:val="24"/>
                <w:highlight w:val="none"/>
                <w:lang w:eastAsia="zh-CN"/>
              </w:rPr>
              <w:t>（</w:t>
            </w:r>
            <w:r>
              <w:rPr>
                <w:rFonts w:hint="eastAsia" w:cs="Times New Roman"/>
                <w:color w:val="auto"/>
                <w:sz w:val="24"/>
                <w:highlight w:val="none"/>
                <w:lang w:val="en-US" w:eastAsia="zh-CN"/>
              </w:rPr>
              <w:t>4</w:t>
            </w:r>
            <w:r>
              <w:rPr>
                <w:rFonts w:hint="eastAsia" w:cs="Times New Roman"/>
                <w:color w:val="auto"/>
                <w:sz w:val="24"/>
                <w:highlight w:val="none"/>
                <w:lang w:eastAsia="zh-CN"/>
              </w:rPr>
              <w:t>）烟管钣金</w:t>
            </w:r>
            <w:r>
              <w:rPr>
                <w:rFonts w:hint="eastAsia" w:ascii="Times New Roman" w:hAnsi="Times New Roman" w:eastAsia="宋体" w:cs="Times New Roman"/>
                <w:color w:val="auto"/>
                <w:sz w:val="24"/>
                <w:highlight w:val="none"/>
                <w:lang w:eastAsia="zh-CN"/>
              </w:rPr>
              <w:t>工艺流程框图如下：</w:t>
            </w:r>
          </w:p>
          <w:tbl>
            <w:tblPr>
              <w:tblStyle w:val="32"/>
              <w:tblW w:w="8039"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039"/>
            </w:tblGrid>
            <w:tr w14:paraId="46A86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039" w:type="dxa"/>
                </w:tcPr>
                <w:p w14:paraId="3D57FE35">
                  <w:pPr>
                    <w:jc w:val="center"/>
                    <w:rPr>
                      <w:rFonts w:hint="eastAsia" w:eastAsia="宋体"/>
                      <w:b/>
                      <w:bCs/>
                      <w:color w:val="auto"/>
                      <w:szCs w:val="21"/>
                      <w:lang w:eastAsia="zh-CN"/>
                    </w:rPr>
                  </w:pPr>
                  <w:r>
                    <w:rPr>
                      <w:rFonts w:hint="eastAsia" w:eastAsia="宋体"/>
                      <w:b/>
                      <w:bCs/>
                      <w:color w:val="auto"/>
                      <w:szCs w:val="21"/>
                      <w:lang w:eastAsia="zh-CN"/>
                    </w:rPr>
                    <w:drawing>
                      <wp:inline distT="0" distB="0" distL="114300" distR="114300">
                        <wp:extent cx="4435475" cy="1778000"/>
                        <wp:effectExtent l="0" t="0" r="3175" b="12700"/>
                        <wp:docPr id="208" name="ECB019B1-382A-4266-B25C-5B523AA43C14-6" descr="C:/Users/Administrator/AppData/Local/Temp/wps.kEwEVc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ECB019B1-382A-4266-B25C-5B523AA43C14-6" descr="C:/Users/Administrator/AppData/Local/Temp/wps.kEwEVcwps"/>
                                <pic:cNvPicPr>
                                  <a:picLocks noChangeAspect="1"/>
                                </pic:cNvPicPr>
                              </pic:nvPicPr>
                              <pic:blipFill>
                                <a:blip r:embed="rId13"/>
                                <a:stretch>
                                  <a:fillRect/>
                                </a:stretch>
                              </pic:blipFill>
                              <pic:spPr>
                                <a:xfrm>
                                  <a:off x="0" y="0"/>
                                  <a:ext cx="4435475" cy="1778000"/>
                                </a:xfrm>
                                <a:prstGeom prst="rect">
                                  <a:avLst/>
                                </a:prstGeom>
                              </pic:spPr>
                            </pic:pic>
                          </a:graphicData>
                        </a:graphic>
                      </wp:inline>
                    </w:drawing>
                  </w:r>
                </w:p>
              </w:tc>
            </w:tr>
            <w:tr w14:paraId="14CA2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039" w:type="dxa"/>
                </w:tcPr>
                <w:p w14:paraId="73D0217B">
                  <w:pPr>
                    <w:jc w:val="center"/>
                    <w:rPr>
                      <w:rFonts w:hint="eastAsia" w:eastAsia="宋体"/>
                      <w:b/>
                      <w:bCs/>
                      <w:color w:val="auto"/>
                      <w:szCs w:val="21"/>
                      <w:highlight w:val="none"/>
                      <w:lang w:eastAsia="zh-CN"/>
                    </w:rPr>
                  </w:pPr>
                  <w:r>
                    <w:rPr>
                      <w:b/>
                      <w:bCs/>
                      <w:color w:val="auto"/>
                      <w:szCs w:val="21"/>
                      <w:highlight w:val="none"/>
                    </w:rPr>
                    <w:t>图</w:t>
                  </w:r>
                  <w:r>
                    <w:rPr>
                      <w:rFonts w:hint="eastAsia"/>
                      <w:b/>
                      <w:bCs/>
                      <w:color w:val="auto"/>
                      <w:szCs w:val="21"/>
                      <w:highlight w:val="none"/>
                    </w:rPr>
                    <w:t>2</w:t>
                  </w:r>
                  <w:r>
                    <w:rPr>
                      <w:rFonts w:hint="eastAsia"/>
                      <w:b/>
                      <w:bCs/>
                      <w:color w:val="auto"/>
                      <w:szCs w:val="21"/>
                      <w:highlight w:val="none"/>
                      <w:lang w:val="en-US" w:eastAsia="zh-CN"/>
                    </w:rPr>
                    <w:t>.7</w:t>
                  </w:r>
                  <w:r>
                    <w:rPr>
                      <w:rFonts w:hint="eastAsia"/>
                      <w:b/>
                      <w:bCs/>
                      <w:color w:val="auto"/>
                      <w:szCs w:val="21"/>
                      <w:highlight w:val="none"/>
                    </w:rPr>
                    <w:t>-</w:t>
                  </w:r>
                  <w:r>
                    <w:rPr>
                      <w:rFonts w:hint="eastAsia"/>
                      <w:b/>
                      <w:bCs/>
                      <w:color w:val="auto"/>
                      <w:szCs w:val="21"/>
                      <w:highlight w:val="none"/>
                      <w:lang w:val="en-US" w:eastAsia="zh-CN"/>
                    </w:rPr>
                    <w:t>4</w:t>
                  </w:r>
                  <w:r>
                    <w:rPr>
                      <w:rFonts w:hint="eastAsia"/>
                      <w:b/>
                      <w:bCs/>
                      <w:color w:val="auto"/>
                      <w:szCs w:val="21"/>
                      <w:highlight w:val="none"/>
                      <w:lang w:eastAsia="zh-CN"/>
                    </w:rPr>
                    <w:t>烟管钣金工艺流程图</w:t>
                  </w:r>
                </w:p>
              </w:tc>
            </w:tr>
          </w:tbl>
          <w:p w14:paraId="6220E450">
            <w:pPr>
              <w:numPr>
                <w:ilvl w:val="0"/>
                <w:numId w:val="0"/>
              </w:numPr>
              <w:spacing w:line="360" w:lineRule="auto"/>
              <w:ind w:left="0" w:leftChars="0" w:firstLine="480" w:firstLineChars="200"/>
              <w:rPr>
                <w:rFonts w:hint="eastAsia" w:cs="Times New Roman"/>
                <w:b w:val="0"/>
                <w:bCs w:val="0"/>
                <w:color w:val="auto"/>
                <w:kern w:val="2"/>
                <w:sz w:val="24"/>
                <w:szCs w:val="24"/>
                <w:lang w:val="en-US" w:eastAsia="zh-CN" w:bidi="ar-SA"/>
              </w:rPr>
            </w:pPr>
            <w:r>
              <w:rPr>
                <w:rFonts w:hint="eastAsia" w:cs="Times New Roman"/>
                <w:b w:val="0"/>
                <w:bCs w:val="0"/>
                <w:color w:val="auto"/>
                <w:kern w:val="2"/>
                <w:sz w:val="24"/>
                <w:szCs w:val="24"/>
                <w:lang w:val="en-US" w:eastAsia="zh-CN" w:bidi="ar-SA"/>
              </w:rPr>
              <w:t>切割：外购铁板根据各部件设计要求，利用激光切割机切割下料，切割工序产生少量粉尘废气G1；</w:t>
            </w:r>
          </w:p>
          <w:p w14:paraId="5D6DCAA9">
            <w:pPr>
              <w:numPr>
                <w:ilvl w:val="0"/>
                <w:numId w:val="0"/>
              </w:numPr>
              <w:spacing w:line="360" w:lineRule="auto"/>
              <w:ind w:left="0" w:leftChars="0" w:firstLine="480" w:firstLineChars="200"/>
              <w:rPr>
                <w:rFonts w:hint="eastAsia"/>
                <w:b w:val="0"/>
                <w:bCs w:val="0"/>
                <w:color w:val="auto"/>
                <w:sz w:val="24"/>
                <w:lang w:eastAsia="zh-CN"/>
              </w:rPr>
            </w:pPr>
            <w:r>
              <w:rPr>
                <w:rFonts w:hint="eastAsia"/>
                <w:b w:val="0"/>
                <w:bCs w:val="0"/>
                <w:color w:val="auto"/>
                <w:sz w:val="24"/>
                <w:lang w:eastAsia="zh-CN"/>
              </w:rPr>
              <w:t>胀管：根据设计要求通过胀管机对材料进行塑性变形；</w:t>
            </w:r>
          </w:p>
          <w:p w14:paraId="649D34E2">
            <w:pPr>
              <w:numPr>
                <w:ilvl w:val="0"/>
                <w:numId w:val="0"/>
              </w:numPr>
              <w:spacing w:line="360" w:lineRule="auto"/>
              <w:ind w:left="0" w:leftChars="0" w:firstLine="480" w:firstLineChars="200"/>
              <w:rPr>
                <w:rFonts w:hint="eastAsia"/>
                <w:b w:val="0"/>
                <w:bCs w:val="0"/>
                <w:color w:val="auto"/>
                <w:sz w:val="24"/>
                <w:lang w:eastAsia="zh-CN"/>
              </w:rPr>
            </w:pPr>
            <w:r>
              <w:rPr>
                <w:rFonts w:hint="eastAsia"/>
                <w:b w:val="0"/>
                <w:bCs w:val="0"/>
                <w:color w:val="auto"/>
                <w:sz w:val="24"/>
                <w:lang w:eastAsia="zh-CN"/>
              </w:rPr>
              <w:t>焊接：胀管后根据设计要求进行焊接，焊接工序有少量焊接烟尘产生</w:t>
            </w:r>
            <w:r>
              <w:rPr>
                <w:rFonts w:hint="eastAsia"/>
                <w:b w:val="0"/>
                <w:bCs w:val="0"/>
                <w:color w:val="auto"/>
                <w:sz w:val="24"/>
                <w:lang w:val="en-US" w:eastAsia="zh-CN"/>
              </w:rPr>
              <w:t>G2</w:t>
            </w:r>
            <w:r>
              <w:rPr>
                <w:rFonts w:hint="eastAsia"/>
                <w:b w:val="0"/>
                <w:bCs w:val="0"/>
                <w:color w:val="auto"/>
                <w:sz w:val="24"/>
                <w:lang w:eastAsia="zh-CN"/>
              </w:rPr>
              <w:t>；</w:t>
            </w:r>
          </w:p>
          <w:p w14:paraId="7DE67E24">
            <w:pPr>
              <w:numPr>
                <w:ilvl w:val="0"/>
                <w:numId w:val="0"/>
              </w:numPr>
              <w:spacing w:line="360" w:lineRule="auto"/>
              <w:ind w:left="0" w:leftChars="0" w:firstLine="480" w:firstLineChars="200"/>
              <w:rPr>
                <w:rFonts w:hint="eastAsia"/>
                <w:b w:val="0"/>
                <w:bCs w:val="0"/>
                <w:color w:val="auto"/>
                <w:sz w:val="24"/>
                <w:lang w:eastAsia="zh-CN"/>
              </w:rPr>
            </w:pPr>
            <w:r>
              <w:rPr>
                <w:rFonts w:hint="eastAsia"/>
                <w:b w:val="0"/>
                <w:bCs w:val="0"/>
                <w:color w:val="auto"/>
                <w:sz w:val="24"/>
                <w:lang w:eastAsia="zh-CN"/>
              </w:rPr>
              <w:t>喷砂打磨：根据设计要求进行喷砂打磨，该工序有少量粉尘废气产生</w:t>
            </w:r>
            <w:r>
              <w:rPr>
                <w:rFonts w:hint="eastAsia"/>
                <w:b w:val="0"/>
                <w:bCs w:val="0"/>
                <w:color w:val="auto"/>
                <w:sz w:val="24"/>
                <w:lang w:val="en-US" w:eastAsia="zh-CN"/>
              </w:rPr>
              <w:t>G5</w:t>
            </w:r>
            <w:r>
              <w:rPr>
                <w:rFonts w:hint="eastAsia"/>
                <w:b w:val="0"/>
                <w:bCs w:val="0"/>
                <w:color w:val="auto"/>
                <w:sz w:val="24"/>
                <w:lang w:eastAsia="zh-CN"/>
              </w:rPr>
              <w:t>；</w:t>
            </w:r>
          </w:p>
          <w:p w14:paraId="0880D96E">
            <w:pPr>
              <w:numPr>
                <w:ilvl w:val="0"/>
                <w:numId w:val="0"/>
              </w:numPr>
              <w:spacing w:line="360" w:lineRule="auto"/>
              <w:ind w:left="0" w:leftChars="0" w:firstLine="480" w:firstLineChars="200"/>
              <w:rPr>
                <w:rFonts w:hint="eastAsia"/>
                <w:b w:val="0"/>
                <w:bCs w:val="0"/>
                <w:color w:val="auto"/>
                <w:sz w:val="24"/>
                <w:lang w:eastAsia="zh-CN"/>
              </w:rPr>
            </w:pPr>
            <w:r>
              <w:rPr>
                <w:rFonts w:hint="eastAsia"/>
                <w:b w:val="0"/>
                <w:bCs w:val="0"/>
                <w:color w:val="auto"/>
                <w:sz w:val="24"/>
                <w:lang w:eastAsia="zh-CN"/>
              </w:rPr>
              <w:t>表面处理：经喷砂打磨处理后工件需进行表面处理（喷漆），</w:t>
            </w:r>
            <w:r>
              <w:rPr>
                <w:rFonts w:hint="eastAsia"/>
                <w:b/>
                <w:bCs/>
                <w:color w:val="auto"/>
                <w:sz w:val="24"/>
                <w:lang w:eastAsia="zh-CN"/>
              </w:rPr>
              <w:t>该工序委外处置</w:t>
            </w:r>
            <w:r>
              <w:rPr>
                <w:rFonts w:hint="eastAsia"/>
                <w:b w:val="0"/>
                <w:bCs w:val="0"/>
                <w:color w:val="auto"/>
                <w:sz w:val="24"/>
                <w:lang w:eastAsia="zh-CN"/>
              </w:rPr>
              <w:t>；</w:t>
            </w:r>
          </w:p>
          <w:p w14:paraId="7DC103D4">
            <w:pPr>
              <w:numPr>
                <w:ilvl w:val="0"/>
                <w:numId w:val="0"/>
              </w:numPr>
              <w:spacing w:line="360" w:lineRule="auto"/>
              <w:ind w:left="0" w:leftChars="0" w:firstLine="480" w:firstLineChars="200"/>
              <w:rPr>
                <w:rFonts w:hint="eastAsia"/>
                <w:b w:val="0"/>
                <w:bCs w:val="0"/>
                <w:color w:val="auto"/>
                <w:sz w:val="24"/>
                <w:lang w:eastAsia="zh-CN"/>
              </w:rPr>
            </w:pPr>
            <w:r>
              <w:rPr>
                <w:rFonts w:hint="eastAsia"/>
                <w:b w:val="0"/>
                <w:bCs w:val="0"/>
                <w:color w:val="auto"/>
                <w:sz w:val="24"/>
                <w:lang w:eastAsia="zh-CN"/>
              </w:rPr>
              <w:t>隔热棉包装：经表面处理后工件手工进行隔热棉包装；</w:t>
            </w:r>
          </w:p>
          <w:p w14:paraId="3A6F80C4">
            <w:pPr>
              <w:numPr>
                <w:ilvl w:val="0"/>
                <w:numId w:val="0"/>
              </w:numPr>
              <w:spacing w:line="360" w:lineRule="auto"/>
              <w:ind w:left="0" w:leftChars="0" w:firstLine="480" w:firstLineChars="200"/>
              <w:rPr>
                <w:rFonts w:hint="eastAsia"/>
                <w:b w:val="0"/>
                <w:bCs w:val="0"/>
                <w:color w:val="auto"/>
                <w:sz w:val="24"/>
                <w:lang w:eastAsia="zh-CN"/>
              </w:rPr>
            </w:pPr>
            <w:r>
              <w:rPr>
                <w:rFonts w:hint="eastAsia"/>
                <w:b w:val="0"/>
                <w:bCs w:val="0"/>
                <w:color w:val="auto"/>
                <w:sz w:val="24"/>
                <w:lang w:eastAsia="zh-CN"/>
              </w:rPr>
              <w:t>装配：处理后材料按设计要求装配后作为烟管配件待用。</w:t>
            </w:r>
          </w:p>
          <w:p w14:paraId="2EC408F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auto"/>
                <w:sz w:val="24"/>
                <w:highlight w:val="none"/>
                <w:lang w:eastAsia="zh-CN"/>
              </w:rPr>
            </w:pPr>
            <w:r>
              <w:rPr>
                <w:rFonts w:hint="eastAsia" w:cs="Times New Roman"/>
                <w:color w:val="auto"/>
                <w:sz w:val="24"/>
                <w:highlight w:val="none"/>
                <w:lang w:eastAsia="zh-CN"/>
              </w:rPr>
              <w:t>（</w:t>
            </w:r>
            <w:r>
              <w:rPr>
                <w:rFonts w:hint="eastAsia" w:cs="Times New Roman"/>
                <w:color w:val="auto"/>
                <w:sz w:val="24"/>
                <w:highlight w:val="none"/>
                <w:lang w:val="en-US" w:eastAsia="zh-CN"/>
              </w:rPr>
              <w:t>5</w:t>
            </w:r>
            <w:r>
              <w:rPr>
                <w:rFonts w:hint="eastAsia" w:cs="Times New Roman"/>
                <w:color w:val="auto"/>
                <w:sz w:val="24"/>
                <w:highlight w:val="none"/>
                <w:lang w:eastAsia="zh-CN"/>
              </w:rPr>
              <w:t>）消声器钣金</w:t>
            </w:r>
            <w:r>
              <w:rPr>
                <w:rFonts w:hint="eastAsia" w:ascii="Times New Roman" w:hAnsi="Times New Roman" w:eastAsia="宋体" w:cs="Times New Roman"/>
                <w:color w:val="auto"/>
                <w:sz w:val="24"/>
                <w:highlight w:val="none"/>
                <w:lang w:eastAsia="zh-CN"/>
              </w:rPr>
              <w:t>工艺流程框图如下：</w:t>
            </w:r>
          </w:p>
          <w:tbl>
            <w:tblPr>
              <w:tblStyle w:val="32"/>
              <w:tblW w:w="8039"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039"/>
            </w:tblGrid>
            <w:tr w14:paraId="0E58C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039" w:type="dxa"/>
                </w:tcPr>
                <w:p w14:paraId="1313494F">
                  <w:pPr>
                    <w:jc w:val="center"/>
                    <w:rPr>
                      <w:rFonts w:hint="eastAsia" w:eastAsia="宋体"/>
                      <w:b/>
                      <w:bCs/>
                      <w:color w:val="auto"/>
                      <w:szCs w:val="21"/>
                      <w:lang w:eastAsia="zh-CN"/>
                    </w:rPr>
                  </w:pPr>
                  <w:r>
                    <w:rPr>
                      <w:rFonts w:hint="eastAsia" w:eastAsia="宋体"/>
                      <w:b/>
                      <w:bCs/>
                      <w:color w:val="auto"/>
                      <w:szCs w:val="21"/>
                      <w:lang w:eastAsia="zh-CN"/>
                    </w:rPr>
                    <w:drawing>
                      <wp:inline distT="0" distB="0" distL="114300" distR="114300">
                        <wp:extent cx="4954270" cy="1892935"/>
                        <wp:effectExtent l="0" t="0" r="0" b="0"/>
                        <wp:docPr id="217" name="ECB019B1-382A-4266-B25C-5B523AA43C14-7" descr="C:/Users/Administrator/AppData/Local/Temp/wps.mcqLDL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ECB019B1-382A-4266-B25C-5B523AA43C14-7" descr="C:/Users/Administrator/AppData/Local/Temp/wps.mcqLDLwps"/>
                                <pic:cNvPicPr>
                                  <a:picLocks noChangeAspect="1"/>
                                </pic:cNvPicPr>
                              </pic:nvPicPr>
                              <pic:blipFill>
                                <a:blip r:embed="rId14"/>
                                <a:stretch>
                                  <a:fillRect/>
                                </a:stretch>
                              </pic:blipFill>
                              <pic:spPr>
                                <a:xfrm>
                                  <a:off x="0" y="0"/>
                                  <a:ext cx="4954270" cy="1892935"/>
                                </a:xfrm>
                                <a:prstGeom prst="rect">
                                  <a:avLst/>
                                </a:prstGeom>
                              </pic:spPr>
                            </pic:pic>
                          </a:graphicData>
                        </a:graphic>
                      </wp:inline>
                    </w:drawing>
                  </w:r>
                </w:p>
              </w:tc>
            </w:tr>
            <w:tr w14:paraId="5261F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039" w:type="dxa"/>
                </w:tcPr>
                <w:p w14:paraId="2E9EDB69">
                  <w:pPr>
                    <w:jc w:val="center"/>
                    <w:rPr>
                      <w:rFonts w:hint="eastAsia" w:eastAsia="宋体"/>
                      <w:b/>
                      <w:bCs/>
                      <w:color w:val="auto"/>
                      <w:szCs w:val="21"/>
                      <w:lang w:eastAsia="zh-CN"/>
                    </w:rPr>
                  </w:pPr>
                  <w:r>
                    <w:rPr>
                      <w:b/>
                      <w:bCs/>
                      <w:color w:val="auto"/>
                      <w:szCs w:val="21"/>
                    </w:rPr>
                    <w:t>图</w:t>
                  </w:r>
                  <w:r>
                    <w:rPr>
                      <w:rFonts w:hint="eastAsia"/>
                      <w:b/>
                      <w:bCs/>
                      <w:color w:val="auto"/>
                      <w:szCs w:val="21"/>
                    </w:rPr>
                    <w:t>2</w:t>
                  </w:r>
                  <w:r>
                    <w:rPr>
                      <w:rFonts w:hint="eastAsia"/>
                      <w:b/>
                      <w:bCs/>
                      <w:color w:val="auto"/>
                      <w:szCs w:val="21"/>
                      <w:lang w:val="en-US" w:eastAsia="zh-CN"/>
                    </w:rPr>
                    <w:t>.7</w:t>
                  </w:r>
                  <w:r>
                    <w:rPr>
                      <w:rFonts w:hint="eastAsia"/>
                      <w:b/>
                      <w:bCs/>
                      <w:color w:val="auto"/>
                      <w:szCs w:val="21"/>
                    </w:rPr>
                    <w:t>-</w:t>
                  </w:r>
                  <w:r>
                    <w:rPr>
                      <w:rFonts w:hint="eastAsia"/>
                      <w:b/>
                      <w:bCs/>
                      <w:color w:val="auto"/>
                      <w:szCs w:val="21"/>
                      <w:lang w:val="en-US" w:eastAsia="zh-CN"/>
                    </w:rPr>
                    <w:t>5</w:t>
                  </w:r>
                  <w:r>
                    <w:rPr>
                      <w:rFonts w:hint="eastAsia"/>
                      <w:b/>
                      <w:bCs/>
                      <w:color w:val="auto"/>
                      <w:szCs w:val="21"/>
                      <w:lang w:eastAsia="zh-CN"/>
                    </w:rPr>
                    <w:t>消声管钣金工艺流程图</w:t>
                  </w:r>
                </w:p>
              </w:tc>
            </w:tr>
          </w:tbl>
          <w:p w14:paraId="6F1DB3BC">
            <w:pPr>
              <w:snapToGrid w:val="0"/>
              <w:spacing w:line="360" w:lineRule="auto"/>
              <w:ind w:firstLine="482" w:firstLineChars="200"/>
              <w:rPr>
                <w:b/>
                <w:bCs/>
                <w:color w:val="auto"/>
                <w:kern w:val="0"/>
                <w:sz w:val="24"/>
              </w:rPr>
            </w:pPr>
            <w:r>
              <w:rPr>
                <w:rFonts w:hint="eastAsia"/>
                <w:b/>
                <w:bCs/>
                <w:color w:val="auto"/>
                <w:kern w:val="0"/>
                <w:sz w:val="24"/>
                <w:lang w:eastAsia="zh-CN"/>
              </w:rPr>
              <w:t>工艺</w:t>
            </w:r>
            <w:r>
              <w:rPr>
                <w:rFonts w:hint="eastAsia"/>
                <w:b/>
                <w:bCs/>
                <w:color w:val="auto"/>
                <w:kern w:val="0"/>
                <w:sz w:val="24"/>
              </w:rPr>
              <w:t>流程简述：</w:t>
            </w:r>
          </w:p>
          <w:p w14:paraId="5B17F2A3">
            <w:pPr>
              <w:numPr>
                <w:ilvl w:val="0"/>
                <w:numId w:val="0"/>
              </w:numPr>
              <w:spacing w:line="360" w:lineRule="auto"/>
              <w:ind w:left="0" w:leftChars="0" w:firstLine="480" w:firstLineChars="200"/>
              <w:rPr>
                <w:rFonts w:hint="eastAsia" w:cs="Times New Roman"/>
                <w:b w:val="0"/>
                <w:bCs w:val="0"/>
                <w:color w:val="auto"/>
                <w:kern w:val="2"/>
                <w:sz w:val="24"/>
                <w:szCs w:val="24"/>
                <w:lang w:val="en-US" w:eastAsia="zh-CN" w:bidi="ar-SA"/>
              </w:rPr>
            </w:pPr>
            <w:r>
              <w:rPr>
                <w:rFonts w:hint="eastAsia" w:cs="Times New Roman"/>
                <w:b w:val="0"/>
                <w:bCs w:val="0"/>
                <w:color w:val="auto"/>
                <w:kern w:val="2"/>
                <w:sz w:val="24"/>
                <w:szCs w:val="24"/>
                <w:lang w:val="en-US" w:eastAsia="zh-CN" w:bidi="ar-SA"/>
              </w:rPr>
              <w:t>切割：外购铁板根据各部件设计要求，利用激光切割机进行切割下料，切割工序产生少量粉尘废气G1；</w:t>
            </w:r>
          </w:p>
          <w:p w14:paraId="32D00C01">
            <w:pPr>
              <w:numPr>
                <w:ilvl w:val="0"/>
                <w:numId w:val="0"/>
              </w:numPr>
              <w:spacing w:line="360" w:lineRule="auto"/>
              <w:ind w:left="0" w:leftChars="0" w:firstLine="480" w:firstLineChars="200"/>
              <w:rPr>
                <w:rFonts w:hint="eastAsia"/>
                <w:b w:val="0"/>
                <w:bCs w:val="0"/>
                <w:color w:val="auto"/>
                <w:sz w:val="24"/>
                <w:lang w:eastAsia="zh-CN"/>
              </w:rPr>
            </w:pPr>
            <w:r>
              <w:rPr>
                <w:rFonts w:hint="eastAsia"/>
                <w:b w:val="0"/>
                <w:bCs w:val="0"/>
                <w:color w:val="auto"/>
                <w:sz w:val="24"/>
                <w:lang w:eastAsia="zh-CN"/>
              </w:rPr>
              <w:t>数控弯折：板材根据设计要求进行折弯；</w:t>
            </w:r>
          </w:p>
          <w:p w14:paraId="50A15AB7">
            <w:pPr>
              <w:numPr>
                <w:ilvl w:val="0"/>
                <w:numId w:val="0"/>
              </w:numPr>
              <w:spacing w:line="360" w:lineRule="auto"/>
              <w:ind w:left="0" w:leftChars="0" w:firstLine="480" w:firstLineChars="200"/>
              <w:rPr>
                <w:rFonts w:hint="eastAsia"/>
                <w:b w:val="0"/>
                <w:bCs w:val="0"/>
                <w:color w:val="auto"/>
                <w:sz w:val="24"/>
                <w:lang w:eastAsia="zh-CN"/>
              </w:rPr>
            </w:pPr>
            <w:r>
              <w:rPr>
                <w:rFonts w:hint="eastAsia"/>
                <w:b w:val="0"/>
                <w:bCs w:val="0"/>
                <w:color w:val="auto"/>
                <w:sz w:val="24"/>
                <w:lang w:eastAsia="zh-CN"/>
              </w:rPr>
              <w:t>切割开孔：板材根据设计要求，利用切割机进行切割开孔；</w:t>
            </w:r>
            <w:r>
              <w:rPr>
                <w:rFonts w:hint="eastAsia" w:cs="Times New Roman"/>
                <w:b w:val="0"/>
                <w:bCs w:val="0"/>
                <w:color w:val="auto"/>
                <w:kern w:val="2"/>
                <w:sz w:val="24"/>
                <w:szCs w:val="24"/>
                <w:lang w:val="en-US" w:eastAsia="zh-CN" w:bidi="ar-SA"/>
              </w:rPr>
              <w:t>切割工序产生少量粉尘废气G1；</w:t>
            </w:r>
          </w:p>
          <w:p w14:paraId="2714307C">
            <w:pPr>
              <w:numPr>
                <w:ilvl w:val="0"/>
                <w:numId w:val="0"/>
              </w:numPr>
              <w:spacing w:line="360" w:lineRule="auto"/>
              <w:ind w:left="0" w:leftChars="0" w:firstLine="480" w:firstLineChars="200"/>
              <w:rPr>
                <w:rFonts w:hint="eastAsia"/>
                <w:b w:val="0"/>
                <w:bCs w:val="0"/>
                <w:color w:val="auto"/>
                <w:sz w:val="24"/>
                <w:lang w:eastAsia="zh-CN"/>
              </w:rPr>
            </w:pPr>
            <w:r>
              <w:rPr>
                <w:rFonts w:hint="eastAsia"/>
                <w:b w:val="0"/>
                <w:bCs w:val="0"/>
                <w:color w:val="auto"/>
                <w:sz w:val="24"/>
                <w:lang w:eastAsia="zh-CN"/>
              </w:rPr>
              <w:t>焊接：板材根据设计要求进行筒体及内部焊接，焊接工序有少量焊接烟尘产生</w:t>
            </w:r>
            <w:r>
              <w:rPr>
                <w:rFonts w:hint="eastAsia"/>
                <w:b w:val="0"/>
                <w:bCs w:val="0"/>
                <w:color w:val="auto"/>
                <w:sz w:val="24"/>
                <w:lang w:val="en-US" w:eastAsia="zh-CN"/>
              </w:rPr>
              <w:t>G2</w:t>
            </w:r>
            <w:r>
              <w:rPr>
                <w:rFonts w:hint="eastAsia"/>
                <w:b w:val="0"/>
                <w:bCs w:val="0"/>
                <w:color w:val="auto"/>
                <w:sz w:val="24"/>
                <w:lang w:eastAsia="zh-CN"/>
              </w:rPr>
              <w:t>；</w:t>
            </w:r>
          </w:p>
          <w:p w14:paraId="6A1DCE36">
            <w:pPr>
              <w:numPr>
                <w:ilvl w:val="0"/>
                <w:numId w:val="0"/>
              </w:numPr>
              <w:spacing w:line="360" w:lineRule="auto"/>
              <w:ind w:left="0" w:leftChars="0" w:firstLine="480" w:firstLineChars="200"/>
              <w:rPr>
                <w:rFonts w:hint="eastAsia"/>
                <w:b w:val="0"/>
                <w:bCs w:val="0"/>
                <w:color w:val="auto"/>
                <w:sz w:val="24"/>
                <w:lang w:eastAsia="zh-CN"/>
              </w:rPr>
            </w:pPr>
            <w:r>
              <w:rPr>
                <w:rFonts w:hint="eastAsia"/>
                <w:b w:val="0"/>
                <w:bCs w:val="0"/>
                <w:color w:val="auto"/>
                <w:sz w:val="24"/>
                <w:lang w:eastAsia="zh-CN"/>
              </w:rPr>
              <w:t>塞棉：根据工艺要求，将消声棉塞入消声器腔体内；</w:t>
            </w:r>
          </w:p>
          <w:p w14:paraId="42631F48">
            <w:pPr>
              <w:numPr>
                <w:ilvl w:val="0"/>
                <w:numId w:val="0"/>
              </w:numPr>
              <w:spacing w:line="360" w:lineRule="auto"/>
              <w:ind w:left="0" w:leftChars="0" w:firstLine="480" w:firstLineChars="200"/>
              <w:rPr>
                <w:rFonts w:hint="eastAsia"/>
                <w:b w:val="0"/>
                <w:bCs w:val="0"/>
                <w:color w:val="auto"/>
                <w:sz w:val="24"/>
                <w:lang w:eastAsia="zh-CN"/>
              </w:rPr>
            </w:pPr>
            <w:r>
              <w:rPr>
                <w:rFonts w:hint="eastAsia"/>
                <w:b w:val="0"/>
                <w:bCs w:val="0"/>
                <w:color w:val="auto"/>
                <w:sz w:val="24"/>
                <w:lang w:eastAsia="zh-CN"/>
              </w:rPr>
              <w:t>端板封盖焊接：将端板与消声器外壳按设计标准对位后进行焊接，焊接工序有少量焊接烟尘产生</w:t>
            </w:r>
            <w:r>
              <w:rPr>
                <w:rFonts w:hint="eastAsia"/>
                <w:b w:val="0"/>
                <w:bCs w:val="0"/>
                <w:color w:val="auto"/>
                <w:sz w:val="24"/>
                <w:lang w:val="en-US" w:eastAsia="zh-CN"/>
              </w:rPr>
              <w:t>G2</w:t>
            </w:r>
            <w:r>
              <w:rPr>
                <w:rFonts w:hint="eastAsia"/>
                <w:b w:val="0"/>
                <w:bCs w:val="0"/>
                <w:color w:val="auto"/>
                <w:sz w:val="24"/>
                <w:lang w:eastAsia="zh-CN"/>
              </w:rPr>
              <w:t>；</w:t>
            </w:r>
          </w:p>
          <w:p w14:paraId="504C9ED4">
            <w:pPr>
              <w:numPr>
                <w:ilvl w:val="0"/>
                <w:numId w:val="0"/>
              </w:numPr>
              <w:spacing w:line="360" w:lineRule="auto"/>
              <w:ind w:left="0" w:leftChars="0" w:firstLine="480" w:firstLineChars="200"/>
              <w:rPr>
                <w:rFonts w:hint="eastAsia"/>
                <w:b w:val="0"/>
                <w:bCs w:val="0"/>
                <w:color w:val="auto"/>
                <w:sz w:val="24"/>
              </w:rPr>
            </w:pPr>
            <w:r>
              <w:rPr>
                <w:rFonts w:hint="eastAsia"/>
                <w:b w:val="0"/>
                <w:bCs w:val="0"/>
                <w:color w:val="auto"/>
                <w:sz w:val="24"/>
                <w:lang w:eastAsia="zh-CN"/>
              </w:rPr>
              <w:t>抛丸：使用抛丸机对部件进行处理，抛丸工序</w:t>
            </w:r>
            <w:r>
              <w:rPr>
                <w:rFonts w:hint="eastAsia" w:cs="Times New Roman"/>
                <w:b w:val="0"/>
                <w:bCs w:val="0"/>
                <w:color w:val="auto"/>
                <w:kern w:val="2"/>
                <w:sz w:val="24"/>
                <w:szCs w:val="24"/>
                <w:lang w:val="en-US" w:eastAsia="zh-CN" w:bidi="ar-SA"/>
              </w:rPr>
              <w:t>产生少量粉尘废气G3</w:t>
            </w:r>
            <w:r>
              <w:rPr>
                <w:rFonts w:hint="eastAsia"/>
                <w:b w:val="0"/>
                <w:bCs w:val="0"/>
                <w:color w:val="auto"/>
                <w:sz w:val="24"/>
              </w:rPr>
              <w:t>。</w:t>
            </w:r>
          </w:p>
          <w:p w14:paraId="4E6734AD">
            <w:pPr>
              <w:numPr>
                <w:ilvl w:val="0"/>
                <w:numId w:val="0"/>
              </w:numPr>
              <w:spacing w:line="360" w:lineRule="auto"/>
              <w:ind w:left="0" w:leftChars="0" w:firstLine="480" w:firstLineChars="200"/>
              <w:rPr>
                <w:rFonts w:hint="eastAsia"/>
                <w:b w:val="0"/>
                <w:bCs w:val="0"/>
                <w:color w:val="auto"/>
                <w:sz w:val="24"/>
                <w:lang w:eastAsia="zh-CN"/>
              </w:rPr>
            </w:pPr>
            <w:r>
              <w:rPr>
                <w:rFonts w:hint="eastAsia"/>
                <w:b w:val="0"/>
                <w:bCs w:val="0"/>
                <w:color w:val="auto"/>
                <w:sz w:val="24"/>
                <w:lang w:eastAsia="zh-CN"/>
              </w:rPr>
              <w:t>表面处理：经脱脂水洗处理后工件需进行表面处理（喷漆），</w:t>
            </w:r>
            <w:r>
              <w:rPr>
                <w:rFonts w:hint="eastAsia"/>
                <w:b/>
                <w:bCs/>
                <w:color w:val="auto"/>
                <w:sz w:val="24"/>
                <w:lang w:eastAsia="zh-CN"/>
              </w:rPr>
              <w:t>该工序委外处置</w:t>
            </w:r>
            <w:r>
              <w:rPr>
                <w:rFonts w:hint="eastAsia"/>
                <w:b w:val="0"/>
                <w:bCs w:val="0"/>
                <w:color w:val="auto"/>
                <w:sz w:val="24"/>
                <w:lang w:eastAsia="zh-CN"/>
              </w:rPr>
              <w:t>；</w:t>
            </w:r>
          </w:p>
          <w:p w14:paraId="657A2F2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b w:val="0"/>
                <w:bCs w:val="0"/>
                <w:color w:val="auto"/>
                <w:sz w:val="24"/>
                <w:lang w:eastAsia="zh-CN"/>
              </w:rPr>
            </w:pPr>
            <w:r>
              <w:rPr>
                <w:rFonts w:hint="eastAsia"/>
                <w:b w:val="0"/>
                <w:bCs w:val="0"/>
                <w:color w:val="auto"/>
                <w:sz w:val="24"/>
                <w:lang w:eastAsia="zh-CN"/>
              </w:rPr>
              <w:t>装配：处理后材料按设计要求装配后作为消声器配件待用。</w:t>
            </w:r>
          </w:p>
          <w:p w14:paraId="555E0615">
            <w:pPr>
              <w:pStyle w:val="5"/>
              <w:bidi w:val="0"/>
              <w:rPr>
                <w:rFonts w:hint="eastAsia"/>
                <w:color w:val="auto"/>
                <w:lang w:val="en-US" w:eastAsia="zh-CN"/>
              </w:rPr>
            </w:pPr>
            <w:r>
              <w:rPr>
                <w:rFonts w:hint="eastAsia"/>
                <w:color w:val="auto"/>
                <w:lang w:val="en-US" w:eastAsia="zh-CN"/>
              </w:rPr>
              <w:t>2.7.2装配工艺</w:t>
            </w:r>
          </w:p>
          <w:p w14:paraId="496853CD">
            <w:pPr>
              <w:numPr>
                <w:ilvl w:val="0"/>
                <w:numId w:val="0"/>
              </w:numPr>
              <w:spacing w:line="360" w:lineRule="auto"/>
              <w:ind w:leftChars="200"/>
              <w:rPr>
                <w:rFonts w:hint="eastAsia"/>
                <w:b w:val="0"/>
                <w:bCs w:val="0"/>
                <w:color w:val="auto"/>
                <w:sz w:val="24"/>
                <w:lang w:eastAsia="zh-CN"/>
              </w:rPr>
            </w:pPr>
            <w:r>
              <w:rPr>
                <w:rFonts w:hint="eastAsia"/>
                <w:b w:val="0"/>
                <w:bCs w:val="0"/>
                <w:color w:val="auto"/>
                <w:sz w:val="24"/>
                <w:lang w:eastAsia="zh-CN"/>
              </w:rPr>
              <w:t>项目装配工艺包括发电机组装配工艺以及发电机储能柜装配工艺</w:t>
            </w:r>
          </w:p>
          <w:p w14:paraId="0F5779F0">
            <w:pPr>
              <w:numPr>
                <w:ilvl w:val="0"/>
                <w:numId w:val="2"/>
              </w:numPr>
              <w:spacing w:line="360" w:lineRule="auto"/>
              <w:ind w:left="0" w:leftChars="0" w:firstLine="480" w:firstLineChars="200"/>
              <w:rPr>
                <w:rFonts w:hint="eastAsia"/>
                <w:b w:val="0"/>
                <w:bCs w:val="0"/>
                <w:color w:val="auto"/>
                <w:sz w:val="24"/>
                <w:lang w:eastAsia="zh-CN"/>
              </w:rPr>
            </w:pPr>
            <w:r>
              <w:rPr>
                <w:rFonts w:hint="eastAsia"/>
                <w:b w:val="0"/>
                <w:bCs w:val="0"/>
                <w:color w:val="auto"/>
                <w:sz w:val="24"/>
                <w:lang w:eastAsia="zh-CN"/>
              </w:rPr>
              <w:t>发电机组装配工艺流程</w:t>
            </w:r>
          </w:p>
          <w:tbl>
            <w:tblPr>
              <w:tblStyle w:val="32"/>
              <w:tblW w:w="8039"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039"/>
            </w:tblGrid>
            <w:tr w14:paraId="6A333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039" w:type="dxa"/>
                </w:tcPr>
                <w:p w14:paraId="6D371A1E">
                  <w:pPr>
                    <w:jc w:val="center"/>
                    <w:rPr>
                      <w:rFonts w:hint="eastAsia" w:ascii="Times New Roman" w:hAnsi="Times New Roman" w:eastAsia="宋体" w:cs="Times New Roman"/>
                      <w:b/>
                      <w:bCs/>
                      <w:color w:val="auto"/>
                      <w:szCs w:val="21"/>
                      <w:lang w:eastAsia="zh-CN"/>
                    </w:rPr>
                  </w:pPr>
                  <w:r>
                    <w:rPr>
                      <w:rFonts w:hint="eastAsia" w:ascii="Times New Roman" w:hAnsi="Times New Roman" w:eastAsia="宋体" w:cs="Times New Roman"/>
                      <w:b/>
                      <w:bCs/>
                      <w:color w:val="auto"/>
                      <w:szCs w:val="21"/>
                      <w:lang w:eastAsia="zh-CN"/>
                    </w:rPr>
                    <w:drawing>
                      <wp:inline distT="0" distB="0" distL="114300" distR="114300">
                        <wp:extent cx="4776470" cy="2473960"/>
                        <wp:effectExtent l="0" t="0" r="0" b="0"/>
                        <wp:docPr id="219" name="ECB019B1-382A-4266-B25C-5B523AA43C14-8" descr="C:/Users/Administrator/AppData/Local/Temp/wps.xkhQAd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ECB019B1-382A-4266-B25C-5B523AA43C14-8" descr="C:/Users/Administrator/AppData/Local/Temp/wps.xkhQAdwps"/>
                                <pic:cNvPicPr>
                                  <a:picLocks noChangeAspect="1"/>
                                </pic:cNvPicPr>
                              </pic:nvPicPr>
                              <pic:blipFill>
                                <a:blip r:embed="rId15"/>
                                <a:stretch>
                                  <a:fillRect/>
                                </a:stretch>
                              </pic:blipFill>
                              <pic:spPr>
                                <a:xfrm>
                                  <a:off x="0" y="0"/>
                                  <a:ext cx="4776470" cy="2473960"/>
                                </a:xfrm>
                                <a:prstGeom prst="rect">
                                  <a:avLst/>
                                </a:prstGeom>
                              </pic:spPr>
                            </pic:pic>
                          </a:graphicData>
                        </a:graphic>
                      </wp:inline>
                    </w:drawing>
                  </w:r>
                </w:p>
              </w:tc>
            </w:tr>
            <w:tr w14:paraId="35AE4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039" w:type="dxa"/>
                </w:tcPr>
                <w:p w14:paraId="4DCDD141">
                  <w:pPr>
                    <w:jc w:val="center"/>
                    <w:rPr>
                      <w:rFonts w:hint="eastAsia" w:ascii="Times New Roman" w:hAnsi="Times New Roman" w:eastAsia="宋体" w:cs="Times New Roman"/>
                      <w:b/>
                      <w:bCs/>
                      <w:color w:val="auto"/>
                      <w:szCs w:val="21"/>
                      <w:lang w:eastAsia="zh-CN"/>
                    </w:rPr>
                  </w:pPr>
                  <w:r>
                    <w:rPr>
                      <w:b/>
                      <w:bCs/>
                      <w:color w:val="auto"/>
                      <w:szCs w:val="21"/>
                    </w:rPr>
                    <w:t>图</w:t>
                  </w:r>
                  <w:r>
                    <w:rPr>
                      <w:rFonts w:hint="eastAsia"/>
                      <w:b/>
                      <w:bCs/>
                      <w:color w:val="auto"/>
                      <w:szCs w:val="21"/>
                    </w:rPr>
                    <w:t>2</w:t>
                  </w:r>
                  <w:r>
                    <w:rPr>
                      <w:rFonts w:hint="eastAsia"/>
                      <w:b/>
                      <w:bCs/>
                      <w:color w:val="auto"/>
                      <w:szCs w:val="21"/>
                      <w:lang w:val="en-US" w:eastAsia="zh-CN"/>
                    </w:rPr>
                    <w:t>.7</w:t>
                  </w:r>
                  <w:r>
                    <w:rPr>
                      <w:rFonts w:hint="eastAsia"/>
                      <w:b/>
                      <w:bCs/>
                      <w:color w:val="auto"/>
                      <w:szCs w:val="21"/>
                    </w:rPr>
                    <w:t>-</w:t>
                  </w:r>
                  <w:r>
                    <w:rPr>
                      <w:rFonts w:hint="eastAsia"/>
                      <w:b/>
                      <w:bCs/>
                      <w:color w:val="auto"/>
                      <w:szCs w:val="21"/>
                      <w:lang w:val="en-US" w:eastAsia="zh-CN"/>
                    </w:rPr>
                    <w:t>6</w:t>
                  </w:r>
                  <w:r>
                    <w:rPr>
                      <w:rFonts w:hint="eastAsia"/>
                      <w:b/>
                      <w:bCs/>
                      <w:color w:val="auto"/>
                      <w:szCs w:val="21"/>
                      <w:lang w:eastAsia="zh-CN"/>
                    </w:rPr>
                    <w:t>发电机组装配工艺流程图</w:t>
                  </w:r>
                </w:p>
              </w:tc>
            </w:tr>
          </w:tbl>
          <w:p w14:paraId="355DEDE6">
            <w:pPr>
              <w:snapToGrid w:val="0"/>
              <w:spacing w:line="360" w:lineRule="auto"/>
              <w:ind w:firstLine="482" w:firstLineChars="200"/>
              <w:rPr>
                <w:b/>
                <w:bCs/>
                <w:color w:val="auto"/>
                <w:kern w:val="0"/>
                <w:sz w:val="24"/>
              </w:rPr>
            </w:pPr>
            <w:r>
              <w:rPr>
                <w:rFonts w:hint="eastAsia"/>
                <w:b/>
                <w:bCs/>
                <w:color w:val="auto"/>
                <w:kern w:val="0"/>
                <w:sz w:val="24"/>
                <w:lang w:eastAsia="zh-CN"/>
              </w:rPr>
              <w:t>工艺</w:t>
            </w:r>
            <w:r>
              <w:rPr>
                <w:rFonts w:hint="eastAsia"/>
                <w:b/>
                <w:bCs/>
                <w:color w:val="auto"/>
                <w:kern w:val="0"/>
                <w:sz w:val="24"/>
              </w:rPr>
              <w:t>流程简述：</w:t>
            </w:r>
          </w:p>
          <w:p w14:paraId="5BA98BA0">
            <w:pPr>
              <w:numPr>
                <w:ilvl w:val="0"/>
                <w:numId w:val="0"/>
              </w:numPr>
              <w:spacing w:line="360" w:lineRule="auto"/>
              <w:ind w:left="0" w:leftChars="0" w:firstLine="480" w:firstLineChars="200"/>
              <w:rPr>
                <w:rFonts w:hint="eastAsia" w:cs="Times New Roman"/>
                <w:b w:val="0"/>
                <w:bCs w:val="0"/>
                <w:color w:val="auto"/>
                <w:kern w:val="2"/>
                <w:sz w:val="24"/>
                <w:szCs w:val="24"/>
                <w:lang w:val="en-US" w:eastAsia="zh-CN" w:bidi="ar-SA"/>
              </w:rPr>
            </w:pPr>
            <w:r>
              <w:rPr>
                <w:rFonts w:hint="eastAsia" w:cs="Times New Roman"/>
                <w:b w:val="0"/>
                <w:bCs w:val="0"/>
                <w:color w:val="auto"/>
                <w:kern w:val="2"/>
                <w:sz w:val="24"/>
                <w:szCs w:val="24"/>
                <w:lang w:val="en-US" w:eastAsia="zh-CN" w:bidi="ar-SA"/>
              </w:rPr>
              <w:t>控制柜装配：控制柜及电气件安装接线；</w:t>
            </w:r>
          </w:p>
          <w:p w14:paraId="456759D8">
            <w:pPr>
              <w:numPr>
                <w:ilvl w:val="0"/>
                <w:numId w:val="0"/>
              </w:numPr>
              <w:spacing w:line="360" w:lineRule="auto"/>
              <w:ind w:left="0" w:leftChars="0" w:firstLine="480" w:firstLineChars="200"/>
              <w:rPr>
                <w:rFonts w:hint="eastAsia"/>
                <w:b w:val="0"/>
                <w:bCs w:val="0"/>
                <w:color w:val="auto"/>
                <w:sz w:val="24"/>
                <w:lang w:eastAsia="zh-CN"/>
              </w:rPr>
            </w:pPr>
            <w:r>
              <w:rPr>
                <w:rFonts w:hint="eastAsia"/>
                <w:b w:val="0"/>
                <w:bCs w:val="0"/>
                <w:color w:val="auto"/>
                <w:sz w:val="24"/>
                <w:lang w:eastAsia="zh-CN"/>
              </w:rPr>
              <w:t>线束制作：裁线、剥线、元器件接线；</w:t>
            </w:r>
          </w:p>
          <w:p w14:paraId="3CC58C0D">
            <w:pPr>
              <w:numPr>
                <w:ilvl w:val="0"/>
                <w:numId w:val="0"/>
              </w:numPr>
              <w:spacing w:line="360" w:lineRule="auto"/>
              <w:ind w:left="0" w:leftChars="0" w:firstLine="480" w:firstLineChars="200"/>
              <w:rPr>
                <w:rFonts w:hint="eastAsia" w:cs="Times New Roman"/>
                <w:b w:val="0"/>
                <w:bCs w:val="0"/>
                <w:color w:val="auto"/>
                <w:kern w:val="2"/>
                <w:sz w:val="24"/>
                <w:szCs w:val="24"/>
                <w:lang w:val="en-US" w:eastAsia="zh-CN" w:bidi="ar-SA"/>
              </w:rPr>
            </w:pPr>
            <w:r>
              <w:rPr>
                <w:rFonts w:hint="eastAsia"/>
                <w:b w:val="0"/>
                <w:bCs w:val="0"/>
                <w:color w:val="auto"/>
                <w:sz w:val="24"/>
                <w:lang w:eastAsia="zh-CN"/>
              </w:rPr>
              <w:t>静音棉安装：根据设计要求裁棉并填充</w:t>
            </w:r>
            <w:r>
              <w:rPr>
                <w:rFonts w:hint="eastAsia" w:cs="Times New Roman"/>
                <w:b w:val="0"/>
                <w:bCs w:val="0"/>
                <w:color w:val="auto"/>
                <w:kern w:val="2"/>
                <w:sz w:val="24"/>
                <w:szCs w:val="24"/>
                <w:lang w:val="en-US" w:eastAsia="zh-CN" w:bidi="ar-SA"/>
              </w:rPr>
              <w:t>；</w:t>
            </w:r>
          </w:p>
          <w:p w14:paraId="122B1D8C">
            <w:pPr>
              <w:numPr>
                <w:ilvl w:val="0"/>
                <w:numId w:val="0"/>
              </w:numPr>
              <w:spacing w:line="360" w:lineRule="auto"/>
              <w:ind w:left="0" w:leftChars="0" w:firstLine="480" w:firstLineChars="200"/>
              <w:rPr>
                <w:rFonts w:hint="eastAsia" w:cs="Times New Roman"/>
                <w:b w:val="0"/>
                <w:bCs w:val="0"/>
                <w:color w:val="auto"/>
                <w:kern w:val="2"/>
                <w:sz w:val="24"/>
                <w:szCs w:val="24"/>
                <w:lang w:val="en-US" w:eastAsia="zh-CN" w:bidi="ar-SA"/>
              </w:rPr>
            </w:pPr>
            <w:r>
              <w:rPr>
                <w:rFonts w:hint="eastAsia" w:cs="Times New Roman"/>
                <w:b w:val="0"/>
                <w:bCs w:val="0"/>
                <w:color w:val="auto"/>
                <w:kern w:val="2"/>
                <w:sz w:val="24"/>
                <w:szCs w:val="24"/>
                <w:lang w:val="en-US" w:eastAsia="zh-CN" w:bidi="ar-SA"/>
              </w:rPr>
              <w:t>断路器柜装配：断路器柜及元器件安装接线；</w:t>
            </w:r>
          </w:p>
          <w:p w14:paraId="2A6F4791">
            <w:pPr>
              <w:numPr>
                <w:ilvl w:val="0"/>
                <w:numId w:val="0"/>
              </w:numPr>
              <w:spacing w:line="360" w:lineRule="auto"/>
              <w:ind w:left="0" w:leftChars="0" w:firstLine="480" w:firstLineChars="200"/>
              <w:rPr>
                <w:rFonts w:hint="eastAsia"/>
                <w:b w:val="0"/>
                <w:bCs w:val="0"/>
                <w:color w:val="auto"/>
                <w:sz w:val="24"/>
                <w:lang w:eastAsia="zh-CN"/>
              </w:rPr>
            </w:pPr>
            <w:r>
              <w:rPr>
                <w:rFonts w:hint="eastAsia"/>
                <w:b w:val="0"/>
                <w:bCs w:val="0"/>
                <w:color w:val="auto"/>
                <w:sz w:val="24"/>
                <w:lang w:eastAsia="zh-CN"/>
              </w:rPr>
              <w:t>主电缆线制作：电缆线裁线、剥线、压接端子；</w:t>
            </w:r>
          </w:p>
          <w:p w14:paraId="6B6EC100">
            <w:pPr>
              <w:numPr>
                <w:ilvl w:val="0"/>
                <w:numId w:val="0"/>
              </w:numPr>
              <w:spacing w:line="360" w:lineRule="auto"/>
              <w:ind w:left="0" w:leftChars="0" w:firstLine="480" w:firstLineChars="200"/>
              <w:rPr>
                <w:rFonts w:hint="eastAsia"/>
                <w:b w:val="0"/>
                <w:bCs w:val="0"/>
                <w:color w:val="auto"/>
                <w:sz w:val="24"/>
                <w:lang w:eastAsia="zh-CN"/>
              </w:rPr>
            </w:pPr>
            <w:r>
              <w:rPr>
                <w:rFonts w:hint="eastAsia"/>
                <w:b w:val="0"/>
                <w:bCs w:val="0"/>
                <w:color w:val="auto"/>
                <w:sz w:val="24"/>
                <w:lang w:eastAsia="zh-CN"/>
              </w:rPr>
              <w:t>拼箱装配：箱体及龙门架钣金拼接，并填充静音棉；</w:t>
            </w:r>
          </w:p>
          <w:p w14:paraId="44094A9C">
            <w:pPr>
              <w:numPr>
                <w:ilvl w:val="0"/>
                <w:numId w:val="0"/>
              </w:numPr>
              <w:spacing w:line="360" w:lineRule="auto"/>
              <w:ind w:left="0" w:leftChars="0" w:firstLine="480" w:firstLineChars="200"/>
              <w:rPr>
                <w:rFonts w:hint="eastAsia"/>
                <w:b w:val="0"/>
                <w:bCs w:val="0"/>
                <w:color w:val="auto"/>
                <w:sz w:val="24"/>
                <w:lang w:val="en-US" w:eastAsia="zh-CN"/>
              </w:rPr>
            </w:pPr>
            <w:r>
              <w:rPr>
                <w:rFonts w:hint="eastAsia"/>
                <w:b w:val="0"/>
                <w:bCs w:val="0"/>
                <w:color w:val="auto"/>
                <w:sz w:val="24"/>
                <w:lang w:eastAsia="zh-CN"/>
              </w:rPr>
              <w:t>机组装配：机组装配主要包括底座及支架安装、动力及电机对接上架、水箱安装、冷却水路系统安装、空气过滤器安装、燃油油路或者燃气气路系统安装、启动系统</w:t>
            </w:r>
            <w:r>
              <w:rPr>
                <w:rFonts w:hint="eastAsia"/>
                <w:b w:val="0"/>
                <w:bCs w:val="0"/>
                <w:color w:val="auto"/>
                <w:sz w:val="24"/>
                <w:lang w:val="en-US" w:eastAsia="zh-CN"/>
              </w:rPr>
              <w:t>/充电系统/控制系统/供电系统安装、防音箱安装、进/排气系统安装、润滑油防冻液加注；</w:t>
            </w:r>
          </w:p>
          <w:p w14:paraId="783E1584">
            <w:pPr>
              <w:numPr>
                <w:ilvl w:val="0"/>
                <w:numId w:val="0"/>
              </w:numPr>
              <w:spacing w:line="360" w:lineRule="auto"/>
              <w:ind w:left="0" w:leftChars="0" w:firstLine="480" w:firstLineChars="200"/>
              <w:rPr>
                <w:rFonts w:hint="eastAsia"/>
                <w:b w:val="0"/>
                <w:bCs w:val="0"/>
                <w:color w:val="auto"/>
                <w:sz w:val="24"/>
                <w:lang w:val="en-US" w:eastAsia="zh-CN"/>
              </w:rPr>
            </w:pPr>
            <w:r>
              <w:rPr>
                <w:rFonts w:hint="eastAsia"/>
                <w:b w:val="0"/>
                <w:bCs w:val="0"/>
                <w:color w:val="auto"/>
                <w:sz w:val="24"/>
                <w:lang w:val="en-US" w:eastAsia="zh-CN"/>
              </w:rPr>
              <w:t>电气测试：在测试房内进行电气系统、燃油系统测试，测试过程中产生少量测试废气G6；</w:t>
            </w:r>
          </w:p>
          <w:p w14:paraId="7A79D0D4">
            <w:pPr>
              <w:numPr>
                <w:ilvl w:val="0"/>
                <w:numId w:val="0"/>
              </w:numPr>
              <w:spacing w:line="360" w:lineRule="auto"/>
              <w:ind w:left="0" w:leftChars="0" w:firstLine="480" w:firstLineChars="200"/>
              <w:rPr>
                <w:rFonts w:hint="eastAsia"/>
                <w:b w:val="0"/>
                <w:bCs w:val="0"/>
                <w:color w:val="auto"/>
                <w:sz w:val="24"/>
                <w:lang w:val="en-US" w:eastAsia="zh-CN"/>
              </w:rPr>
            </w:pPr>
            <w:r>
              <w:rPr>
                <w:rFonts w:hint="eastAsia"/>
                <w:b w:val="0"/>
                <w:bCs w:val="0"/>
                <w:color w:val="auto"/>
                <w:sz w:val="24"/>
                <w:lang w:val="en-US" w:eastAsia="zh-CN"/>
              </w:rPr>
              <w:t>测试后工序：测试完成后工序包括铭牌安装、卫生清洁并进行外观检查；</w:t>
            </w:r>
          </w:p>
          <w:p w14:paraId="1EFA766F">
            <w:pPr>
              <w:numPr>
                <w:ilvl w:val="0"/>
                <w:numId w:val="0"/>
              </w:numPr>
              <w:spacing w:line="360" w:lineRule="auto"/>
              <w:ind w:left="0" w:leftChars="0" w:firstLine="480" w:firstLineChars="200"/>
              <w:rPr>
                <w:rFonts w:hint="eastAsia"/>
                <w:b/>
                <w:bCs/>
                <w:color w:val="auto"/>
                <w:sz w:val="24"/>
                <w:lang w:val="en-US" w:eastAsia="zh-CN"/>
              </w:rPr>
            </w:pPr>
            <w:r>
              <w:rPr>
                <w:rFonts w:hint="eastAsia"/>
                <w:b w:val="0"/>
                <w:bCs w:val="0"/>
                <w:color w:val="auto"/>
                <w:sz w:val="24"/>
                <w:lang w:val="en-US" w:eastAsia="zh-CN"/>
              </w:rPr>
              <w:t>包装入库：发电机组及相关随机配件包装后入库。</w:t>
            </w:r>
          </w:p>
          <w:p w14:paraId="70CC5CA6">
            <w:pPr>
              <w:numPr>
                <w:ilvl w:val="0"/>
                <w:numId w:val="2"/>
              </w:numPr>
              <w:spacing w:line="360" w:lineRule="auto"/>
              <w:ind w:left="0" w:leftChars="0" w:firstLine="480" w:firstLineChars="200"/>
              <w:rPr>
                <w:rFonts w:hint="eastAsia"/>
                <w:b w:val="0"/>
                <w:bCs w:val="0"/>
                <w:color w:val="auto"/>
                <w:sz w:val="24"/>
                <w:lang w:eastAsia="zh-CN"/>
              </w:rPr>
            </w:pPr>
            <w:r>
              <w:rPr>
                <w:rFonts w:hint="eastAsia"/>
                <w:b w:val="0"/>
                <w:bCs w:val="0"/>
                <w:color w:val="auto"/>
                <w:sz w:val="24"/>
                <w:lang w:eastAsia="zh-CN"/>
              </w:rPr>
              <w:t>发电机储能柜装配工艺流程</w:t>
            </w:r>
          </w:p>
          <w:tbl>
            <w:tblPr>
              <w:tblStyle w:val="32"/>
              <w:tblW w:w="8039"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7" w:type="dxa"/>
                <w:left w:w="108" w:type="dxa"/>
                <w:bottom w:w="57" w:type="dxa"/>
                <w:right w:w="108" w:type="dxa"/>
              </w:tblCellMar>
            </w:tblPr>
            <w:tblGrid>
              <w:gridCol w:w="8039"/>
            </w:tblGrid>
            <w:tr w14:paraId="039C0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c>
                <w:tcPr>
                  <w:tcW w:w="8039" w:type="dxa"/>
                  <w:vAlign w:val="center"/>
                </w:tcPr>
                <w:p w14:paraId="52A7F5F5">
                  <w:pPr>
                    <w:jc w:val="center"/>
                    <w:rPr>
                      <w:rFonts w:hint="eastAsia" w:ascii="Times New Roman" w:hAnsi="Times New Roman" w:eastAsia="宋体" w:cs="Times New Roman"/>
                      <w:b/>
                      <w:bCs/>
                      <w:color w:val="auto"/>
                      <w:szCs w:val="21"/>
                      <w:lang w:eastAsia="zh-CN"/>
                    </w:rPr>
                  </w:pPr>
                  <w:r>
                    <w:rPr>
                      <w:rFonts w:hint="eastAsia" w:ascii="Times New Roman" w:hAnsi="Times New Roman" w:eastAsia="宋体" w:cs="Times New Roman"/>
                      <w:b/>
                      <w:bCs/>
                      <w:color w:val="auto"/>
                      <w:szCs w:val="21"/>
                      <w:lang w:eastAsia="zh-CN"/>
                    </w:rPr>
                    <w:drawing>
                      <wp:inline distT="0" distB="0" distL="114300" distR="114300">
                        <wp:extent cx="4555490" cy="2314575"/>
                        <wp:effectExtent l="0" t="0" r="16510" b="9525"/>
                        <wp:docPr id="221" name="ECB019B1-382A-4266-B25C-5B523AA43C14-9" descr="C:/Users/Administrator/AppData/Local/Temp/wps.iZdECQ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ECB019B1-382A-4266-B25C-5B523AA43C14-9" descr="C:/Users/Administrator/AppData/Local/Temp/wps.iZdECQwps"/>
                                <pic:cNvPicPr>
                                  <a:picLocks noChangeAspect="1"/>
                                </pic:cNvPicPr>
                              </pic:nvPicPr>
                              <pic:blipFill>
                                <a:blip r:embed="rId16"/>
                                <a:stretch>
                                  <a:fillRect/>
                                </a:stretch>
                              </pic:blipFill>
                              <pic:spPr>
                                <a:xfrm>
                                  <a:off x="0" y="0"/>
                                  <a:ext cx="4555490" cy="2314575"/>
                                </a:xfrm>
                                <a:prstGeom prst="rect">
                                  <a:avLst/>
                                </a:prstGeom>
                              </pic:spPr>
                            </pic:pic>
                          </a:graphicData>
                        </a:graphic>
                      </wp:inline>
                    </w:drawing>
                  </w:r>
                </w:p>
              </w:tc>
            </w:tr>
            <w:tr w14:paraId="465C1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c>
                <w:tcPr>
                  <w:tcW w:w="8039" w:type="dxa"/>
                </w:tcPr>
                <w:p w14:paraId="62946FD9">
                  <w:pPr>
                    <w:jc w:val="center"/>
                    <w:rPr>
                      <w:rFonts w:hint="eastAsia" w:ascii="Times New Roman" w:hAnsi="Times New Roman" w:eastAsia="宋体" w:cs="Times New Roman"/>
                      <w:b/>
                      <w:bCs/>
                      <w:color w:val="auto"/>
                      <w:szCs w:val="21"/>
                      <w:lang w:eastAsia="zh-CN"/>
                    </w:rPr>
                  </w:pPr>
                  <w:r>
                    <w:rPr>
                      <w:b/>
                      <w:bCs/>
                      <w:color w:val="auto"/>
                      <w:szCs w:val="21"/>
                    </w:rPr>
                    <w:t>图</w:t>
                  </w:r>
                  <w:r>
                    <w:rPr>
                      <w:rFonts w:hint="eastAsia"/>
                      <w:b/>
                      <w:bCs/>
                      <w:color w:val="auto"/>
                      <w:szCs w:val="21"/>
                    </w:rPr>
                    <w:t>2</w:t>
                  </w:r>
                  <w:r>
                    <w:rPr>
                      <w:rFonts w:hint="eastAsia"/>
                      <w:b/>
                      <w:bCs/>
                      <w:color w:val="auto"/>
                      <w:szCs w:val="21"/>
                      <w:lang w:val="en-US" w:eastAsia="zh-CN"/>
                    </w:rPr>
                    <w:t>.7</w:t>
                  </w:r>
                  <w:r>
                    <w:rPr>
                      <w:rFonts w:hint="eastAsia"/>
                      <w:b/>
                      <w:bCs/>
                      <w:color w:val="auto"/>
                      <w:szCs w:val="21"/>
                    </w:rPr>
                    <w:t>-</w:t>
                  </w:r>
                  <w:r>
                    <w:rPr>
                      <w:rFonts w:hint="eastAsia"/>
                      <w:b/>
                      <w:bCs/>
                      <w:color w:val="auto"/>
                      <w:szCs w:val="21"/>
                      <w:lang w:val="en-US" w:eastAsia="zh-CN"/>
                    </w:rPr>
                    <w:t>7</w:t>
                  </w:r>
                  <w:r>
                    <w:rPr>
                      <w:rFonts w:hint="eastAsia"/>
                      <w:b/>
                      <w:bCs/>
                      <w:color w:val="auto"/>
                      <w:szCs w:val="21"/>
                      <w:lang w:eastAsia="zh-CN"/>
                    </w:rPr>
                    <w:t>发电机储能柜装配工艺流程图</w:t>
                  </w:r>
                </w:p>
              </w:tc>
            </w:tr>
          </w:tbl>
          <w:p w14:paraId="6ACB5CC5">
            <w:pPr>
              <w:snapToGrid w:val="0"/>
              <w:spacing w:line="360" w:lineRule="auto"/>
              <w:ind w:firstLine="482" w:firstLineChars="200"/>
              <w:rPr>
                <w:b/>
                <w:bCs/>
                <w:color w:val="auto"/>
                <w:kern w:val="0"/>
                <w:sz w:val="24"/>
              </w:rPr>
            </w:pPr>
            <w:r>
              <w:rPr>
                <w:rFonts w:hint="eastAsia"/>
                <w:b/>
                <w:bCs/>
                <w:color w:val="auto"/>
                <w:kern w:val="0"/>
                <w:sz w:val="24"/>
                <w:lang w:eastAsia="zh-CN"/>
              </w:rPr>
              <w:t>工艺</w:t>
            </w:r>
            <w:r>
              <w:rPr>
                <w:rFonts w:hint="eastAsia"/>
                <w:b/>
                <w:bCs/>
                <w:color w:val="auto"/>
                <w:kern w:val="0"/>
                <w:sz w:val="24"/>
              </w:rPr>
              <w:t>流程简述：</w:t>
            </w:r>
          </w:p>
          <w:p w14:paraId="76E1AA09">
            <w:pPr>
              <w:numPr>
                <w:ilvl w:val="0"/>
                <w:numId w:val="0"/>
              </w:numPr>
              <w:spacing w:line="360" w:lineRule="auto"/>
              <w:ind w:left="0" w:leftChars="0" w:firstLine="480" w:firstLineChars="200"/>
              <w:rPr>
                <w:rFonts w:hint="eastAsia"/>
                <w:b w:val="0"/>
                <w:bCs w:val="0"/>
                <w:color w:val="auto"/>
                <w:sz w:val="24"/>
                <w:lang w:val="en-US" w:eastAsia="zh-CN"/>
              </w:rPr>
            </w:pPr>
            <w:r>
              <w:rPr>
                <w:rFonts w:hint="eastAsia"/>
                <w:b w:val="0"/>
                <w:bCs w:val="0"/>
                <w:color w:val="auto"/>
                <w:sz w:val="24"/>
                <w:lang w:val="en-US" w:eastAsia="zh-CN"/>
              </w:rPr>
              <w:t>前期准备：储能柜柜体及物料准备；安装柜体密封条，保障柜体的密封性能。</w:t>
            </w:r>
          </w:p>
          <w:p w14:paraId="54AB5AF5">
            <w:pPr>
              <w:numPr>
                <w:ilvl w:val="0"/>
                <w:numId w:val="0"/>
              </w:numPr>
              <w:spacing w:line="360" w:lineRule="auto"/>
              <w:ind w:left="0" w:leftChars="0" w:firstLine="480" w:firstLineChars="200"/>
              <w:rPr>
                <w:rFonts w:hint="eastAsia"/>
                <w:b w:val="0"/>
                <w:bCs w:val="0"/>
                <w:color w:val="auto"/>
                <w:sz w:val="24"/>
                <w:lang w:val="en-US" w:eastAsia="zh-CN"/>
              </w:rPr>
            </w:pPr>
            <w:r>
              <w:rPr>
                <w:rFonts w:hint="eastAsia"/>
                <w:b w:val="0"/>
                <w:bCs w:val="0"/>
                <w:color w:val="auto"/>
                <w:sz w:val="24"/>
                <w:lang w:val="en-US" w:eastAsia="zh-CN"/>
              </w:rPr>
              <w:t>‌核心部件入柜：电池模块、高压箱、控制箱入柜，完成储能系统核心硬件的布局；安装储能变流器、风道、空调，构建储能柜的能量转换与温控系统；‌元器件与配套设备装配，包括HMI显示屏、LED信号灯、急停按钮；安装柜内传感器、消防设备。</w:t>
            </w:r>
          </w:p>
          <w:p w14:paraId="1E4171E2">
            <w:pPr>
              <w:numPr>
                <w:ilvl w:val="0"/>
                <w:numId w:val="0"/>
              </w:numPr>
              <w:spacing w:line="360" w:lineRule="auto"/>
              <w:ind w:left="0" w:leftChars="0" w:firstLine="480" w:firstLineChars="200"/>
              <w:rPr>
                <w:rFonts w:hint="eastAsia"/>
                <w:b w:val="0"/>
                <w:bCs w:val="0"/>
                <w:color w:val="auto"/>
                <w:sz w:val="24"/>
                <w:lang w:val="en-US" w:eastAsia="zh-CN"/>
              </w:rPr>
            </w:pPr>
            <w:r>
              <w:rPr>
                <w:rFonts w:hint="eastAsia"/>
                <w:b w:val="0"/>
                <w:bCs w:val="0"/>
                <w:color w:val="auto"/>
                <w:sz w:val="24"/>
                <w:lang w:val="en-US" w:eastAsia="zh-CN"/>
              </w:rPr>
              <w:t>‌电气连接：进行电气一次接线及电气二次接线。</w:t>
            </w:r>
          </w:p>
          <w:p w14:paraId="49152241">
            <w:pPr>
              <w:numPr>
                <w:ilvl w:val="0"/>
                <w:numId w:val="0"/>
              </w:numPr>
              <w:spacing w:line="360" w:lineRule="auto"/>
              <w:ind w:left="0" w:leftChars="0" w:firstLine="480" w:firstLineChars="200"/>
              <w:rPr>
                <w:rFonts w:hint="eastAsia"/>
                <w:b w:val="0"/>
                <w:bCs w:val="0"/>
                <w:color w:val="auto"/>
                <w:sz w:val="24"/>
                <w:lang w:val="en-US" w:eastAsia="zh-CN"/>
              </w:rPr>
            </w:pPr>
            <w:r>
              <w:rPr>
                <w:rFonts w:hint="eastAsia"/>
                <w:b w:val="0"/>
                <w:bCs w:val="0"/>
                <w:color w:val="auto"/>
                <w:sz w:val="24"/>
                <w:lang w:val="en-US" w:eastAsia="zh-CN"/>
              </w:rPr>
              <w:t>复检：对柜内螺栓进行扭力复检，确保所有连接部位紧固到位。</w:t>
            </w:r>
          </w:p>
          <w:p w14:paraId="0A066181">
            <w:pPr>
              <w:numPr>
                <w:ilvl w:val="0"/>
                <w:numId w:val="0"/>
              </w:numPr>
              <w:spacing w:line="360" w:lineRule="auto"/>
              <w:ind w:left="0" w:leftChars="0" w:firstLine="480" w:firstLineChars="200"/>
              <w:rPr>
                <w:rFonts w:hint="eastAsia"/>
                <w:b w:val="0"/>
                <w:bCs w:val="0"/>
                <w:color w:val="auto"/>
                <w:sz w:val="24"/>
                <w:lang w:val="en-US" w:eastAsia="zh-CN"/>
              </w:rPr>
            </w:pPr>
            <w:r>
              <w:rPr>
                <w:rFonts w:hint="eastAsia"/>
                <w:b w:val="0"/>
                <w:bCs w:val="0"/>
                <w:color w:val="auto"/>
                <w:sz w:val="24"/>
                <w:lang w:val="en-US" w:eastAsia="zh-CN"/>
              </w:rPr>
              <w:t>测试：对装配完成的储能柜进行专业测试，验证各项功能与性能指标；完成成品检验，确认储能柜符合出厂标准。</w:t>
            </w:r>
          </w:p>
          <w:p w14:paraId="74F03396">
            <w:pPr>
              <w:numPr>
                <w:ilvl w:val="0"/>
                <w:numId w:val="0"/>
              </w:numPr>
              <w:spacing w:line="360" w:lineRule="auto"/>
              <w:ind w:left="0" w:leftChars="0" w:firstLine="480" w:firstLineChars="200"/>
              <w:rPr>
                <w:rFonts w:hint="eastAsia"/>
                <w:b w:val="0"/>
                <w:bCs w:val="0"/>
                <w:color w:val="auto"/>
                <w:sz w:val="24"/>
                <w:lang w:val="en-US" w:eastAsia="zh-CN"/>
              </w:rPr>
            </w:pPr>
            <w:r>
              <w:rPr>
                <w:rFonts w:hint="eastAsia"/>
                <w:b w:val="0"/>
                <w:bCs w:val="0"/>
                <w:color w:val="auto"/>
                <w:sz w:val="24"/>
                <w:lang w:val="en-US" w:eastAsia="zh-CN"/>
              </w:rPr>
              <w:t>包装入库：通过检验后，对储能柜进行打包入库。</w:t>
            </w:r>
          </w:p>
          <w:p w14:paraId="3413EE70">
            <w:pPr>
              <w:numPr>
                <w:ilvl w:val="0"/>
                <w:numId w:val="0"/>
              </w:numPr>
              <w:spacing w:line="360" w:lineRule="auto"/>
              <w:ind w:left="0" w:leftChars="0" w:firstLine="482" w:firstLineChars="200"/>
              <w:rPr>
                <w:b/>
                <w:bCs/>
                <w:color w:val="auto"/>
                <w:kern w:val="0"/>
                <w:sz w:val="24"/>
              </w:rPr>
            </w:pPr>
            <w:r>
              <w:rPr>
                <w:rFonts w:hint="eastAsia"/>
                <w:b/>
                <w:bCs/>
                <w:color w:val="auto"/>
                <w:kern w:val="0"/>
                <w:sz w:val="24"/>
                <w:lang w:eastAsia="zh-CN"/>
              </w:rPr>
              <w:t>产污环节分析</w:t>
            </w:r>
            <w:r>
              <w:rPr>
                <w:rFonts w:hint="eastAsia"/>
                <w:b/>
                <w:bCs/>
                <w:color w:val="auto"/>
                <w:kern w:val="0"/>
                <w:sz w:val="24"/>
              </w:rPr>
              <w:t>：</w:t>
            </w:r>
          </w:p>
          <w:p w14:paraId="2258AF82">
            <w:pPr>
              <w:pStyle w:val="130"/>
              <w:rPr>
                <w:color w:val="auto"/>
              </w:rPr>
            </w:pPr>
            <w:r>
              <w:rPr>
                <w:rFonts w:hint="eastAsia" w:ascii="Times New Roman" w:hAnsi="Times New Roman" w:eastAsia="宋体" w:cs="Times New Roman"/>
                <w:color w:val="auto"/>
                <w:sz w:val="24"/>
                <w:highlight w:val="none"/>
                <w:lang w:eastAsia="zh-CN"/>
              </w:rPr>
              <w:t>项目生产工艺相对较简单，生产过程中生产废水</w:t>
            </w:r>
            <w:r>
              <w:rPr>
                <w:rFonts w:hint="eastAsia" w:cs="Times New Roman"/>
                <w:color w:val="auto"/>
                <w:sz w:val="24"/>
                <w:highlight w:val="none"/>
                <w:lang w:eastAsia="zh-CN"/>
              </w:rPr>
              <w:t>主要为零配件脱脂水洗时产生的清洗废水，废气主要为切割、打磨、抛丸、喷砂等工序产生的粉尘，焊接工序产生的焊接烟尘以及测试工序产生的测试废气</w:t>
            </w:r>
            <w:r>
              <w:rPr>
                <w:rFonts w:hint="eastAsia" w:ascii="Times New Roman" w:hAnsi="Times New Roman" w:eastAsia="宋体" w:cs="Times New Roman"/>
                <w:color w:val="auto"/>
                <w:sz w:val="24"/>
                <w:highlight w:val="none"/>
                <w:lang w:eastAsia="zh-CN"/>
              </w:rPr>
              <w:t>。</w:t>
            </w:r>
          </w:p>
          <w:p w14:paraId="40483DFC">
            <w:pPr>
              <w:tabs>
                <w:tab w:val="left" w:pos="2548"/>
              </w:tabs>
              <w:jc w:val="center"/>
              <w:rPr>
                <w:b/>
                <w:color w:val="auto"/>
                <w:szCs w:val="21"/>
              </w:rPr>
            </w:pPr>
            <w:r>
              <w:rPr>
                <w:rFonts w:hint="eastAsia"/>
                <w:b/>
                <w:color w:val="auto"/>
                <w:szCs w:val="21"/>
              </w:rPr>
              <w:t>表2.</w:t>
            </w:r>
            <w:r>
              <w:rPr>
                <w:rFonts w:hint="eastAsia"/>
                <w:b/>
                <w:color w:val="auto"/>
                <w:szCs w:val="21"/>
                <w:lang w:val="en-US" w:eastAsia="zh-CN"/>
              </w:rPr>
              <w:t>7</w:t>
            </w:r>
            <w:r>
              <w:rPr>
                <w:rFonts w:hint="eastAsia"/>
                <w:b/>
                <w:color w:val="auto"/>
                <w:szCs w:val="21"/>
              </w:rPr>
              <w:t>-1项目工艺过程产污及治理情况汇总</w:t>
            </w:r>
            <w:r>
              <w:rPr>
                <w:b/>
                <w:color w:val="auto"/>
                <w:szCs w:val="21"/>
              </w:rPr>
              <w:t>一览表</w:t>
            </w:r>
          </w:p>
          <w:tbl>
            <w:tblPr>
              <w:tblStyle w:val="31"/>
              <w:tblW w:w="7816" w:type="dxa"/>
              <w:tblInd w:w="16"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524"/>
              <w:gridCol w:w="643"/>
              <w:gridCol w:w="1457"/>
              <w:gridCol w:w="2258"/>
              <w:gridCol w:w="2934"/>
            </w:tblGrid>
            <w:tr w14:paraId="2D79912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37" w:hRule="atLeast"/>
              </w:trPr>
              <w:tc>
                <w:tcPr>
                  <w:tcW w:w="524" w:type="dxa"/>
                  <w:tcBorders>
                    <w:tl2br w:val="nil"/>
                    <w:tr2bl w:val="nil"/>
                  </w:tcBorders>
                  <w:tcMar>
                    <w:top w:w="0" w:type="dxa"/>
                    <w:left w:w="28" w:type="dxa"/>
                    <w:bottom w:w="0" w:type="dxa"/>
                    <w:right w:w="28" w:type="dxa"/>
                  </w:tcMar>
                  <w:vAlign w:val="center"/>
                </w:tcPr>
                <w:p w14:paraId="79456870">
                  <w:pPr>
                    <w:kinsoku w:val="0"/>
                    <w:overflowPunct w:val="0"/>
                    <w:autoSpaceDE w:val="0"/>
                    <w:autoSpaceDN w:val="0"/>
                    <w:adjustRightInd w:val="0"/>
                    <w:spacing w:line="240" w:lineRule="exact"/>
                    <w:jc w:val="center"/>
                    <w:rPr>
                      <w:color w:val="auto"/>
                      <w:kern w:val="0"/>
                      <w:szCs w:val="21"/>
                    </w:rPr>
                  </w:pPr>
                  <w:r>
                    <w:rPr>
                      <w:color w:val="auto"/>
                      <w:kern w:val="0"/>
                      <w:szCs w:val="21"/>
                    </w:rPr>
                    <w:t>类别</w:t>
                  </w:r>
                </w:p>
              </w:tc>
              <w:tc>
                <w:tcPr>
                  <w:tcW w:w="643" w:type="dxa"/>
                  <w:tcBorders>
                    <w:tl2br w:val="nil"/>
                    <w:tr2bl w:val="nil"/>
                  </w:tcBorders>
                  <w:tcMar>
                    <w:top w:w="0" w:type="dxa"/>
                    <w:left w:w="28" w:type="dxa"/>
                    <w:bottom w:w="0" w:type="dxa"/>
                    <w:right w:w="28" w:type="dxa"/>
                  </w:tcMar>
                  <w:vAlign w:val="center"/>
                </w:tcPr>
                <w:p w14:paraId="5F3D7069">
                  <w:pPr>
                    <w:kinsoku w:val="0"/>
                    <w:overflowPunct w:val="0"/>
                    <w:autoSpaceDE w:val="0"/>
                    <w:autoSpaceDN w:val="0"/>
                    <w:adjustRightInd w:val="0"/>
                    <w:spacing w:line="240" w:lineRule="exact"/>
                    <w:jc w:val="center"/>
                    <w:rPr>
                      <w:color w:val="auto"/>
                      <w:kern w:val="0"/>
                      <w:szCs w:val="21"/>
                    </w:rPr>
                  </w:pPr>
                  <w:r>
                    <w:rPr>
                      <w:color w:val="auto"/>
                      <w:kern w:val="0"/>
                      <w:szCs w:val="21"/>
                    </w:rPr>
                    <w:t>序号</w:t>
                  </w:r>
                </w:p>
              </w:tc>
              <w:tc>
                <w:tcPr>
                  <w:tcW w:w="1457" w:type="dxa"/>
                  <w:tcBorders>
                    <w:tl2br w:val="nil"/>
                    <w:tr2bl w:val="nil"/>
                  </w:tcBorders>
                  <w:tcMar>
                    <w:top w:w="0" w:type="dxa"/>
                    <w:left w:w="28" w:type="dxa"/>
                    <w:bottom w:w="0" w:type="dxa"/>
                    <w:right w:w="28" w:type="dxa"/>
                  </w:tcMar>
                  <w:vAlign w:val="center"/>
                </w:tcPr>
                <w:p w14:paraId="4CE6B58B">
                  <w:pPr>
                    <w:kinsoku w:val="0"/>
                    <w:overflowPunct w:val="0"/>
                    <w:autoSpaceDE w:val="0"/>
                    <w:autoSpaceDN w:val="0"/>
                    <w:adjustRightInd w:val="0"/>
                    <w:spacing w:line="240" w:lineRule="exact"/>
                    <w:jc w:val="center"/>
                    <w:rPr>
                      <w:color w:val="auto"/>
                      <w:kern w:val="0"/>
                      <w:szCs w:val="21"/>
                    </w:rPr>
                  </w:pPr>
                  <w:r>
                    <w:rPr>
                      <w:color w:val="auto"/>
                      <w:kern w:val="0"/>
                      <w:szCs w:val="21"/>
                    </w:rPr>
                    <w:t>污染源</w:t>
                  </w:r>
                  <w:r>
                    <w:rPr>
                      <w:rFonts w:hint="eastAsia"/>
                      <w:color w:val="auto"/>
                      <w:kern w:val="0"/>
                      <w:szCs w:val="21"/>
                    </w:rPr>
                    <w:t>/工序</w:t>
                  </w:r>
                </w:p>
              </w:tc>
              <w:tc>
                <w:tcPr>
                  <w:tcW w:w="2258" w:type="dxa"/>
                  <w:tcBorders>
                    <w:tl2br w:val="nil"/>
                    <w:tr2bl w:val="nil"/>
                  </w:tcBorders>
                  <w:tcMar>
                    <w:top w:w="0" w:type="dxa"/>
                    <w:left w:w="28" w:type="dxa"/>
                    <w:bottom w:w="0" w:type="dxa"/>
                    <w:right w:w="28" w:type="dxa"/>
                  </w:tcMar>
                  <w:vAlign w:val="center"/>
                </w:tcPr>
                <w:p w14:paraId="4A9038F0">
                  <w:pPr>
                    <w:kinsoku w:val="0"/>
                    <w:overflowPunct w:val="0"/>
                    <w:autoSpaceDE w:val="0"/>
                    <w:autoSpaceDN w:val="0"/>
                    <w:adjustRightInd w:val="0"/>
                    <w:spacing w:line="240" w:lineRule="exact"/>
                    <w:jc w:val="center"/>
                    <w:rPr>
                      <w:color w:val="auto"/>
                      <w:kern w:val="0"/>
                      <w:szCs w:val="21"/>
                    </w:rPr>
                  </w:pPr>
                  <w:r>
                    <w:rPr>
                      <w:color w:val="auto"/>
                      <w:kern w:val="0"/>
                      <w:szCs w:val="21"/>
                    </w:rPr>
                    <w:t>主要污染</w:t>
                  </w:r>
                  <w:r>
                    <w:rPr>
                      <w:rFonts w:hint="eastAsia"/>
                      <w:color w:val="auto"/>
                      <w:kern w:val="0"/>
                      <w:szCs w:val="21"/>
                    </w:rPr>
                    <w:t>物</w:t>
                  </w:r>
                </w:p>
              </w:tc>
              <w:tc>
                <w:tcPr>
                  <w:tcW w:w="2934" w:type="dxa"/>
                  <w:tcBorders>
                    <w:tl2br w:val="nil"/>
                    <w:tr2bl w:val="nil"/>
                  </w:tcBorders>
                  <w:tcMar>
                    <w:top w:w="0" w:type="dxa"/>
                    <w:left w:w="28" w:type="dxa"/>
                    <w:bottom w:w="0" w:type="dxa"/>
                    <w:right w:w="28" w:type="dxa"/>
                  </w:tcMar>
                  <w:vAlign w:val="center"/>
                </w:tcPr>
                <w:p w14:paraId="21CE8FE5">
                  <w:pPr>
                    <w:kinsoku w:val="0"/>
                    <w:overflowPunct w:val="0"/>
                    <w:autoSpaceDE w:val="0"/>
                    <w:autoSpaceDN w:val="0"/>
                    <w:adjustRightInd w:val="0"/>
                    <w:spacing w:line="240" w:lineRule="exact"/>
                    <w:jc w:val="center"/>
                    <w:rPr>
                      <w:color w:val="auto"/>
                      <w:kern w:val="0"/>
                      <w:szCs w:val="21"/>
                    </w:rPr>
                  </w:pPr>
                  <w:r>
                    <w:rPr>
                      <w:color w:val="auto"/>
                      <w:kern w:val="0"/>
                      <w:szCs w:val="21"/>
                    </w:rPr>
                    <w:t>治理措施</w:t>
                  </w:r>
                </w:p>
              </w:tc>
            </w:tr>
            <w:tr w14:paraId="3BBAFEB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37" w:hRule="atLeast"/>
              </w:trPr>
              <w:tc>
                <w:tcPr>
                  <w:tcW w:w="524" w:type="dxa"/>
                  <w:vMerge w:val="restart"/>
                  <w:tcBorders>
                    <w:tl2br w:val="nil"/>
                    <w:tr2bl w:val="nil"/>
                  </w:tcBorders>
                  <w:tcMar>
                    <w:top w:w="0" w:type="dxa"/>
                    <w:left w:w="28" w:type="dxa"/>
                    <w:bottom w:w="0" w:type="dxa"/>
                    <w:right w:w="28" w:type="dxa"/>
                  </w:tcMar>
                  <w:vAlign w:val="center"/>
                </w:tcPr>
                <w:p w14:paraId="7ED001C5">
                  <w:pPr>
                    <w:kinsoku w:val="0"/>
                    <w:overflowPunct w:val="0"/>
                    <w:autoSpaceDE w:val="0"/>
                    <w:autoSpaceDN w:val="0"/>
                    <w:adjustRightInd w:val="0"/>
                    <w:spacing w:line="240" w:lineRule="exact"/>
                    <w:jc w:val="center"/>
                    <w:rPr>
                      <w:rFonts w:hint="eastAsia" w:eastAsia="宋体"/>
                      <w:color w:val="auto"/>
                      <w:kern w:val="0"/>
                      <w:szCs w:val="21"/>
                      <w:lang w:eastAsia="zh-CN"/>
                    </w:rPr>
                  </w:pPr>
                  <w:r>
                    <w:rPr>
                      <w:rFonts w:hint="eastAsia"/>
                      <w:color w:val="auto"/>
                      <w:kern w:val="0"/>
                      <w:szCs w:val="21"/>
                      <w:lang w:eastAsia="zh-CN"/>
                    </w:rPr>
                    <w:t>废气</w:t>
                  </w:r>
                </w:p>
              </w:tc>
              <w:tc>
                <w:tcPr>
                  <w:tcW w:w="643" w:type="dxa"/>
                  <w:tcBorders>
                    <w:tl2br w:val="nil"/>
                    <w:tr2bl w:val="nil"/>
                  </w:tcBorders>
                  <w:tcMar>
                    <w:top w:w="0" w:type="dxa"/>
                    <w:left w:w="28" w:type="dxa"/>
                    <w:bottom w:w="0" w:type="dxa"/>
                    <w:right w:w="28" w:type="dxa"/>
                  </w:tcMar>
                  <w:vAlign w:val="center"/>
                </w:tcPr>
                <w:p w14:paraId="156E47C3">
                  <w:pPr>
                    <w:kinsoku w:val="0"/>
                    <w:overflowPunct w:val="0"/>
                    <w:autoSpaceDE w:val="0"/>
                    <w:autoSpaceDN w:val="0"/>
                    <w:adjustRightInd w:val="0"/>
                    <w:spacing w:line="240" w:lineRule="exact"/>
                    <w:jc w:val="center"/>
                    <w:rPr>
                      <w:rFonts w:hint="default" w:eastAsia="宋体"/>
                      <w:color w:val="auto"/>
                      <w:kern w:val="0"/>
                      <w:szCs w:val="21"/>
                      <w:lang w:val="en-US" w:eastAsia="zh-CN"/>
                    </w:rPr>
                  </w:pPr>
                  <w:r>
                    <w:rPr>
                      <w:rFonts w:hint="eastAsia"/>
                      <w:color w:val="auto"/>
                      <w:kern w:val="0"/>
                      <w:szCs w:val="21"/>
                      <w:lang w:val="en-US" w:eastAsia="zh-CN"/>
                    </w:rPr>
                    <w:t>G1</w:t>
                  </w:r>
                </w:p>
              </w:tc>
              <w:tc>
                <w:tcPr>
                  <w:tcW w:w="1457" w:type="dxa"/>
                  <w:tcBorders>
                    <w:tl2br w:val="nil"/>
                    <w:tr2bl w:val="nil"/>
                  </w:tcBorders>
                  <w:tcMar>
                    <w:top w:w="0" w:type="dxa"/>
                    <w:left w:w="28" w:type="dxa"/>
                    <w:bottom w:w="0" w:type="dxa"/>
                    <w:right w:w="28" w:type="dxa"/>
                  </w:tcMar>
                  <w:vAlign w:val="center"/>
                </w:tcPr>
                <w:p w14:paraId="5076BF69">
                  <w:pPr>
                    <w:kinsoku w:val="0"/>
                    <w:overflowPunct w:val="0"/>
                    <w:autoSpaceDE w:val="0"/>
                    <w:autoSpaceDN w:val="0"/>
                    <w:adjustRightInd w:val="0"/>
                    <w:spacing w:line="240" w:lineRule="exact"/>
                    <w:jc w:val="center"/>
                    <w:rPr>
                      <w:rFonts w:hint="eastAsia" w:eastAsia="宋体"/>
                      <w:color w:val="auto"/>
                      <w:kern w:val="0"/>
                      <w:szCs w:val="21"/>
                      <w:lang w:val="en-US" w:eastAsia="zh-CN"/>
                    </w:rPr>
                  </w:pPr>
                  <w:r>
                    <w:rPr>
                      <w:rFonts w:hint="eastAsia"/>
                      <w:color w:val="auto"/>
                      <w:kern w:val="0"/>
                      <w:szCs w:val="21"/>
                      <w:lang w:val="en-US" w:eastAsia="zh-CN"/>
                    </w:rPr>
                    <w:t>切割</w:t>
                  </w:r>
                </w:p>
              </w:tc>
              <w:tc>
                <w:tcPr>
                  <w:tcW w:w="2258" w:type="dxa"/>
                  <w:tcBorders>
                    <w:tl2br w:val="nil"/>
                    <w:tr2bl w:val="nil"/>
                  </w:tcBorders>
                  <w:tcMar>
                    <w:top w:w="0" w:type="dxa"/>
                    <w:left w:w="28" w:type="dxa"/>
                    <w:bottom w:w="0" w:type="dxa"/>
                    <w:right w:w="28" w:type="dxa"/>
                  </w:tcMar>
                  <w:vAlign w:val="center"/>
                </w:tcPr>
                <w:p w14:paraId="20DFBC3E">
                  <w:pPr>
                    <w:kinsoku w:val="0"/>
                    <w:overflowPunct w:val="0"/>
                    <w:autoSpaceDE w:val="0"/>
                    <w:autoSpaceDN w:val="0"/>
                    <w:adjustRightInd w:val="0"/>
                    <w:spacing w:line="240" w:lineRule="exact"/>
                    <w:jc w:val="center"/>
                    <w:rPr>
                      <w:rFonts w:hint="eastAsia" w:eastAsia="宋体"/>
                      <w:color w:val="auto"/>
                      <w:kern w:val="0"/>
                      <w:szCs w:val="21"/>
                      <w:lang w:eastAsia="zh-CN"/>
                    </w:rPr>
                  </w:pPr>
                  <w:r>
                    <w:rPr>
                      <w:rFonts w:hint="eastAsia"/>
                      <w:color w:val="auto"/>
                      <w:kern w:val="0"/>
                      <w:szCs w:val="21"/>
                      <w:lang w:eastAsia="zh-CN"/>
                    </w:rPr>
                    <w:t>颗粒物</w:t>
                  </w:r>
                </w:p>
              </w:tc>
              <w:tc>
                <w:tcPr>
                  <w:tcW w:w="2934" w:type="dxa"/>
                  <w:tcBorders>
                    <w:tl2br w:val="nil"/>
                    <w:tr2bl w:val="nil"/>
                  </w:tcBorders>
                  <w:tcMar>
                    <w:top w:w="0" w:type="dxa"/>
                    <w:left w:w="28" w:type="dxa"/>
                    <w:bottom w:w="0" w:type="dxa"/>
                    <w:right w:w="28" w:type="dxa"/>
                  </w:tcMar>
                  <w:vAlign w:val="center"/>
                </w:tcPr>
                <w:p w14:paraId="18DE18CA">
                  <w:pPr>
                    <w:kinsoku w:val="0"/>
                    <w:overflowPunct w:val="0"/>
                    <w:autoSpaceDE w:val="0"/>
                    <w:autoSpaceDN w:val="0"/>
                    <w:adjustRightInd w:val="0"/>
                    <w:spacing w:line="240" w:lineRule="exact"/>
                    <w:jc w:val="center"/>
                    <w:rPr>
                      <w:rFonts w:hint="default" w:eastAsia="宋体"/>
                      <w:color w:val="auto"/>
                      <w:kern w:val="0"/>
                      <w:szCs w:val="21"/>
                      <w:lang w:val="en-US" w:eastAsia="zh-CN"/>
                    </w:rPr>
                  </w:pPr>
                  <w:r>
                    <w:rPr>
                      <w:rFonts w:hint="eastAsia"/>
                      <w:color w:val="auto"/>
                      <w:kern w:val="0"/>
                      <w:szCs w:val="21"/>
                      <w:lang w:val="en-US" w:eastAsia="zh-CN"/>
                    </w:rPr>
                    <w:t>集气罩+布袋除尘处理+25m排气筒DA001高空排放</w:t>
                  </w:r>
                </w:p>
              </w:tc>
            </w:tr>
            <w:tr w14:paraId="501B6A7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37" w:hRule="atLeast"/>
              </w:trPr>
              <w:tc>
                <w:tcPr>
                  <w:tcW w:w="524" w:type="dxa"/>
                  <w:vMerge w:val="continue"/>
                  <w:tcBorders>
                    <w:tl2br w:val="nil"/>
                    <w:tr2bl w:val="nil"/>
                  </w:tcBorders>
                  <w:tcMar>
                    <w:top w:w="0" w:type="dxa"/>
                    <w:left w:w="28" w:type="dxa"/>
                    <w:bottom w:w="0" w:type="dxa"/>
                    <w:right w:w="28" w:type="dxa"/>
                  </w:tcMar>
                  <w:vAlign w:val="center"/>
                </w:tcPr>
                <w:p w14:paraId="1924C532">
                  <w:pPr>
                    <w:kinsoku w:val="0"/>
                    <w:overflowPunct w:val="0"/>
                    <w:autoSpaceDE w:val="0"/>
                    <w:autoSpaceDN w:val="0"/>
                    <w:adjustRightInd w:val="0"/>
                    <w:spacing w:line="240" w:lineRule="exact"/>
                    <w:jc w:val="center"/>
                    <w:rPr>
                      <w:rFonts w:hint="eastAsia"/>
                      <w:color w:val="auto"/>
                      <w:kern w:val="0"/>
                      <w:szCs w:val="21"/>
                      <w:lang w:eastAsia="zh-CN"/>
                    </w:rPr>
                  </w:pPr>
                </w:p>
              </w:tc>
              <w:tc>
                <w:tcPr>
                  <w:tcW w:w="643" w:type="dxa"/>
                  <w:tcBorders>
                    <w:tl2br w:val="nil"/>
                    <w:tr2bl w:val="nil"/>
                  </w:tcBorders>
                  <w:tcMar>
                    <w:top w:w="0" w:type="dxa"/>
                    <w:left w:w="28" w:type="dxa"/>
                    <w:bottom w:w="0" w:type="dxa"/>
                    <w:right w:w="28" w:type="dxa"/>
                  </w:tcMar>
                  <w:vAlign w:val="center"/>
                </w:tcPr>
                <w:p w14:paraId="4E54A525">
                  <w:pPr>
                    <w:kinsoku w:val="0"/>
                    <w:overflowPunct w:val="0"/>
                    <w:autoSpaceDE w:val="0"/>
                    <w:autoSpaceDN w:val="0"/>
                    <w:adjustRightInd w:val="0"/>
                    <w:spacing w:line="240" w:lineRule="exact"/>
                    <w:jc w:val="center"/>
                    <w:rPr>
                      <w:rFonts w:hint="default"/>
                      <w:color w:val="auto"/>
                      <w:kern w:val="0"/>
                      <w:szCs w:val="21"/>
                      <w:lang w:val="en-US" w:eastAsia="zh-CN"/>
                    </w:rPr>
                  </w:pPr>
                  <w:r>
                    <w:rPr>
                      <w:rFonts w:hint="eastAsia"/>
                      <w:color w:val="auto"/>
                      <w:kern w:val="0"/>
                      <w:szCs w:val="21"/>
                      <w:lang w:val="en-US" w:eastAsia="zh-CN"/>
                    </w:rPr>
                    <w:t>G2</w:t>
                  </w:r>
                </w:p>
              </w:tc>
              <w:tc>
                <w:tcPr>
                  <w:tcW w:w="1457" w:type="dxa"/>
                  <w:tcBorders>
                    <w:tl2br w:val="nil"/>
                    <w:tr2bl w:val="nil"/>
                  </w:tcBorders>
                  <w:tcMar>
                    <w:top w:w="0" w:type="dxa"/>
                    <w:left w:w="28" w:type="dxa"/>
                    <w:bottom w:w="0" w:type="dxa"/>
                    <w:right w:w="28" w:type="dxa"/>
                  </w:tcMar>
                  <w:vAlign w:val="center"/>
                </w:tcPr>
                <w:p w14:paraId="0E0E6099">
                  <w:pPr>
                    <w:kinsoku w:val="0"/>
                    <w:overflowPunct w:val="0"/>
                    <w:autoSpaceDE w:val="0"/>
                    <w:autoSpaceDN w:val="0"/>
                    <w:adjustRightInd w:val="0"/>
                    <w:spacing w:line="240" w:lineRule="exact"/>
                    <w:jc w:val="center"/>
                    <w:rPr>
                      <w:rFonts w:hint="eastAsia"/>
                      <w:color w:val="auto"/>
                      <w:kern w:val="0"/>
                      <w:szCs w:val="21"/>
                      <w:lang w:val="en-US" w:eastAsia="zh-CN"/>
                    </w:rPr>
                  </w:pPr>
                  <w:r>
                    <w:rPr>
                      <w:rFonts w:hint="eastAsia"/>
                      <w:color w:val="auto"/>
                      <w:kern w:val="0"/>
                      <w:szCs w:val="21"/>
                      <w:lang w:val="en-US" w:eastAsia="zh-CN"/>
                    </w:rPr>
                    <w:t>焊接</w:t>
                  </w:r>
                </w:p>
              </w:tc>
              <w:tc>
                <w:tcPr>
                  <w:tcW w:w="2258" w:type="dxa"/>
                  <w:tcBorders>
                    <w:tl2br w:val="nil"/>
                    <w:tr2bl w:val="nil"/>
                  </w:tcBorders>
                  <w:tcMar>
                    <w:top w:w="0" w:type="dxa"/>
                    <w:left w:w="28" w:type="dxa"/>
                    <w:bottom w:w="0" w:type="dxa"/>
                    <w:right w:w="28" w:type="dxa"/>
                  </w:tcMar>
                  <w:vAlign w:val="center"/>
                </w:tcPr>
                <w:p w14:paraId="10D2CE36">
                  <w:pPr>
                    <w:kinsoku w:val="0"/>
                    <w:overflowPunct w:val="0"/>
                    <w:autoSpaceDE w:val="0"/>
                    <w:autoSpaceDN w:val="0"/>
                    <w:adjustRightInd w:val="0"/>
                    <w:spacing w:line="240" w:lineRule="exact"/>
                    <w:jc w:val="center"/>
                    <w:rPr>
                      <w:rFonts w:hint="eastAsia"/>
                      <w:color w:val="auto"/>
                      <w:kern w:val="0"/>
                      <w:szCs w:val="21"/>
                      <w:lang w:eastAsia="zh-CN"/>
                    </w:rPr>
                  </w:pPr>
                  <w:r>
                    <w:rPr>
                      <w:rFonts w:hint="eastAsia"/>
                      <w:color w:val="auto"/>
                      <w:kern w:val="0"/>
                      <w:szCs w:val="21"/>
                      <w:lang w:eastAsia="zh-CN"/>
                    </w:rPr>
                    <w:t>焊接烟尘</w:t>
                  </w:r>
                </w:p>
              </w:tc>
              <w:tc>
                <w:tcPr>
                  <w:tcW w:w="2934" w:type="dxa"/>
                  <w:tcBorders>
                    <w:tl2br w:val="nil"/>
                    <w:tr2bl w:val="nil"/>
                  </w:tcBorders>
                  <w:tcMar>
                    <w:top w:w="0" w:type="dxa"/>
                    <w:left w:w="28" w:type="dxa"/>
                    <w:bottom w:w="0" w:type="dxa"/>
                    <w:right w:w="28" w:type="dxa"/>
                  </w:tcMar>
                  <w:vAlign w:val="center"/>
                </w:tcPr>
                <w:p w14:paraId="09C7CC71">
                  <w:pPr>
                    <w:kinsoku w:val="0"/>
                    <w:overflowPunct w:val="0"/>
                    <w:autoSpaceDE w:val="0"/>
                    <w:autoSpaceDN w:val="0"/>
                    <w:adjustRightInd w:val="0"/>
                    <w:spacing w:line="240" w:lineRule="exact"/>
                    <w:jc w:val="center"/>
                    <w:rPr>
                      <w:rFonts w:hint="eastAsia"/>
                      <w:color w:val="auto"/>
                      <w:kern w:val="0"/>
                      <w:szCs w:val="21"/>
                      <w:lang w:val="en-US" w:eastAsia="zh-CN"/>
                    </w:rPr>
                  </w:pPr>
                  <w:r>
                    <w:rPr>
                      <w:rFonts w:hint="eastAsia"/>
                      <w:color w:val="auto"/>
                      <w:kern w:val="0"/>
                      <w:szCs w:val="21"/>
                      <w:lang w:val="en-US" w:eastAsia="zh-CN"/>
                    </w:rPr>
                    <w:t>移动式焊接烟尘处理后车间内无组织排放</w:t>
                  </w:r>
                </w:p>
              </w:tc>
            </w:tr>
            <w:tr w14:paraId="0AB3F3F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37" w:hRule="atLeast"/>
              </w:trPr>
              <w:tc>
                <w:tcPr>
                  <w:tcW w:w="524" w:type="dxa"/>
                  <w:vMerge w:val="continue"/>
                  <w:tcBorders>
                    <w:tl2br w:val="nil"/>
                    <w:tr2bl w:val="nil"/>
                  </w:tcBorders>
                  <w:tcMar>
                    <w:top w:w="0" w:type="dxa"/>
                    <w:left w:w="28" w:type="dxa"/>
                    <w:bottom w:w="0" w:type="dxa"/>
                    <w:right w:w="28" w:type="dxa"/>
                  </w:tcMar>
                  <w:vAlign w:val="center"/>
                </w:tcPr>
                <w:p w14:paraId="512C9245">
                  <w:pPr>
                    <w:kinsoku w:val="0"/>
                    <w:overflowPunct w:val="0"/>
                    <w:autoSpaceDE w:val="0"/>
                    <w:autoSpaceDN w:val="0"/>
                    <w:adjustRightInd w:val="0"/>
                    <w:spacing w:line="240" w:lineRule="exact"/>
                    <w:jc w:val="center"/>
                    <w:rPr>
                      <w:rFonts w:hint="eastAsia"/>
                      <w:color w:val="auto"/>
                      <w:kern w:val="0"/>
                      <w:szCs w:val="21"/>
                      <w:lang w:eastAsia="zh-CN"/>
                    </w:rPr>
                  </w:pPr>
                </w:p>
              </w:tc>
              <w:tc>
                <w:tcPr>
                  <w:tcW w:w="643" w:type="dxa"/>
                  <w:tcBorders>
                    <w:tl2br w:val="nil"/>
                    <w:tr2bl w:val="nil"/>
                  </w:tcBorders>
                  <w:tcMar>
                    <w:top w:w="0" w:type="dxa"/>
                    <w:left w:w="28" w:type="dxa"/>
                    <w:bottom w:w="0" w:type="dxa"/>
                    <w:right w:w="28" w:type="dxa"/>
                  </w:tcMar>
                  <w:vAlign w:val="center"/>
                </w:tcPr>
                <w:p w14:paraId="3BC3D54E">
                  <w:pPr>
                    <w:kinsoku w:val="0"/>
                    <w:overflowPunct w:val="0"/>
                    <w:autoSpaceDE w:val="0"/>
                    <w:autoSpaceDN w:val="0"/>
                    <w:adjustRightInd w:val="0"/>
                    <w:spacing w:line="240" w:lineRule="exact"/>
                    <w:jc w:val="center"/>
                    <w:rPr>
                      <w:rFonts w:hint="default"/>
                      <w:color w:val="auto"/>
                      <w:kern w:val="0"/>
                      <w:szCs w:val="21"/>
                      <w:lang w:val="en-US" w:eastAsia="zh-CN"/>
                    </w:rPr>
                  </w:pPr>
                  <w:r>
                    <w:rPr>
                      <w:rFonts w:hint="eastAsia"/>
                      <w:color w:val="auto"/>
                      <w:kern w:val="0"/>
                      <w:szCs w:val="21"/>
                      <w:lang w:val="en-US" w:eastAsia="zh-CN"/>
                    </w:rPr>
                    <w:t>G3</w:t>
                  </w:r>
                </w:p>
              </w:tc>
              <w:tc>
                <w:tcPr>
                  <w:tcW w:w="1457" w:type="dxa"/>
                  <w:tcBorders>
                    <w:tl2br w:val="nil"/>
                    <w:tr2bl w:val="nil"/>
                  </w:tcBorders>
                  <w:tcMar>
                    <w:top w:w="0" w:type="dxa"/>
                    <w:left w:w="28" w:type="dxa"/>
                    <w:bottom w:w="0" w:type="dxa"/>
                    <w:right w:w="28" w:type="dxa"/>
                  </w:tcMar>
                  <w:vAlign w:val="center"/>
                </w:tcPr>
                <w:p w14:paraId="00B8F50E">
                  <w:pPr>
                    <w:kinsoku w:val="0"/>
                    <w:overflowPunct w:val="0"/>
                    <w:autoSpaceDE w:val="0"/>
                    <w:autoSpaceDN w:val="0"/>
                    <w:adjustRightInd w:val="0"/>
                    <w:spacing w:line="240" w:lineRule="exact"/>
                    <w:jc w:val="center"/>
                    <w:rPr>
                      <w:rFonts w:hint="default"/>
                      <w:color w:val="auto"/>
                      <w:kern w:val="0"/>
                      <w:szCs w:val="21"/>
                      <w:lang w:val="en-US" w:eastAsia="zh-CN"/>
                    </w:rPr>
                  </w:pPr>
                  <w:r>
                    <w:rPr>
                      <w:rFonts w:hint="eastAsia"/>
                      <w:color w:val="auto"/>
                      <w:kern w:val="0"/>
                      <w:szCs w:val="21"/>
                      <w:lang w:val="en-US" w:eastAsia="zh-CN"/>
                    </w:rPr>
                    <w:t>抛丸</w:t>
                  </w:r>
                </w:p>
              </w:tc>
              <w:tc>
                <w:tcPr>
                  <w:tcW w:w="2258" w:type="dxa"/>
                  <w:tcBorders>
                    <w:tl2br w:val="nil"/>
                    <w:tr2bl w:val="nil"/>
                  </w:tcBorders>
                  <w:tcMar>
                    <w:top w:w="0" w:type="dxa"/>
                    <w:left w:w="28" w:type="dxa"/>
                    <w:bottom w:w="0" w:type="dxa"/>
                    <w:right w:w="28" w:type="dxa"/>
                  </w:tcMar>
                  <w:vAlign w:val="center"/>
                </w:tcPr>
                <w:p w14:paraId="7E0CF9C7">
                  <w:pPr>
                    <w:kinsoku w:val="0"/>
                    <w:overflowPunct w:val="0"/>
                    <w:autoSpaceDE w:val="0"/>
                    <w:autoSpaceDN w:val="0"/>
                    <w:adjustRightInd w:val="0"/>
                    <w:spacing w:line="240" w:lineRule="exact"/>
                    <w:jc w:val="center"/>
                    <w:rPr>
                      <w:rFonts w:hint="eastAsia"/>
                      <w:color w:val="auto"/>
                      <w:kern w:val="0"/>
                      <w:szCs w:val="21"/>
                      <w:lang w:eastAsia="zh-CN"/>
                    </w:rPr>
                  </w:pPr>
                  <w:r>
                    <w:rPr>
                      <w:rFonts w:hint="eastAsia"/>
                      <w:color w:val="auto"/>
                      <w:kern w:val="0"/>
                      <w:szCs w:val="21"/>
                      <w:lang w:eastAsia="zh-CN"/>
                    </w:rPr>
                    <w:t>颗粒物</w:t>
                  </w:r>
                </w:p>
              </w:tc>
              <w:tc>
                <w:tcPr>
                  <w:tcW w:w="2934" w:type="dxa"/>
                  <w:tcBorders>
                    <w:tl2br w:val="nil"/>
                    <w:tr2bl w:val="nil"/>
                  </w:tcBorders>
                  <w:tcMar>
                    <w:top w:w="0" w:type="dxa"/>
                    <w:left w:w="28" w:type="dxa"/>
                    <w:bottom w:w="0" w:type="dxa"/>
                    <w:right w:w="28" w:type="dxa"/>
                  </w:tcMar>
                  <w:vAlign w:val="center"/>
                </w:tcPr>
                <w:p w14:paraId="066FFED9">
                  <w:pPr>
                    <w:kinsoku w:val="0"/>
                    <w:overflowPunct w:val="0"/>
                    <w:autoSpaceDE w:val="0"/>
                    <w:autoSpaceDN w:val="0"/>
                    <w:adjustRightInd w:val="0"/>
                    <w:spacing w:line="240" w:lineRule="exact"/>
                    <w:jc w:val="center"/>
                    <w:rPr>
                      <w:rFonts w:hint="default"/>
                      <w:color w:val="auto"/>
                      <w:kern w:val="0"/>
                      <w:szCs w:val="21"/>
                      <w:lang w:val="en-US" w:eastAsia="zh-CN"/>
                    </w:rPr>
                  </w:pPr>
                  <w:r>
                    <w:rPr>
                      <w:rFonts w:hint="eastAsia"/>
                      <w:color w:val="auto"/>
                      <w:kern w:val="0"/>
                      <w:szCs w:val="21"/>
                      <w:lang w:val="en-US" w:eastAsia="zh-CN"/>
                    </w:rPr>
                    <w:t>设备自带布袋除尘处理+25m排气筒DA002高空排放</w:t>
                  </w:r>
                </w:p>
              </w:tc>
            </w:tr>
            <w:tr w14:paraId="3AA85FB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37" w:hRule="atLeast"/>
              </w:trPr>
              <w:tc>
                <w:tcPr>
                  <w:tcW w:w="524" w:type="dxa"/>
                  <w:vMerge w:val="continue"/>
                  <w:tcBorders>
                    <w:tl2br w:val="nil"/>
                    <w:tr2bl w:val="nil"/>
                  </w:tcBorders>
                  <w:tcMar>
                    <w:top w:w="0" w:type="dxa"/>
                    <w:left w:w="28" w:type="dxa"/>
                    <w:bottom w:w="0" w:type="dxa"/>
                    <w:right w:w="28" w:type="dxa"/>
                  </w:tcMar>
                  <w:vAlign w:val="center"/>
                </w:tcPr>
                <w:p w14:paraId="21E36977">
                  <w:pPr>
                    <w:kinsoku w:val="0"/>
                    <w:overflowPunct w:val="0"/>
                    <w:autoSpaceDE w:val="0"/>
                    <w:autoSpaceDN w:val="0"/>
                    <w:adjustRightInd w:val="0"/>
                    <w:spacing w:line="240" w:lineRule="exact"/>
                    <w:jc w:val="center"/>
                    <w:rPr>
                      <w:rFonts w:hint="eastAsia"/>
                      <w:color w:val="auto"/>
                      <w:kern w:val="0"/>
                      <w:szCs w:val="21"/>
                      <w:lang w:eastAsia="zh-CN"/>
                    </w:rPr>
                  </w:pPr>
                </w:p>
              </w:tc>
              <w:tc>
                <w:tcPr>
                  <w:tcW w:w="643" w:type="dxa"/>
                  <w:tcBorders>
                    <w:tl2br w:val="nil"/>
                    <w:tr2bl w:val="nil"/>
                  </w:tcBorders>
                  <w:tcMar>
                    <w:top w:w="0" w:type="dxa"/>
                    <w:left w:w="28" w:type="dxa"/>
                    <w:bottom w:w="0" w:type="dxa"/>
                    <w:right w:w="28" w:type="dxa"/>
                  </w:tcMar>
                  <w:vAlign w:val="center"/>
                </w:tcPr>
                <w:p w14:paraId="6ADFFF63">
                  <w:pPr>
                    <w:kinsoku w:val="0"/>
                    <w:overflowPunct w:val="0"/>
                    <w:autoSpaceDE w:val="0"/>
                    <w:autoSpaceDN w:val="0"/>
                    <w:adjustRightInd w:val="0"/>
                    <w:spacing w:line="240" w:lineRule="exact"/>
                    <w:jc w:val="center"/>
                    <w:rPr>
                      <w:rFonts w:hint="default"/>
                      <w:color w:val="auto"/>
                      <w:kern w:val="0"/>
                      <w:szCs w:val="21"/>
                      <w:lang w:val="en-US" w:eastAsia="zh-CN"/>
                    </w:rPr>
                  </w:pPr>
                  <w:r>
                    <w:rPr>
                      <w:rFonts w:hint="eastAsia"/>
                      <w:color w:val="auto"/>
                      <w:kern w:val="0"/>
                      <w:szCs w:val="21"/>
                      <w:lang w:val="en-US" w:eastAsia="zh-CN"/>
                    </w:rPr>
                    <w:t>G4</w:t>
                  </w:r>
                </w:p>
              </w:tc>
              <w:tc>
                <w:tcPr>
                  <w:tcW w:w="1457" w:type="dxa"/>
                  <w:tcBorders>
                    <w:tl2br w:val="nil"/>
                    <w:tr2bl w:val="nil"/>
                  </w:tcBorders>
                  <w:tcMar>
                    <w:top w:w="0" w:type="dxa"/>
                    <w:left w:w="28" w:type="dxa"/>
                    <w:bottom w:w="0" w:type="dxa"/>
                    <w:right w:w="28" w:type="dxa"/>
                  </w:tcMar>
                  <w:vAlign w:val="center"/>
                </w:tcPr>
                <w:p w14:paraId="079E3315">
                  <w:pPr>
                    <w:kinsoku w:val="0"/>
                    <w:overflowPunct w:val="0"/>
                    <w:autoSpaceDE w:val="0"/>
                    <w:autoSpaceDN w:val="0"/>
                    <w:adjustRightInd w:val="0"/>
                    <w:spacing w:line="240" w:lineRule="exact"/>
                    <w:jc w:val="center"/>
                    <w:rPr>
                      <w:rFonts w:hint="eastAsia"/>
                      <w:color w:val="auto"/>
                      <w:kern w:val="0"/>
                      <w:szCs w:val="21"/>
                      <w:lang w:val="en-US" w:eastAsia="zh-CN"/>
                    </w:rPr>
                  </w:pPr>
                  <w:r>
                    <w:rPr>
                      <w:rFonts w:hint="eastAsia"/>
                      <w:color w:val="auto"/>
                      <w:kern w:val="0"/>
                      <w:szCs w:val="21"/>
                      <w:lang w:val="en-US" w:eastAsia="zh-CN"/>
                    </w:rPr>
                    <w:t>打磨</w:t>
                  </w:r>
                </w:p>
              </w:tc>
              <w:tc>
                <w:tcPr>
                  <w:tcW w:w="2258" w:type="dxa"/>
                  <w:tcBorders>
                    <w:tl2br w:val="nil"/>
                    <w:tr2bl w:val="nil"/>
                  </w:tcBorders>
                  <w:tcMar>
                    <w:top w:w="0" w:type="dxa"/>
                    <w:left w:w="28" w:type="dxa"/>
                    <w:bottom w:w="0" w:type="dxa"/>
                    <w:right w:w="28" w:type="dxa"/>
                  </w:tcMar>
                  <w:vAlign w:val="center"/>
                </w:tcPr>
                <w:p w14:paraId="29B0A46C">
                  <w:pPr>
                    <w:kinsoku w:val="0"/>
                    <w:overflowPunct w:val="0"/>
                    <w:autoSpaceDE w:val="0"/>
                    <w:autoSpaceDN w:val="0"/>
                    <w:adjustRightInd w:val="0"/>
                    <w:spacing w:line="240" w:lineRule="exact"/>
                    <w:jc w:val="center"/>
                    <w:rPr>
                      <w:rFonts w:hint="eastAsia"/>
                      <w:color w:val="auto"/>
                      <w:kern w:val="0"/>
                      <w:szCs w:val="21"/>
                      <w:lang w:eastAsia="zh-CN"/>
                    </w:rPr>
                  </w:pPr>
                  <w:r>
                    <w:rPr>
                      <w:rFonts w:hint="eastAsia"/>
                      <w:color w:val="auto"/>
                      <w:kern w:val="0"/>
                      <w:szCs w:val="21"/>
                      <w:lang w:eastAsia="zh-CN"/>
                    </w:rPr>
                    <w:t>颗粒物</w:t>
                  </w:r>
                </w:p>
              </w:tc>
              <w:tc>
                <w:tcPr>
                  <w:tcW w:w="2934" w:type="dxa"/>
                  <w:tcBorders>
                    <w:tl2br w:val="nil"/>
                    <w:tr2bl w:val="nil"/>
                  </w:tcBorders>
                  <w:tcMar>
                    <w:top w:w="0" w:type="dxa"/>
                    <w:left w:w="28" w:type="dxa"/>
                    <w:bottom w:w="0" w:type="dxa"/>
                    <w:right w:w="28" w:type="dxa"/>
                  </w:tcMar>
                  <w:vAlign w:val="center"/>
                </w:tcPr>
                <w:p w14:paraId="17D1FC62">
                  <w:pPr>
                    <w:kinsoku w:val="0"/>
                    <w:overflowPunct w:val="0"/>
                    <w:autoSpaceDE w:val="0"/>
                    <w:autoSpaceDN w:val="0"/>
                    <w:adjustRightInd w:val="0"/>
                    <w:spacing w:line="240" w:lineRule="exact"/>
                    <w:jc w:val="center"/>
                    <w:rPr>
                      <w:rFonts w:hint="eastAsia"/>
                      <w:color w:val="auto"/>
                      <w:kern w:val="0"/>
                      <w:szCs w:val="21"/>
                      <w:lang w:val="en-US" w:eastAsia="zh-CN"/>
                    </w:rPr>
                  </w:pPr>
                  <w:r>
                    <w:rPr>
                      <w:rFonts w:hint="eastAsia"/>
                      <w:color w:val="auto"/>
                      <w:kern w:val="0"/>
                      <w:szCs w:val="21"/>
                      <w:lang w:val="en-US" w:eastAsia="zh-CN"/>
                    </w:rPr>
                    <w:t>集气罩+布袋除尘处理+25m排气筒DA003高空排放</w:t>
                  </w:r>
                </w:p>
              </w:tc>
            </w:tr>
            <w:tr w14:paraId="5239CBA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37" w:hRule="atLeast"/>
              </w:trPr>
              <w:tc>
                <w:tcPr>
                  <w:tcW w:w="524" w:type="dxa"/>
                  <w:vMerge w:val="continue"/>
                  <w:tcBorders>
                    <w:tl2br w:val="nil"/>
                    <w:tr2bl w:val="nil"/>
                  </w:tcBorders>
                  <w:tcMar>
                    <w:top w:w="0" w:type="dxa"/>
                    <w:left w:w="28" w:type="dxa"/>
                    <w:bottom w:w="0" w:type="dxa"/>
                    <w:right w:w="28" w:type="dxa"/>
                  </w:tcMar>
                  <w:vAlign w:val="center"/>
                </w:tcPr>
                <w:p w14:paraId="7F62779F">
                  <w:pPr>
                    <w:kinsoku w:val="0"/>
                    <w:overflowPunct w:val="0"/>
                    <w:autoSpaceDE w:val="0"/>
                    <w:autoSpaceDN w:val="0"/>
                    <w:adjustRightInd w:val="0"/>
                    <w:spacing w:line="240" w:lineRule="exact"/>
                    <w:jc w:val="center"/>
                    <w:rPr>
                      <w:rFonts w:hint="eastAsia"/>
                      <w:color w:val="auto"/>
                      <w:kern w:val="0"/>
                      <w:szCs w:val="21"/>
                      <w:lang w:eastAsia="zh-CN"/>
                    </w:rPr>
                  </w:pPr>
                </w:p>
              </w:tc>
              <w:tc>
                <w:tcPr>
                  <w:tcW w:w="643" w:type="dxa"/>
                  <w:tcBorders>
                    <w:tl2br w:val="nil"/>
                    <w:tr2bl w:val="nil"/>
                  </w:tcBorders>
                  <w:tcMar>
                    <w:top w:w="0" w:type="dxa"/>
                    <w:left w:w="28" w:type="dxa"/>
                    <w:bottom w:w="0" w:type="dxa"/>
                    <w:right w:w="28" w:type="dxa"/>
                  </w:tcMar>
                  <w:vAlign w:val="center"/>
                </w:tcPr>
                <w:p w14:paraId="47C4386D">
                  <w:pPr>
                    <w:kinsoku w:val="0"/>
                    <w:overflowPunct w:val="0"/>
                    <w:autoSpaceDE w:val="0"/>
                    <w:autoSpaceDN w:val="0"/>
                    <w:adjustRightInd w:val="0"/>
                    <w:spacing w:line="240" w:lineRule="exact"/>
                    <w:jc w:val="center"/>
                    <w:rPr>
                      <w:rFonts w:hint="default"/>
                      <w:color w:val="auto"/>
                      <w:kern w:val="0"/>
                      <w:szCs w:val="21"/>
                      <w:lang w:val="en-US" w:eastAsia="zh-CN"/>
                    </w:rPr>
                  </w:pPr>
                  <w:r>
                    <w:rPr>
                      <w:rFonts w:hint="eastAsia"/>
                      <w:color w:val="auto"/>
                      <w:kern w:val="0"/>
                      <w:szCs w:val="21"/>
                      <w:lang w:val="en-US" w:eastAsia="zh-CN"/>
                    </w:rPr>
                    <w:t>G5</w:t>
                  </w:r>
                </w:p>
              </w:tc>
              <w:tc>
                <w:tcPr>
                  <w:tcW w:w="1457" w:type="dxa"/>
                  <w:tcBorders>
                    <w:tl2br w:val="nil"/>
                    <w:tr2bl w:val="nil"/>
                  </w:tcBorders>
                  <w:tcMar>
                    <w:top w:w="0" w:type="dxa"/>
                    <w:left w:w="28" w:type="dxa"/>
                    <w:bottom w:w="0" w:type="dxa"/>
                    <w:right w:w="28" w:type="dxa"/>
                  </w:tcMar>
                  <w:vAlign w:val="center"/>
                </w:tcPr>
                <w:p w14:paraId="0CCA6456">
                  <w:pPr>
                    <w:kinsoku w:val="0"/>
                    <w:overflowPunct w:val="0"/>
                    <w:autoSpaceDE w:val="0"/>
                    <w:autoSpaceDN w:val="0"/>
                    <w:adjustRightInd w:val="0"/>
                    <w:spacing w:line="240" w:lineRule="exact"/>
                    <w:jc w:val="center"/>
                    <w:rPr>
                      <w:rFonts w:hint="eastAsia"/>
                      <w:color w:val="auto"/>
                      <w:kern w:val="0"/>
                      <w:szCs w:val="21"/>
                      <w:lang w:val="en-US" w:eastAsia="zh-CN"/>
                    </w:rPr>
                  </w:pPr>
                  <w:r>
                    <w:rPr>
                      <w:rFonts w:hint="eastAsia"/>
                      <w:color w:val="auto"/>
                      <w:kern w:val="0"/>
                      <w:szCs w:val="21"/>
                      <w:lang w:val="en-US" w:eastAsia="zh-CN"/>
                    </w:rPr>
                    <w:t>喷砂</w:t>
                  </w:r>
                </w:p>
              </w:tc>
              <w:tc>
                <w:tcPr>
                  <w:tcW w:w="2258" w:type="dxa"/>
                  <w:tcBorders>
                    <w:tl2br w:val="nil"/>
                    <w:tr2bl w:val="nil"/>
                  </w:tcBorders>
                  <w:tcMar>
                    <w:top w:w="0" w:type="dxa"/>
                    <w:left w:w="28" w:type="dxa"/>
                    <w:bottom w:w="0" w:type="dxa"/>
                    <w:right w:w="28" w:type="dxa"/>
                  </w:tcMar>
                  <w:vAlign w:val="center"/>
                </w:tcPr>
                <w:p w14:paraId="3092505A">
                  <w:pPr>
                    <w:kinsoku w:val="0"/>
                    <w:overflowPunct w:val="0"/>
                    <w:autoSpaceDE w:val="0"/>
                    <w:autoSpaceDN w:val="0"/>
                    <w:adjustRightInd w:val="0"/>
                    <w:spacing w:line="240" w:lineRule="exact"/>
                    <w:jc w:val="center"/>
                    <w:rPr>
                      <w:rFonts w:hint="eastAsia"/>
                      <w:color w:val="auto"/>
                      <w:kern w:val="0"/>
                      <w:szCs w:val="21"/>
                      <w:lang w:eastAsia="zh-CN"/>
                    </w:rPr>
                  </w:pPr>
                  <w:r>
                    <w:rPr>
                      <w:rFonts w:hint="eastAsia"/>
                      <w:color w:val="auto"/>
                      <w:kern w:val="0"/>
                      <w:szCs w:val="21"/>
                      <w:lang w:eastAsia="zh-CN"/>
                    </w:rPr>
                    <w:t>颗粒物</w:t>
                  </w:r>
                </w:p>
              </w:tc>
              <w:tc>
                <w:tcPr>
                  <w:tcW w:w="2934" w:type="dxa"/>
                  <w:tcBorders>
                    <w:tl2br w:val="nil"/>
                    <w:tr2bl w:val="nil"/>
                  </w:tcBorders>
                  <w:tcMar>
                    <w:top w:w="0" w:type="dxa"/>
                    <w:left w:w="28" w:type="dxa"/>
                    <w:bottom w:w="0" w:type="dxa"/>
                    <w:right w:w="28" w:type="dxa"/>
                  </w:tcMar>
                  <w:vAlign w:val="center"/>
                </w:tcPr>
                <w:p w14:paraId="1C79BEAE">
                  <w:pPr>
                    <w:kinsoku w:val="0"/>
                    <w:overflowPunct w:val="0"/>
                    <w:autoSpaceDE w:val="0"/>
                    <w:autoSpaceDN w:val="0"/>
                    <w:adjustRightInd w:val="0"/>
                    <w:spacing w:line="240" w:lineRule="exact"/>
                    <w:jc w:val="center"/>
                    <w:rPr>
                      <w:rFonts w:hint="eastAsia"/>
                      <w:color w:val="auto"/>
                      <w:kern w:val="0"/>
                      <w:szCs w:val="21"/>
                      <w:lang w:val="en-US" w:eastAsia="zh-CN"/>
                    </w:rPr>
                  </w:pPr>
                  <w:r>
                    <w:rPr>
                      <w:rFonts w:hint="eastAsia"/>
                      <w:color w:val="auto"/>
                      <w:kern w:val="0"/>
                      <w:szCs w:val="21"/>
                      <w:lang w:val="en-US" w:eastAsia="zh-CN"/>
                    </w:rPr>
                    <w:t>设备自带布袋除尘处理+25m排气筒DA002高空排放</w:t>
                  </w:r>
                </w:p>
              </w:tc>
            </w:tr>
            <w:tr w14:paraId="25854A8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26" w:hRule="atLeast"/>
              </w:trPr>
              <w:tc>
                <w:tcPr>
                  <w:tcW w:w="524" w:type="dxa"/>
                  <w:vMerge w:val="continue"/>
                  <w:tcBorders>
                    <w:tl2br w:val="nil"/>
                    <w:tr2bl w:val="nil"/>
                  </w:tcBorders>
                  <w:tcMar>
                    <w:top w:w="0" w:type="dxa"/>
                    <w:left w:w="28" w:type="dxa"/>
                    <w:bottom w:w="0" w:type="dxa"/>
                    <w:right w:w="28" w:type="dxa"/>
                  </w:tcMar>
                  <w:vAlign w:val="center"/>
                </w:tcPr>
                <w:p w14:paraId="5854D120">
                  <w:pPr>
                    <w:kinsoku w:val="0"/>
                    <w:overflowPunct w:val="0"/>
                    <w:autoSpaceDE w:val="0"/>
                    <w:autoSpaceDN w:val="0"/>
                    <w:adjustRightInd w:val="0"/>
                    <w:spacing w:line="240" w:lineRule="exact"/>
                    <w:jc w:val="center"/>
                    <w:rPr>
                      <w:rFonts w:hint="eastAsia"/>
                      <w:color w:val="auto"/>
                      <w:kern w:val="0"/>
                      <w:szCs w:val="21"/>
                      <w:lang w:eastAsia="zh-CN"/>
                    </w:rPr>
                  </w:pPr>
                </w:p>
              </w:tc>
              <w:tc>
                <w:tcPr>
                  <w:tcW w:w="643" w:type="dxa"/>
                  <w:tcBorders>
                    <w:tl2br w:val="nil"/>
                    <w:tr2bl w:val="nil"/>
                  </w:tcBorders>
                  <w:tcMar>
                    <w:top w:w="0" w:type="dxa"/>
                    <w:left w:w="28" w:type="dxa"/>
                    <w:bottom w:w="0" w:type="dxa"/>
                    <w:right w:w="28" w:type="dxa"/>
                  </w:tcMar>
                  <w:vAlign w:val="center"/>
                </w:tcPr>
                <w:p w14:paraId="268F1BCB">
                  <w:pPr>
                    <w:kinsoku w:val="0"/>
                    <w:overflowPunct w:val="0"/>
                    <w:autoSpaceDE w:val="0"/>
                    <w:autoSpaceDN w:val="0"/>
                    <w:adjustRightInd w:val="0"/>
                    <w:spacing w:line="240" w:lineRule="exact"/>
                    <w:jc w:val="center"/>
                    <w:rPr>
                      <w:rFonts w:hint="default"/>
                      <w:color w:val="auto"/>
                      <w:kern w:val="0"/>
                      <w:szCs w:val="21"/>
                      <w:lang w:val="en-US" w:eastAsia="zh-CN"/>
                    </w:rPr>
                  </w:pPr>
                  <w:r>
                    <w:rPr>
                      <w:rFonts w:hint="eastAsia"/>
                      <w:color w:val="auto"/>
                      <w:kern w:val="0"/>
                      <w:szCs w:val="21"/>
                      <w:lang w:val="en-US" w:eastAsia="zh-CN"/>
                    </w:rPr>
                    <w:t>G6</w:t>
                  </w:r>
                </w:p>
              </w:tc>
              <w:tc>
                <w:tcPr>
                  <w:tcW w:w="1457" w:type="dxa"/>
                  <w:tcBorders>
                    <w:tl2br w:val="nil"/>
                    <w:tr2bl w:val="nil"/>
                  </w:tcBorders>
                  <w:tcMar>
                    <w:top w:w="0" w:type="dxa"/>
                    <w:left w:w="28" w:type="dxa"/>
                    <w:bottom w:w="0" w:type="dxa"/>
                    <w:right w:w="28" w:type="dxa"/>
                  </w:tcMar>
                  <w:vAlign w:val="center"/>
                </w:tcPr>
                <w:p w14:paraId="33E2AB18">
                  <w:pPr>
                    <w:kinsoku w:val="0"/>
                    <w:overflowPunct w:val="0"/>
                    <w:autoSpaceDE w:val="0"/>
                    <w:autoSpaceDN w:val="0"/>
                    <w:adjustRightInd w:val="0"/>
                    <w:spacing w:line="240" w:lineRule="exact"/>
                    <w:jc w:val="center"/>
                    <w:rPr>
                      <w:rFonts w:hint="eastAsia"/>
                      <w:color w:val="auto"/>
                      <w:kern w:val="0"/>
                      <w:szCs w:val="21"/>
                      <w:lang w:val="en-US" w:eastAsia="zh-CN"/>
                    </w:rPr>
                  </w:pPr>
                  <w:r>
                    <w:rPr>
                      <w:rFonts w:hint="eastAsia"/>
                      <w:color w:val="auto"/>
                      <w:kern w:val="0"/>
                      <w:szCs w:val="21"/>
                      <w:lang w:val="en-US" w:eastAsia="zh-CN"/>
                    </w:rPr>
                    <w:t>电气测试</w:t>
                  </w:r>
                </w:p>
              </w:tc>
              <w:tc>
                <w:tcPr>
                  <w:tcW w:w="2258" w:type="dxa"/>
                  <w:tcBorders>
                    <w:tl2br w:val="nil"/>
                    <w:tr2bl w:val="nil"/>
                  </w:tcBorders>
                  <w:tcMar>
                    <w:top w:w="0" w:type="dxa"/>
                    <w:left w:w="28" w:type="dxa"/>
                    <w:bottom w:w="0" w:type="dxa"/>
                    <w:right w:w="28" w:type="dxa"/>
                  </w:tcMar>
                  <w:vAlign w:val="center"/>
                </w:tcPr>
                <w:p w14:paraId="04BB3AB6">
                  <w:pPr>
                    <w:kinsoku w:val="0"/>
                    <w:overflowPunct w:val="0"/>
                    <w:autoSpaceDE w:val="0"/>
                    <w:autoSpaceDN w:val="0"/>
                    <w:adjustRightInd w:val="0"/>
                    <w:spacing w:line="240" w:lineRule="exact"/>
                    <w:jc w:val="center"/>
                    <w:rPr>
                      <w:rFonts w:hint="eastAsia"/>
                      <w:color w:val="auto"/>
                      <w:kern w:val="0"/>
                      <w:szCs w:val="21"/>
                      <w:lang w:eastAsia="zh-CN"/>
                    </w:rPr>
                  </w:pPr>
                  <w:r>
                    <w:rPr>
                      <w:rFonts w:hint="eastAsia"/>
                      <w:color w:val="auto"/>
                      <w:kern w:val="0"/>
                      <w:szCs w:val="21"/>
                      <w:lang w:eastAsia="zh-CN"/>
                    </w:rPr>
                    <w:t>颗粒物、二氧化硫、氮氧化物</w:t>
                  </w:r>
                </w:p>
              </w:tc>
              <w:tc>
                <w:tcPr>
                  <w:tcW w:w="2934" w:type="dxa"/>
                  <w:tcBorders>
                    <w:tl2br w:val="nil"/>
                    <w:tr2bl w:val="nil"/>
                  </w:tcBorders>
                  <w:tcMar>
                    <w:top w:w="0" w:type="dxa"/>
                    <w:left w:w="28" w:type="dxa"/>
                    <w:bottom w:w="0" w:type="dxa"/>
                    <w:right w:w="28" w:type="dxa"/>
                  </w:tcMar>
                  <w:vAlign w:val="center"/>
                </w:tcPr>
                <w:p w14:paraId="4DF43DC0">
                  <w:pPr>
                    <w:kinsoku w:val="0"/>
                    <w:overflowPunct w:val="0"/>
                    <w:autoSpaceDE w:val="0"/>
                    <w:autoSpaceDN w:val="0"/>
                    <w:adjustRightInd w:val="0"/>
                    <w:spacing w:line="240" w:lineRule="exact"/>
                    <w:jc w:val="center"/>
                    <w:rPr>
                      <w:rFonts w:hint="default"/>
                      <w:color w:val="auto"/>
                      <w:kern w:val="0"/>
                      <w:szCs w:val="21"/>
                      <w:lang w:val="en-US" w:eastAsia="zh-CN"/>
                    </w:rPr>
                  </w:pPr>
                  <w:r>
                    <w:rPr>
                      <w:rFonts w:hint="eastAsia"/>
                      <w:color w:val="auto"/>
                      <w:szCs w:val="21"/>
                      <w:highlight w:val="none"/>
                      <w:lang w:val="en-US" w:eastAsia="zh-CN"/>
                    </w:rPr>
                    <w:t>专用排烟管道+黑烟净化器+SCR脱硝反应器处理+25</w:t>
                  </w:r>
                  <w:r>
                    <w:rPr>
                      <w:rFonts w:hint="eastAsia"/>
                      <w:color w:val="auto"/>
                      <w:kern w:val="0"/>
                      <w:szCs w:val="21"/>
                      <w:lang w:val="en-US" w:eastAsia="zh-CN"/>
                    </w:rPr>
                    <w:t>排气筒DA004高空排放</w:t>
                  </w:r>
                </w:p>
              </w:tc>
            </w:tr>
            <w:tr w14:paraId="7F269D5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26" w:hRule="atLeast"/>
              </w:trPr>
              <w:tc>
                <w:tcPr>
                  <w:tcW w:w="524" w:type="dxa"/>
                  <w:vMerge w:val="restart"/>
                  <w:tcBorders>
                    <w:tl2br w:val="nil"/>
                    <w:tr2bl w:val="nil"/>
                  </w:tcBorders>
                  <w:tcMar>
                    <w:top w:w="0" w:type="dxa"/>
                    <w:left w:w="28" w:type="dxa"/>
                    <w:bottom w:w="0" w:type="dxa"/>
                    <w:right w:w="28" w:type="dxa"/>
                  </w:tcMar>
                  <w:vAlign w:val="center"/>
                </w:tcPr>
                <w:p w14:paraId="113FBF1F">
                  <w:pPr>
                    <w:kinsoku w:val="0"/>
                    <w:overflowPunct w:val="0"/>
                    <w:autoSpaceDE w:val="0"/>
                    <w:autoSpaceDN w:val="0"/>
                    <w:adjustRightInd w:val="0"/>
                    <w:spacing w:line="240" w:lineRule="exact"/>
                    <w:jc w:val="center"/>
                    <w:rPr>
                      <w:color w:val="auto"/>
                      <w:kern w:val="0"/>
                      <w:szCs w:val="21"/>
                    </w:rPr>
                  </w:pPr>
                  <w:r>
                    <w:rPr>
                      <w:rFonts w:hint="eastAsia"/>
                      <w:color w:val="auto"/>
                      <w:kern w:val="0"/>
                      <w:szCs w:val="21"/>
                    </w:rPr>
                    <w:t>废水</w:t>
                  </w:r>
                </w:p>
              </w:tc>
              <w:tc>
                <w:tcPr>
                  <w:tcW w:w="643" w:type="dxa"/>
                  <w:tcBorders>
                    <w:tl2br w:val="nil"/>
                    <w:tr2bl w:val="nil"/>
                  </w:tcBorders>
                  <w:shd w:val="clear" w:color="auto" w:fill="auto"/>
                  <w:tcMar>
                    <w:top w:w="0" w:type="dxa"/>
                    <w:left w:w="28" w:type="dxa"/>
                    <w:bottom w:w="0" w:type="dxa"/>
                    <w:right w:w="28" w:type="dxa"/>
                  </w:tcMar>
                  <w:vAlign w:val="center"/>
                </w:tcPr>
                <w:p w14:paraId="38BEB12A">
                  <w:pPr>
                    <w:kinsoku w:val="0"/>
                    <w:overflowPunct w:val="0"/>
                    <w:autoSpaceDE w:val="0"/>
                    <w:autoSpaceDN w:val="0"/>
                    <w:adjustRightInd w:val="0"/>
                    <w:spacing w:line="240" w:lineRule="exact"/>
                    <w:jc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W1</w:t>
                  </w:r>
                </w:p>
              </w:tc>
              <w:tc>
                <w:tcPr>
                  <w:tcW w:w="1457" w:type="dxa"/>
                  <w:tcBorders>
                    <w:tl2br w:val="nil"/>
                    <w:tr2bl w:val="nil"/>
                  </w:tcBorders>
                  <w:shd w:val="clear" w:color="auto" w:fill="auto"/>
                  <w:tcMar>
                    <w:top w:w="0" w:type="dxa"/>
                    <w:left w:w="28" w:type="dxa"/>
                    <w:bottom w:w="0" w:type="dxa"/>
                    <w:right w:w="28" w:type="dxa"/>
                  </w:tcMar>
                  <w:vAlign w:val="center"/>
                </w:tcPr>
                <w:p w14:paraId="4ABEB15C">
                  <w:pPr>
                    <w:kinsoku w:val="0"/>
                    <w:overflowPunct w:val="0"/>
                    <w:autoSpaceDE w:val="0"/>
                    <w:autoSpaceDN w:val="0"/>
                    <w:adjustRightInd w:val="0"/>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清洗废水</w:t>
                  </w:r>
                </w:p>
              </w:tc>
              <w:tc>
                <w:tcPr>
                  <w:tcW w:w="2258" w:type="dxa"/>
                  <w:tcBorders>
                    <w:tl2br w:val="nil"/>
                    <w:tr2bl w:val="nil"/>
                  </w:tcBorders>
                  <w:shd w:val="clear" w:color="auto" w:fill="auto"/>
                  <w:tcMar>
                    <w:top w:w="0" w:type="dxa"/>
                    <w:left w:w="28" w:type="dxa"/>
                    <w:bottom w:w="0" w:type="dxa"/>
                    <w:right w:w="28" w:type="dxa"/>
                  </w:tcMar>
                  <w:vAlign w:val="center"/>
                </w:tcPr>
                <w:p w14:paraId="48C93D17">
                  <w:pPr>
                    <w:kinsoku w:val="0"/>
                    <w:overflowPunct w:val="0"/>
                    <w:autoSpaceDE w:val="0"/>
                    <w:autoSpaceDN w:val="0"/>
                    <w:adjustRightInd w:val="0"/>
                    <w:spacing w:line="240" w:lineRule="exact"/>
                    <w:jc w:val="center"/>
                    <w:rPr>
                      <w:rFonts w:hint="eastAsia" w:ascii="Times New Roman" w:hAnsi="Times New Roman" w:eastAsia="宋体" w:cs="Times New Roman"/>
                      <w:color w:val="auto"/>
                      <w:kern w:val="0"/>
                      <w:sz w:val="21"/>
                      <w:szCs w:val="21"/>
                      <w:lang w:val="en-US" w:eastAsia="zh-CN" w:bidi="ar-SA"/>
                    </w:rPr>
                  </w:pPr>
                  <w:r>
                    <w:rPr>
                      <w:color w:val="auto"/>
                      <w:kern w:val="0"/>
                      <w:szCs w:val="21"/>
                    </w:rPr>
                    <w:t>pH、COD、SS、BOD</w:t>
                  </w:r>
                  <w:r>
                    <w:rPr>
                      <w:color w:val="auto"/>
                      <w:kern w:val="0"/>
                      <w:szCs w:val="21"/>
                      <w:vertAlign w:val="subscript"/>
                    </w:rPr>
                    <w:t>5</w:t>
                  </w:r>
                  <w:r>
                    <w:rPr>
                      <w:color w:val="auto"/>
                      <w:kern w:val="0"/>
                      <w:szCs w:val="21"/>
                    </w:rPr>
                    <w:t>、NH</w:t>
                  </w:r>
                  <w:r>
                    <w:rPr>
                      <w:color w:val="auto"/>
                      <w:kern w:val="0"/>
                      <w:szCs w:val="21"/>
                      <w:vertAlign w:val="subscript"/>
                    </w:rPr>
                    <w:t>3</w:t>
                  </w:r>
                  <w:r>
                    <w:rPr>
                      <w:color w:val="auto"/>
                      <w:kern w:val="0"/>
                      <w:szCs w:val="21"/>
                    </w:rPr>
                    <w:t>-N</w:t>
                  </w:r>
                  <w:r>
                    <w:rPr>
                      <w:rFonts w:hint="eastAsia"/>
                      <w:color w:val="auto"/>
                      <w:kern w:val="0"/>
                      <w:szCs w:val="21"/>
                      <w:lang w:eastAsia="zh-CN"/>
                    </w:rPr>
                    <w:t>、石油类、阴离子表面活性剂</w:t>
                  </w:r>
                </w:p>
              </w:tc>
              <w:tc>
                <w:tcPr>
                  <w:tcW w:w="2934" w:type="dxa"/>
                  <w:tcBorders>
                    <w:tl2br w:val="nil"/>
                    <w:tr2bl w:val="nil"/>
                  </w:tcBorders>
                  <w:shd w:val="clear" w:color="auto" w:fill="auto"/>
                  <w:tcMar>
                    <w:top w:w="0" w:type="dxa"/>
                    <w:left w:w="28" w:type="dxa"/>
                    <w:bottom w:w="0" w:type="dxa"/>
                    <w:right w:w="28" w:type="dxa"/>
                  </w:tcMar>
                  <w:vAlign w:val="center"/>
                </w:tcPr>
                <w:p w14:paraId="309B57FB">
                  <w:pPr>
                    <w:kinsoku w:val="0"/>
                    <w:overflowPunct w:val="0"/>
                    <w:autoSpaceDE w:val="0"/>
                    <w:autoSpaceDN w:val="0"/>
                    <w:adjustRightInd w:val="0"/>
                    <w:spacing w:line="240" w:lineRule="exact"/>
                    <w:jc w:val="center"/>
                    <w:rPr>
                      <w:rFonts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经厂区自建污水处理站处理后回</w:t>
                  </w:r>
                </w:p>
              </w:tc>
            </w:tr>
            <w:tr w14:paraId="2587FCE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524" w:type="dxa"/>
                  <w:vMerge w:val="continue"/>
                  <w:tcBorders>
                    <w:tl2br w:val="nil"/>
                    <w:tr2bl w:val="nil"/>
                  </w:tcBorders>
                  <w:tcMar>
                    <w:top w:w="0" w:type="dxa"/>
                    <w:left w:w="28" w:type="dxa"/>
                    <w:bottom w:w="0" w:type="dxa"/>
                    <w:right w:w="28" w:type="dxa"/>
                  </w:tcMar>
                  <w:vAlign w:val="center"/>
                </w:tcPr>
                <w:p w14:paraId="609FF0F2">
                  <w:pPr>
                    <w:kinsoku w:val="0"/>
                    <w:overflowPunct w:val="0"/>
                    <w:autoSpaceDE w:val="0"/>
                    <w:autoSpaceDN w:val="0"/>
                    <w:adjustRightInd w:val="0"/>
                    <w:spacing w:line="240" w:lineRule="exact"/>
                    <w:jc w:val="center"/>
                    <w:rPr>
                      <w:rFonts w:hint="eastAsia"/>
                      <w:color w:val="auto"/>
                      <w:kern w:val="0"/>
                      <w:szCs w:val="21"/>
                    </w:rPr>
                  </w:pPr>
                </w:p>
              </w:tc>
              <w:tc>
                <w:tcPr>
                  <w:tcW w:w="643" w:type="dxa"/>
                  <w:tcBorders>
                    <w:tl2br w:val="nil"/>
                    <w:tr2bl w:val="nil"/>
                  </w:tcBorders>
                  <w:shd w:val="clear" w:color="auto" w:fill="auto"/>
                  <w:tcMar>
                    <w:top w:w="0" w:type="dxa"/>
                    <w:left w:w="28" w:type="dxa"/>
                    <w:bottom w:w="0" w:type="dxa"/>
                    <w:right w:w="28" w:type="dxa"/>
                  </w:tcMar>
                  <w:vAlign w:val="center"/>
                </w:tcPr>
                <w:p w14:paraId="160A92F4">
                  <w:pPr>
                    <w:kinsoku w:val="0"/>
                    <w:overflowPunct w:val="0"/>
                    <w:autoSpaceDE w:val="0"/>
                    <w:autoSpaceDN w:val="0"/>
                    <w:adjustRightInd w:val="0"/>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rPr>
                    <w:t>W</w:t>
                  </w:r>
                  <w:r>
                    <w:rPr>
                      <w:rFonts w:hint="eastAsia"/>
                      <w:color w:val="auto"/>
                      <w:kern w:val="0"/>
                      <w:szCs w:val="21"/>
                      <w:lang w:val="en-US" w:eastAsia="zh-CN"/>
                    </w:rPr>
                    <w:t>2</w:t>
                  </w:r>
                </w:p>
              </w:tc>
              <w:tc>
                <w:tcPr>
                  <w:tcW w:w="1457" w:type="dxa"/>
                  <w:tcBorders>
                    <w:tl2br w:val="nil"/>
                    <w:tr2bl w:val="nil"/>
                  </w:tcBorders>
                  <w:shd w:val="clear" w:color="auto" w:fill="auto"/>
                  <w:tcMar>
                    <w:top w:w="0" w:type="dxa"/>
                    <w:left w:w="28" w:type="dxa"/>
                    <w:bottom w:w="0" w:type="dxa"/>
                    <w:right w:w="28" w:type="dxa"/>
                  </w:tcMar>
                  <w:vAlign w:val="center"/>
                </w:tcPr>
                <w:p w14:paraId="41979EC8">
                  <w:pPr>
                    <w:kinsoku w:val="0"/>
                    <w:overflowPunct w:val="0"/>
                    <w:autoSpaceDE w:val="0"/>
                    <w:autoSpaceDN w:val="0"/>
                    <w:adjustRightInd w:val="0"/>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lang w:eastAsia="zh-CN"/>
                    </w:rPr>
                    <w:t>职工生活污水</w:t>
                  </w:r>
                </w:p>
              </w:tc>
              <w:tc>
                <w:tcPr>
                  <w:tcW w:w="2258" w:type="dxa"/>
                  <w:tcBorders>
                    <w:tl2br w:val="nil"/>
                    <w:tr2bl w:val="nil"/>
                  </w:tcBorders>
                  <w:shd w:val="clear" w:color="auto" w:fill="auto"/>
                  <w:tcMar>
                    <w:top w:w="0" w:type="dxa"/>
                    <w:left w:w="28" w:type="dxa"/>
                    <w:bottom w:w="0" w:type="dxa"/>
                    <w:right w:w="28" w:type="dxa"/>
                  </w:tcMar>
                  <w:vAlign w:val="center"/>
                </w:tcPr>
                <w:p w14:paraId="37ED0E7B">
                  <w:pPr>
                    <w:kinsoku w:val="0"/>
                    <w:overflowPunct w:val="0"/>
                    <w:autoSpaceDE w:val="0"/>
                    <w:autoSpaceDN w:val="0"/>
                    <w:adjustRightInd w:val="0"/>
                    <w:spacing w:line="240" w:lineRule="exact"/>
                    <w:jc w:val="center"/>
                    <w:rPr>
                      <w:rFonts w:ascii="Times New Roman" w:hAnsi="Times New Roman" w:eastAsia="宋体" w:cs="Times New Roman"/>
                      <w:color w:val="auto"/>
                      <w:kern w:val="0"/>
                      <w:sz w:val="21"/>
                      <w:szCs w:val="21"/>
                      <w:lang w:val="en-US" w:eastAsia="zh-CN" w:bidi="ar-SA"/>
                    </w:rPr>
                  </w:pPr>
                  <w:r>
                    <w:rPr>
                      <w:color w:val="auto"/>
                      <w:kern w:val="0"/>
                      <w:szCs w:val="21"/>
                    </w:rPr>
                    <w:t>pH、COD、SS、BOD</w:t>
                  </w:r>
                  <w:r>
                    <w:rPr>
                      <w:color w:val="auto"/>
                      <w:kern w:val="0"/>
                      <w:szCs w:val="21"/>
                      <w:vertAlign w:val="subscript"/>
                    </w:rPr>
                    <w:t>5</w:t>
                  </w:r>
                  <w:r>
                    <w:rPr>
                      <w:color w:val="auto"/>
                      <w:kern w:val="0"/>
                      <w:szCs w:val="21"/>
                    </w:rPr>
                    <w:t>、NH</w:t>
                  </w:r>
                  <w:r>
                    <w:rPr>
                      <w:color w:val="auto"/>
                      <w:kern w:val="0"/>
                      <w:szCs w:val="21"/>
                      <w:vertAlign w:val="subscript"/>
                    </w:rPr>
                    <w:t>3</w:t>
                  </w:r>
                  <w:r>
                    <w:rPr>
                      <w:color w:val="auto"/>
                      <w:kern w:val="0"/>
                      <w:szCs w:val="21"/>
                    </w:rPr>
                    <w:t>-N</w:t>
                  </w:r>
                </w:p>
              </w:tc>
              <w:tc>
                <w:tcPr>
                  <w:tcW w:w="2934" w:type="dxa"/>
                  <w:tcBorders>
                    <w:tl2br w:val="nil"/>
                    <w:tr2bl w:val="nil"/>
                  </w:tcBorders>
                  <w:shd w:val="clear" w:color="auto" w:fill="auto"/>
                  <w:tcMar>
                    <w:top w:w="0" w:type="dxa"/>
                    <w:left w:w="28" w:type="dxa"/>
                    <w:bottom w:w="0" w:type="dxa"/>
                    <w:right w:w="28" w:type="dxa"/>
                  </w:tcMar>
                  <w:vAlign w:val="center"/>
                </w:tcPr>
                <w:p w14:paraId="0F5B1097">
                  <w:pPr>
                    <w:kinsoku w:val="0"/>
                    <w:overflowPunct w:val="0"/>
                    <w:autoSpaceDE w:val="0"/>
                    <w:autoSpaceDN w:val="0"/>
                    <w:adjustRightInd w:val="0"/>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color w:val="auto"/>
                      <w:kern w:val="0"/>
                      <w:szCs w:val="21"/>
                      <w:highlight w:val="none"/>
                      <w:lang w:eastAsia="zh-CN"/>
                    </w:rPr>
                    <w:t>生活污水</w:t>
                  </w:r>
                  <w:r>
                    <w:rPr>
                      <w:rFonts w:hint="eastAsia"/>
                      <w:color w:val="auto"/>
                      <w:kern w:val="0"/>
                      <w:szCs w:val="21"/>
                      <w:highlight w:val="none"/>
                    </w:rPr>
                    <w:t>经化粪池处理达标后排入市政污水管网。</w:t>
                  </w:r>
                </w:p>
              </w:tc>
            </w:tr>
            <w:tr w14:paraId="7D7871C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37" w:hRule="atLeast"/>
              </w:trPr>
              <w:tc>
                <w:tcPr>
                  <w:tcW w:w="524" w:type="dxa"/>
                  <w:tcBorders>
                    <w:tl2br w:val="nil"/>
                    <w:tr2bl w:val="nil"/>
                  </w:tcBorders>
                  <w:tcMar>
                    <w:top w:w="0" w:type="dxa"/>
                    <w:left w:w="28" w:type="dxa"/>
                    <w:bottom w:w="0" w:type="dxa"/>
                    <w:right w:w="28" w:type="dxa"/>
                  </w:tcMar>
                  <w:vAlign w:val="center"/>
                </w:tcPr>
                <w:p w14:paraId="578E4D02">
                  <w:pPr>
                    <w:kinsoku w:val="0"/>
                    <w:overflowPunct w:val="0"/>
                    <w:autoSpaceDE w:val="0"/>
                    <w:autoSpaceDN w:val="0"/>
                    <w:adjustRightInd w:val="0"/>
                    <w:spacing w:line="240" w:lineRule="exact"/>
                    <w:jc w:val="center"/>
                    <w:rPr>
                      <w:color w:val="auto"/>
                      <w:kern w:val="0"/>
                      <w:szCs w:val="21"/>
                    </w:rPr>
                  </w:pPr>
                  <w:r>
                    <w:rPr>
                      <w:color w:val="auto"/>
                      <w:kern w:val="0"/>
                      <w:szCs w:val="21"/>
                    </w:rPr>
                    <w:t>噪声</w:t>
                  </w:r>
                </w:p>
              </w:tc>
              <w:tc>
                <w:tcPr>
                  <w:tcW w:w="643" w:type="dxa"/>
                  <w:tcBorders>
                    <w:tl2br w:val="nil"/>
                    <w:tr2bl w:val="nil"/>
                  </w:tcBorders>
                  <w:tcMar>
                    <w:top w:w="0" w:type="dxa"/>
                    <w:left w:w="28" w:type="dxa"/>
                    <w:bottom w:w="0" w:type="dxa"/>
                    <w:right w:w="28" w:type="dxa"/>
                  </w:tcMar>
                  <w:vAlign w:val="center"/>
                </w:tcPr>
                <w:p w14:paraId="6019EB23">
                  <w:pPr>
                    <w:kinsoku w:val="0"/>
                    <w:overflowPunct w:val="0"/>
                    <w:autoSpaceDE w:val="0"/>
                    <w:autoSpaceDN w:val="0"/>
                    <w:adjustRightInd w:val="0"/>
                    <w:spacing w:line="240" w:lineRule="exact"/>
                    <w:jc w:val="center"/>
                    <w:rPr>
                      <w:color w:val="auto"/>
                      <w:kern w:val="0"/>
                      <w:szCs w:val="21"/>
                    </w:rPr>
                  </w:pPr>
                  <w:r>
                    <w:rPr>
                      <w:color w:val="auto"/>
                      <w:kern w:val="0"/>
                      <w:szCs w:val="21"/>
                    </w:rPr>
                    <w:t>N</w:t>
                  </w:r>
                  <w:r>
                    <w:rPr>
                      <w:rFonts w:hint="eastAsia"/>
                      <w:color w:val="auto"/>
                      <w:kern w:val="0"/>
                      <w:szCs w:val="21"/>
                    </w:rPr>
                    <w:t>1</w:t>
                  </w:r>
                </w:p>
              </w:tc>
              <w:tc>
                <w:tcPr>
                  <w:tcW w:w="1457" w:type="dxa"/>
                  <w:tcBorders>
                    <w:tl2br w:val="nil"/>
                    <w:tr2bl w:val="nil"/>
                  </w:tcBorders>
                  <w:tcMar>
                    <w:top w:w="0" w:type="dxa"/>
                    <w:left w:w="28" w:type="dxa"/>
                    <w:bottom w:w="0" w:type="dxa"/>
                    <w:right w:w="28" w:type="dxa"/>
                  </w:tcMar>
                  <w:vAlign w:val="center"/>
                </w:tcPr>
                <w:p w14:paraId="5CA62145">
                  <w:pPr>
                    <w:kinsoku w:val="0"/>
                    <w:overflowPunct w:val="0"/>
                    <w:autoSpaceDE w:val="0"/>
                    <w:autoSpaceDN w:val="0"/>
                    <w:adjustRightInd w:val="0"/>
                    <w:spacing w:line="240" w:lineRule="exact"/>
                    <w:jc w:val="center"/>
                    <w:rPr>
                      <w:rFonts w:hint="default" w:eastAsia="宋体"/>
                      <w:color w:val="auto"/>
                      <w:kern w:val="0"/>
                      <w:szCs w:val="21"/>
                      <w:lang w:val="en-US" w:eastAsia="zh-CN"/>
                    </w:rPr>
                  </w:pPr>
                  <w:r>
                    <w:rPr>
                      <w:color w:val="auto"/>
                      <w:kern w:val="0"/>
                      <w:szCs w:val="21"/>
                    </w:rPr>
                    <w:t>各设备</w:t>
                  </w:r>
                  <w:r>
                    <w:rPr>
                      <w:rFonts w:hint="eastAsia"/>
                      <w:color w:val="auto"/>
                      <w:kern w:val="0"/>
                      <w:szCs w:val="21"/>
                      <w:lang w:val="en-US" w:eastAsia="zh-CN"/>
                    </w:rPr>
                    <w:t>/组装</w:t>
                  </w:r>
                </w:p>
              </w:tc>
              <w:tc>
                <w:tcPr>
                  <w:tcW w:w="2258" w:type="dxa"/>
                  <w:tcBorders>
                    <w:tl2br w:val="nil"/>
                    <w:tr2bl w:val="nil"/>
                  </w:tcBorders>
                  <w:tcMar>
                    <w:top w:w="0" w:type="dxa"/>
                    <w:left w:w="28" w:type="dxa"/>
                    <w:bottom w:w="0" w:type="dxa"/>
                    <w:right w:w="28" w:type="dxa"/>
                  </w:tcMar>
                  <w:vAlign w:val="center"/>
                </w:tcPr>
                <w:p w14:paraId="72170EB5">
                  <w:pPr>
                    <w:kinsoku w:val="0"/>
                    <w:overflowPunct w:val="0"/>
                    <w:autoSpaceDE w:val="0"/>
                    <w:autoSpaceDN w:val="0"/>
                    <w:adjustRightInd w:val="0"/>
                    <w:spacing w:line="240" w:lineRule="exact"/>
                    <w:jc w:val="center"/>
                    <w:rPr>
                      <w:rFonts w:hint="eastAsia" w:eastAsia="宋体"/>
                      <w:color w:val="auto"/>
                      <w:kern w:val="0"/>
                      <w:szCs w:val="21"/>
                      <w:lang w:eastAsia="zh-CN"/>
                    </w:rPr>
                  </w:pPr>
                  <w:r>
                    <w:rPr>
                      <w:color w:val="auto"/>
                      <w:kern w:val="0"/>
                      <w:szCs w:val="21"/>
                    </w:rPr>
                    <w:t>Leq</w:t>
                  </w:r>
                  <w:r>
                    <w:rPr>
                      <w:rFonts w:hint="eastAsia"/>
                      <w:color w:val="auto"/>
                      <w:kern w:val="0"/>
                      <w:szCs w:val="21"/>
                      <w:lang w:eastAsia="zh-CN"/>
                    </w:rPr>
                    <w:t>(</w:t>
                  </w:r>
                  <w:r>
                    <w:rPr>
                      <w:color w:val="auto"/>
                      <w:kern w:val="0"/>
                      <w:szCs w:val="21"/>
                    </w:rPr>
                    <w:t>A</w:t>
                  </w:r>
                  <w:r>
                    <w:rPr>
                      <w:rFonts w:hint="eastAsia"/>
                      <w:color w:val="auto"/>
                      <w:kern w:val="0"/>
                      <w:szCs w:val="21"/>
                      <w:lang w:eastAsia="zh-CN"/>
                    </w:rPr>
                    <w:t>)</w:t>
                  </w:r>
                </w:p>
              </w:tc>
              <w:tc>
                <w:tcPr>
                  <w:tcW w:w="2934" w:type="dxa"/>
                  <w:tcBorders>
                    <w:tl2br w:val="nil"/>
                    <w:tr2bl w:val="nil"/>
                  </w:tcBorders>
                  <w:tcMar>
                    <w:top w:w="0" w:type="dxa"/>
                    <w:left w:w="28" w:type="dxa"/>
                    <w:bottom w:w="0" w:type="dxa"/>
                    <w:right w:w="28" w:type="dxa"/>
                  </w:tcMar>
                  <w:vAlign w:val="center"/>
                </w:tcPr>
                <w:p w14:paraId="2E2C5821">
                  <w:pPr>
                    <w:kinsoku w:val="0"/>
                    <w:overflowPunct w:val="0"/>
                    <w:autoSpaceDE w:val="0"/>
                    <w:autoSpaceDN w:val="0"/>
                    <w:adjustRightInd w:val="0"/>
                    <w:spacing w:line="240" w:lineRule="exact"/>
                    <w:jc w:val="center"/>
                    <w:rPr>
                      <w:color w:val="auto"/>
                      <w:kern w:val="0"/>
                      <w:szCs w:val="21"/>
                    </w:rPr>
                  </w:pPr>
                  <w:r>
                    <w:rPr>
                      <w:rFonts w:hint="eastAsia"/>
                      <w:color w:val="auto"/>
                      <w:kern w:val="0"/>
                      <w:szCs w:val="21"/>
                    </w:rPr>
                    <w:t>建筑</w:t>
                  </w:r>
                  <w:r>
                    <w:rPr>
                      <w:color w:val="auto"/>
                      <w:kern w:val="0"/>
                      <w:szCs w:val="21"/>
                    </w:rPr>
                    <w:t>隔声、基础减振</w:t>
                  </w:r>
                </w:p>
              </w:tc>
            </w:tr>
            <w:tr w14:paraId="45577AA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37" w:hRule="atLeast"/>
              </w:trPr>
              <w:tc>
                <w:tcPr>
                  <w:tcW w:w="524" w:type="dxa"/>
                  <w:vMerge w:val="restart"/>
                  <w:tcBorders>
                    <w:tl2br w:val="nil"/>
                    <w:tr2bl w:val="nil"/>
                  </w:tcBorders>
                  <w:tcMar>
                    <w:top w:w="0" w:type="dxa"/>
                    <w:left w:w="28" w:type="dxa"/>
                    <w:bottom w:w="0" w:type="dxa"/>
                    <w:right w:w="28" w:type="dxa"/>
                  </w:tcMar>
                  <w:vAlign w:val="center"/>
                </w:tcPr>
                <w:p w14:paraId="27A82260">
                  <w:pPr>
                    <w:kinsoku w:val="0"/>
                    <w:overflowPunct w:val="0"/>
                    <w:autoSpaceDE w:val="0"/>
                    <w:autoSpaceDN w:val="0"/>
                    <w:adjustRightInd w:val="0"/>
                    <w:spacing w:line="240" w:lineRule="exact"/>
                    <w:jc w:val="center"/>
                    <w:rPr>
                      <w:color w:val="auto"/>
                      <w:kern w:val="0"/>
                      <w:szCs w:val="21"/>
                    </w:rPr>
                  </w:pPr>
                  <w:r>
                    <w:rPr>
                      <w:color w:val="auto"/>
                      <w:kern w:val="0"/>
                      <w:szCs w:val="21"/>
                    </w:rPr>
                    <w:t>固废</w:t>
                  </w:r>
                </w:p>
              </w:tc>
              <w:tc>
                <w:tcPr>
                  <w:tcW w:w="643" w:type="dxa"/>
                  <w:tcBorders>
                    <w:tl2br w:val="nil"/>
                    <w:tr2bl w:val="nil"/>
                  </w:tcBorders>
                  <w:tcMar>
                    <w:top w:w="0" w:type="dxa"/>
                    <w:left w:w="28" w:type="dxa"/>
                    <w:bottom w:w="0" w:type="dxa"/>
                    <w:right w:w="28" w:type="dxa"/>
                  </w:tcMar>
                  <w:vAlign w:val="center"/>
                </w:tcPr>
                <w:p w14:paraId="3CD82D56">
                  <w:pPr>
                    <w:kinsoku w:val="0"/>
                    <w:overflowPunct w:val="0"/>
                    <w:autoSpaceDE w:val="0"/>
                    <w:autoSpaceDN w:val="0"/>
                    <w:adjustRightInd w:val="0"/>
                    <w:spacing w:line="240" w:lineRule="exact"/>
                    <w:jc w:val="center"/>
                    <w:rPr>
                      <w:color w:val="auto"/>
                      <w:kern w:val="0"/>
                      <w:szCs w:val="21"/>
                    </w:rPr>
                  </w:pPr>
                  <w:r>
                    <w:rPr>
                      <w:rFonts w:hint="eastAsia"/>
                      <w:color w:val="auto"/>
                      <w:kern w:val="0"/>
                      <w:szCs w:val="21"/>
                    </w:rPr>
                    <w:t>S1</w:t>
                  </w:r>
                </w:p>
              </w:tc>
              <w:tc>
                <w:tcPr>
                  <w:tcW w:w="1457" w:type="dxa"/>
                  <w:tcBorders>
                    <w:tl2br w:val="nil"/>
                    <w:tr2bl w:val="nil"/>
                  </w:tcBorders>
                  <w:tcMar>
                    <w:top w:w="0" w:type="dxa"/>
                    <w:left w:w="28" w:type="dxa"/>
                    <w:bottom w:w="0" w:type="dxa"/>
                    <w:right w:w="28" w:type="dxa"/>
                  </w:tcMar>
                  <w:vAlign w:val="center"/>
                </w:tcPr>
                <w:p w14:paraId="37482EFF">
                  <w:pPr>
                    <w:kinsoku w:val="0"/>
                    <w:overflowPunct w:val="0"/>
                    <w:autoSpaceDE w:val="0"/>
                    <w:autoSpaceDN w:val="0"/>
                    <w:adjustRightInd w:val="0"/>
                    <w:spacing w:line="240" w:lineRule="exact"/>
                    <w:jc w:val="center"/>
                    <w:rPr>
                      <w:color w:val="auto"/>
                      <w:kern w:val="0"/>
                      <w:szCs w:val="21"/>
                    </w:rPr>
                  </w:pPr>
                  <w:r>
                    <w:rPr>
                      <w:rFonts w:hint="eastAsia"/>
                      <w:color w:val="auto"/>
                      <w:kern w:val="0"/>
                      <w:szCs w:val="21"/>
                      <w:lang w:eastAsia="zh-CN"/>
                    </w:rPr>
                    <w:t>包装</w:t>
                  </w:r>
                </w:p>
              </w:tc>
              <w:tc>
                <w:tcPr>
                  <w:tcW w:w="2258" w:type="dxa"/>
                  <w:tcBorders>
                    <w:tl2br w:val="nil"/>
                    <w:tr2bl w:val="nil"/>
                  </w:tcBorders>
                  <w:tcMar>
                    <w:top w:w="0" w:type="dxa"/>
                    <w:left w:w="28" w:type="dxa"/>
                    <w:bottom w:w="0" w:type="dxa"/>
                    <w:right w:w="28" w:type="dxa"/>
                  </w:tcMar>
                  <w:vAlign w:val="center"/>
                </w:tcPr>
                <w:p w14:paraId="4826647E">
                  <w:pPr>
                    <w:kinsoku w:val="0"/>
                    <w:overflowPunct w:val="0"/>
                    <w:autoSpaceDE w:val="0"/>
                    <w:autoSpaceDN w:val="0"/>
                    <w:adjustRightInd w:val="0"/>
                    <w:spacing w:line="240" w:lineRule="exact"/>
                    <w:jc w:val="center"/>
                    <w:rPr>
                      <w:rFonts w:hint="eastAsia" w:eastAsia="宋体"/>
                      <w:color w:val="auto"/>
                      <w:kern w:val="0"/>
                      <w:szCs w:val="21"/>
                      <w:lang w:eastAsia="zh-CN"/>
                    </w:rPr>
                  </w:pPr>
                  <w:r>
                    <w:rPr>
                      <w:rFonts w:hint="eastAsia"/>
                      <w:color w:val="auto"/>
                      <w:szCs w:val="21"/>
                      <w:lang w:eastAsia="zh-CN"/>
                    </w:rPr>
                    <w:t>废包装材料</w:t>
                  </w:r>
                </w:p>
              </w:tc>
              <w:tc>
                <w:tcPr>
                  <w:tcW w:w="2934" w:type="dxa"/>
                  <w:vMerge w:val="restart"/>
                  <w:tcBorders>
                    <w:tl2br w:val="nil"/>
                    <w:tr2bl w:val="nil"/>
                  </w:tcBorders>
                  <w:tcMar>
                    <w:top w:w="0" w:type="dxa"/>
                    <w:left w:w="28" w:type="dxa"/>
                    <w:bottom w:w="0" w:type="dxa"/>
                    <w:right w:w="28" w:type="dxa"/>
                  </w:tcMar>
                  <w:vAlign w:val="center"/>
                </w:tcPr>
                <w:p w14:paraId="549D0EA1">
                  <w:pPr>
                    <w:kinsoku w:val="0"/>
                    <w:overflowPunct w:val="0"/>
                    <w:autoSpaceDE w:val="0"/>
                    <w:autoSpaceDN w:val="0"/>
                    <w:adjustRightInd w:val="0"/>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rPr>
                    <w:t>收集后外售</w:t>
                  </w:r>
                  <w:r>
                    <w:rPr>
                      <w:rFonts w:hint="eastAsia"/>
                      <w:color w:val="auto"/>
                      <w:kern w:val="0"/>
                      <w:szCs w:val="21"/>
                      <w:lang w:eastAsia="zh-CN"/>
                    </w:rPr>
                    <w:t>物质回收单位</w:t>
                  </w:r>
                </w:p>
              </w:tc>
            </w:tr>
            <w:tr w14:paraId="199E6A9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37" w:hRule="atLeast"/>
              </w:trPr>
              <w:tc>
                <w:tcPr>
                  <w:tcW w:w="524" w:type="dxa"/>
                  <w:vMerge w:val="continue"/>
                  <w:tcBorders>
                    <w:tl2br w:val="nil"/>
                    <w:tr2bl w:val="nil"/>
                  </w:tcBorders>
                  <w:tcMar>
                    <w:top w:w="0" w:type="dxa"/>
                    <w:left w:w="28" w:type="dxa"/>
                    <w:bottom w:w="0" w:type="dxa"/>
                    <w:right w:w="28" w:type="dxa"/>
                  </w:tcMar>
                  <w:vAlign w:val="center"/>
                </w:tcPr>
                <w:p w14:paraId="6AC80894">
                  <w:pPr>
                    <w:kinsoku w:val="0"/>
                    <w:overflowPunct w:val="0"/>
                    <w:autoSpaceDE w:val="0"/>
                    <w:autoSpaceDN w:val="0"/>
                    <w:adjustRightInd w:val="0"/>
                    <w:spacing w:line="240" w:lineRule="exact"/>
                    <w:jc w:val="center"/>
                    <w:rPr>
                      <w:color w:val="auto"/>
                      <w:kern w:val="0"/>
                      <w:szCs w:val="21"/>
                    </w:rPr>
                  </w:pPr>
                </w:p>
              </w:tc>
              <w:tc>
                <w:tcPr>
                  <w:tcW w:w="643" w:type="dxa"/>
                  <w:tcBorders>
                    <w:tl2br w:val="nil"/>
                    <w:tr2bl w:val="nil"/>
                  </w:tcBorders>
                  <w:shd w:val="clear" w:color="auto" w:fill="auto"/>
                  <w:tcMar>
                    <w:top w:w="0" w:type="dxa"/>
                    <w:left w:w="28" w:type="dxa"/>
                    <w:bottom w:w="0" w:type="dxa"/>
                    <w:right w:w="28" w:type="dxa"/>
                  </w:tcMar>
                  <w:vAlign w:val="center"/>
                </w:tcPr>
                <w:p w14:paraId="5EEB8CD4">
                  <w:pPr>
                    <w:kinsoku w:val="0"/>
                    <w:overflowPunct w:val="0"/>
                    <w:autoSpaceDE w:val="0"/>
                    <w:autoSpaceDN w:val="0"/>
                    <w:adjustRightInd w:val="0"/>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lang w:val="en-US" w:eastAsia="zh-CN"/>
                    </w:rPr>
                    <w:t>S2</w:t>
                  </w:r>
                </w:p>
              </w:tc>
              <w:tc>
                <w:tcPr>
                  <w:tcW w:w="1457" w:type="dxa"/>
                  <w:tcBorders>
                    <w:tl2br w:val="nil"/>
                    <w:tr2bl w:val="nil"/>
                  </w:tcBorders>
                  <w:shd w:val="clear" w:color="auto" w:fill="auto"/>
                  <w:tcMar>
                    <w:top w:w="0" w:type="dxa"/>
                    <w:left w:w="28" w:type="dxa"/>
                    <w:bottom w:w="0" w:type="dxa"/>
                    <w:right w:w="28" w:type="dxa"/>
                  </w:tcMar>
                  <w:vAlign w:val="center"/>
                </w:tcPr>
                <w:p w14:paraId="509689BC">
                  <w:pPr>
                    <w:kinsoku w:val="0"/>
                    <w:overflowPunct w:val="0"/>
                    <w:autoSpaceDE w:val="0"/>
                    <w:autoSpaceDN w:val="0"/>
                    <w:adjustRightInd w:val="0"/>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lang w:val="en-US" w:eastAsia="zh-CN"/>
                    </w:rPr>
                    <w:t>切割</w:t>
                  </w:r>
                </w:p>
              </w:tc>
              <w:tc>
                <w:tcPr>
                  <w:tcW w:w="2258" w:type="dxa"/>
                  <w:tcBorders>
                    <w:tl2br w:val="nil"/>
                    <w:tr2bl w:val="nil"/>
                  </w:tcBorders>
                  <w:shd w:val="clear" w:color="auto" w:fill="auto"/>
                  <w:tcMar>
                    <w:top w:w="0" w:type="dxa"/>
                    <w:left w:w="28" w:type="dxa"/>
                    <w:bottom w:w="0" w:type="dxa"/>
                    <w:right w:w="28" w:type="dxa"/>
                  </w:tcMar>
                  <w:vAlign w:val="center"/>
                </w:tcPr>
                <w:p w14:paraId="482C4F76">
                  <w:pPr>
                    <w:kinsoku w:val="0"/>
                    <w:overflowPunct w:val="0"/>
                    <w:autoSpaceDE w:val="0"/>
                    <w:autoSpaceDN w:val="0"/>
                    <w:adjustRightInd w:val="0"/>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color w:val="auto"/>
                      <w:kern w:val="0"/>
                      <w:szCs w:val="21"/>
                      <w:lang w:val="en-US" w:eastAsia="zh-CN"/>
                    </w:rPr>
                    <w:t>废边角料</w:t>
                  </w:r>
                </w:p>
              </w:tc>
              <w:tc>
                <w:tcPr>
                  <w:tcW w:w="2934" w:type="dxa"/>
                  <w:vMerge w:val="continue"/>
                  <w:tcBorders>
                    <w:tl2br w:val="nil"/>
                    <w:tr2bl w:val="nil"/>
                  </w:tcBorders>
                  <w:shd w:val="clear" w:color="auto" w:fill="auto"/>
                  <w:tcMar>
                    <w:top w:w="0" w:type="dxa"/>
                    <w:left w:w="28" w:type="dxa"/>
                    <w:bottom w:w="0" w:type="dxa"/>
                    <w:right w:w="28" w:type="dxa"/>
                  </w:tcMar>
                  <w:vAlign w:val="center"/>
                </w:tcPr>
                <w:p w14:paraId="08F5F5CE">
                  <w:pPr>
                    <w:kinsoku w:val="0"/>
                    <w:overflowPunct w:val="0"/>
                    <w:autoSpaceDE w:val="0"/>
                    <w:autoSpaceDN w:val="0"/>
                    <w:adjustRightInd w:val="0"/>
                    <w:spacing w:line="240" w:lineRule="exact"/>
                    <w:jc w:val="center"/>
                    <w:rPr>
                      <w:rFonts w:hint="eastAsia" w:ascii="Times New Roman" w:hAnsi="Times New Roman" w:eastAsia="宋体" w:cs="Times New Roman"/>
                      <w:color w:val="auto"/>
                      <w:kern w:val="0"/>
                      <w:sz w:val="21"/>
                      <w:szCs w:val="21"/>
                      <w:lang w:val="en-US" w:eastAsia="zh-CN" w:bidi="ar-SA"/>
                    </w:rPr>
                  </w:pPr>
                </w:p>
              </w:tc>
            </w:tr>
            <w:tr w14:paraId="3982608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37" w:hRule="atLeast"/>
              </w:trPr>
              <w:tc>
                <w:tcPr>
                  <w:tcW w:w="524" w:type="dxa"/>
                  <w:vMerge w:val="continue"/>
                  <w:tcBorders>
                    <w:tl2br w:val="nil"/>
                    <w:tr2bl w:val="nil"/>
                  </w:tcBorders>
                  <w:tcMar>
                    <w:top w:w="0" w:type="dxa"/>
                    <w:left w:w="28" w:type="dxa"/>
                    <w:bottom w:w="0" w:type="dxa"/>
                    <w:right w:w="28" w:type="dxa"/>
                  </w:tcMar>
                  <w:vAlign w:val="center"/>
                </w:tcPr>
                <w:p w14:paraId="0C0FD3B7">
                  <w:pPr>
                    <w:kinsoku w:val="0"/>
                    <w:overflowPunct w:val="0"/>
                    <w:autoSpaceDE w:val="0"/>
                    <w:autoSpaceDN w:val="0"/>
                    <w:adjustRightInd w:val="0"/>
                    <w:spacing w:line="240" w:lineRule="exact"/>
                    <w:jc w:val="center"/>
                    <w:rPr>
                      <w:color w:val="auto"/>
                      <w:kern w:val="0"/>
                      <w:szCs w:val="21"/>
                    </w:rPr>
                  </w:pPr>
                </w:p>
              </w:tc>
              <w:tc>
                <w:tcPr>
                  <w:tcW w:w="643" w:type="dxa"/>
                  <w:tcBorders>
                    <w:tl2br w:val="nil"/>
                    <w:tr2bl w:val="nil"/>
                  </w:tcBorders>
                  <w:tcMar>
                    <w:top w:w="0" w:type="dxa"/>
                    <w:left w:w="28" w:type="dxa"/>
                    <w:bottom w:w="0" w:type="dxa"/>
                    <w:right w:w="28" w:type="dxa"/>
                  </w:tcMar>
                  <w:vAlign w:val="center"/>
                </w:tcPr>
                <w:p w14:paraId="11666096">
                  <w:pPr>
                    <w:kinsoku w:val="0"/>
                    <w:overflowPunct w:val="0"/>
                    <w:autoSpaceDE w:val="0"/>
                    <w:autoSpaceDN w:val="0"/>
                    <w:adjustRightInd w:val="0"/>
                    <w:spacing w:line="240" w:lineRule="exact"/>
                    <w:jc w:val="center"/>
                    <w:rPr>
                      <w:rFonts w:hint="default" w:eastAsia="宋体"/>
                      <w:color w:val="auto"/>
                      <w:kern w:val="0"/>
                      <w:szCs w:val="21"/>
                      <w:lang w:val="en-US" w:eastAsia="zh-CN"/>
                    </w:rPr>
                  </w:pPr>
                  <w:r>
                    <w:rPr>
                      <w:rFonts w:hint="eastAsia"/>
                      <w:color w:val="auto"/>
                      <w:kern w:val="0"/>
                      <w:szCs w:val="21"/>
                      <w:lang w:val="en-US" w:eastAsia="zh-CN"/>
                    </w:rPr>
                    <w:t>S3</w:t>
                  </w:r>
                </w:p>
              </w:tc>
              <w:tc>
                <w:tcPr>
                  <w:tcW w:w="1457" w:type="dxa"/>
                  <w:tcBorders>
                    <w:tl2br w:val="nil"/>
                    <w:tr2bl w:val="nil"/>
                  </w:tcBorders>
                  <w:shd w:val="clear" w:color="auto" w:fill="auto"/>
                  <w:tcMar>
                    <w:top w:w="0" w:type="dxa"/>
                    <w:left w:w="28" w:type="dxa"/>
                    <w:bottom w:w="0" w:type="dxa"/>
                    <w:right w:w="28" w:type="dxa"/>
                  </w:tcMar>
                  <w:vAlign w:val="center"/>
                </w:tcPr>
                <w:p w14:paraId="64BF33AC">
                  <w:pPr>
                    <w:kinsoku w:val="0"/>
                    <w:overflowPunct w:val="0"/>
                    <w:autoSpaceDE w:val="0"/>
                    <w:autoSpaceDN w:val="0"/>
                    <w:adjustRightInd w:val="0"/>
                    <w:spacing w:line="240" w:lineRule="exact"/>
                    <w:jc w:val="center"/>
                    <w:rPr>
                      <w:rFonts w:hint="default" w:ascii="Times New Roman" w:hAnsi="Times New Roman" w:eastAsia="宋体" w:cs="Times New Roman"/>
                      <w:color w:val="auto"/>
                      <w:kern w:val="0"/>
                      <w:sz w:val="21"/>
                      <w:szCs w:val="21"/>
                      <w:lang w:val="en-US" w:eastAsia="zh-CN" w:bidi="ar-SA"/>
                    </w:rPr>
                  </w:pPr>
                  <w:r>
                    <w:rPr>
                      <w:rFonts w:hint="eastAsia"/>
                      <w:color w:val="auto"/>
                      <w:kern w:val="0"/>
                      <w:szCs w:val="21"/>
                      <w:lang w:val="en-US" w:eastAsia="zh-CN"/>
                    </w:rPr>
                    <w:t>喷砂</w:t>
                  </w:r>
                </w:p>
              </w:tc>
              <w:tc>
                <w:tcPr>
                  <w:tcW w:w="2258" w:type="dxa"/>
                  <w:tcBorders>
                    <w:tl2br w:val="nil"/>
                    <w:tr2bl w:val="nil"/>
                  </w:tcBorders>
                  <w:shd w:val="clear" w:color="auto" w:fill="auto"/>
                  <w:tcMar>
                    <w:top w:w="0" w:type="dxa"/>
                    <w:left w:w="28" w:type="dxa"/>
                    <w:bottom w:w="0" w:type="dxa"/>
                    <w:right w:w="28" w:type="dxa"/>
                  </w:tcMar>
                  <w:vAlign w:val="center"/>
                </w:tcPr>
                <w:p w14:paraId="062ECCB1">
                  <w:pPr>
                    <w:kinsoku w:val="0"/>
                    <w:overflowPunct w:val="0"/>
                    <w:autoSpaceDE w:val="0"/>
                    <w:autoSpaceDN w:val="0"/>
                    <w:adjustRightInd w:val="0"/>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lang w:val="en-US" w:eastAsia="zh-CN"/>
                    </w:rPr>
                    <w:t>废钢砂</w:t>
                  </w:r>
                </w:p>
              </w:tc>
              <w:tc>
                <w:tcPr>
                  <w:tcW w:w="2934" w:type="dxa"/>
                  <w:vMerge w:val="continue"/>
                  <w:tcBorders>
                    <w:tl2br w:val="nil"/>
                    <w:tr2bl w:val="nil"/>
                  </w:tcBorders>
                  <w:tcMar>
                    <w:top w:w="0" w:type="dxa"/>
                    <w:left w:w="28" w:type="dxa"/>
                    <w:bottom w:w="0" w:type="dxa"/>
                    <w:right w:w="28" w:type="dxa"/>
                  </w:tcMar>
                  <w:vAlign w:val="center"/>
                </w:tcPr>
                <w:p w14:paraId="474CAA99">
                  <w:pPr>
                    <w:kinsoku w:val="0"/>
                    <w:overflowPunct w:val="0"/>
                    <w:autoSpaceDE w:val="0"/>
                    <w:autoSpaceDN w:val="0"/>
                    <w:adjustRightInd w:val="0"/>
                    <w:spacing w:line="240" w:lineRule="exact"/>
                    <w:jc w:val="center"/>
                    <w:rPr>
                      <w:rFonts w:hint="eastAsia"/>
                      <w:color w:val="auto"/>
                      <w:kern w:val="0"/>
                      <w:szCs w:val="21"/>
                    </w:rPr>
                  </w:pPr>
                </w:p>
              </w:tc>
            </w:tr>
            <w:tr w14:paraId="034DD77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37" w:hRule="atLeast"/>
              </w:trPr>
              <w:tc>
                <w:tcPr>
                  <w:tcW w:w="524" w:type="dxa"/>
                  <w:vMerge w:val="continue"/>
                  <w:tcBorders>
                    <w:tl2br w:val="nil"/>
                    <w:tr2bl w:val="nil"/>
                  </w:tcBorders>
                  <w:tcMar>
                    <w:top w:w="0" w:type="dxa"/>
                    <w:left w:w="28" w:type="dxa"/>
                    <w:bottom w:w="0" w:type="dxa"/>
                    <w:right w:w="28" w:type="dxa"/>
                  </w:tcMar>
                  <w:vAlign w:val="center"/>
                </w:tcPr>
                <w:p w14:paraId="656B22BC">
                  <w:pPr>
                    <w:kinsoku w:val="0"/>
                    <w:overflowPunct w:val="0"/>
                    <w:autoSpaceDE w:val="0"/>
                    <w:autoSpaceDN w:val="0"/>
                    <w:adjustRightInd w:val="0"/>
                    <w:spacing w:line="240" w:lineRule="exact"/>
                    <w:jc w:val="center"/>
                    <w:rPr>
                      <w:color w:val="auto"/>
                      <w:kern w:val="0"/>
                      <w:szCs w:val="21"/>
                    </w:rPr>
                  </w:pPr>
                </w:p>
              </w:tc>
              <w:tc>
                <w:tcPr>
                  <w:tcW w:w="643" w:type="dxa"/>
                  <w:tcBorders>
                    <w:tl2br w:val="nil"/>
                    <w:tr2bl w:val="nil"/>
                  </w:tcBorders>
                  <w:tcMar>
                    <w:top w:w="0" w:type="dxa"/>
                    <w:left w:w="28" w:type="dxa"/>
                    <w:bottom w:w="0" w:type="dxa"/>
                    <w:right w:w="28" w:type="dxa"/>
                  </w:tcMar>
                  <w:vAlign w:val="center"/>
                </w:tcPr>
                <w:p w14:paraId="13CACAF7">
                  <w:pPr>
                    <w:kinsoku w:val="0"/>
                    <w:overflowPunct w:val="0"/>
                    <w:autoSpaceDE w:val="0"/>
                    <w:autoSpaceDN w:val="0"/>
                    <w:adjustRightInd w:val="0"/>
                    <w:spacing w:line="240" w:lineRule="exact"/>
                    <w:jc w:val="center"/>
                    <w:rPr>
                      <w:rFonts w:hint="eastAsia"/>
                      <w:color w:val="auto"/>
                      <w:kern w:val="0"/>
                      <w:szCs w:val="21"/>
                      <w:lang w:val="en-US" w:eastAsia="zh-CN"/>
                    </w:rPr>
                  </w:pPr>
                  <w:r>
                    <w:rPr>
                      <w:rFonts w:hint="eastAsia"/>
                      <w:color w:val="auto"/>
                      <w:kern w:val="0"/>
                      <w:szCs w:val="21"/>
                      <w:lang w:val="en-US" w:eastAsia="zh-CN"/>
                    </w:rPr>
                    <w:t>S4</w:t>
                  </w:r>
                </w:p>
              </w:tc>
              <w:tc>
                <w:tcPr>
                  <w:tcW w:w="1457" w:type="dxa"/>
                  <w:tcBorders>
                    <w:tl2br w:val="nil"/>
                    <w:tr2bl w:val="nil"/>
                  </w:tcBorders>
                  <w:shd w:val="clear" w:color="auto" w:fill="auto"/>
                  <w:tcMar>
                    <w:top w:w="0" w:type="dxa"/>
                    <w:left w:w="28" w:type="dxa"/>
                    <w:bottom w:w="0" w:type="dxa"/>
                    <w:right w:w="28" w:type="dxa"/>
                  </w:tcMar>
                  <w:vAlign w:val="center"/>
                </w:tcPr>
                <w:p w14:paraId="541CAF4C">
                  <w:pPr>
                    <w:kinsoku w:val="0"/>
                    <w:overflowPunct w:val="0"/>
                    <w:autoSpaceDE w:val="0"/>
                    <w:autoSpaceDN w:val="0"/>
                    <w:adjustRightInd w:val="0"/>
                    <w:spacing w:line="240" w:lineRule="exact"/>
                    <w:jc w:val="center"/>
                    <w:rPr>
                      <w:rFonts w:hint="eastAsia"/>
                      <w:color w:val="auto"/>
                      <w:kern w:val="0"/>
                      <w:szCs w:val="21"/>
                      <w:lang w:val="en-US" w:eastAsia="zh-CN"/>
                    </w:rPr>
                  </w:pPr>
                  <w:r>
                    <w:rPr>
                      <w:rFonts w:hint="eastAsia"/>
                      <w:color w:val="auto"/>
                      <w:kern w:val="0"/>
                      <w:szCs w:val="21"/>
                      <w:lang w:val="en-US" w:eastAsia="zh-CN"/>
                    </w:rPr>
                    <w:t>废气除尘系统</w:t>
                  </w:r>
                </w:p>
              </w:tc>
              <w:tc>
                <w:tcPr>
                  <w:tcW w:w="2258" w:type="dxa"/>
                  <w:tcBorders>
                    <w:tl2br w:val="nil"/>
                    <w:tr2bl w:val="nil"/>
                  </w:tcBorders>
                  <w:shd w:val="clear" w:color="auto" w:fill="auto"/>
                  <w:tcMar>
                    <w:top w:w="0" w:type="dxa"/>
                    <w:left w:w="28" w:type="dxa"/>
                    <w:bottom w:w="0" w:type="dxa"/>
                    <w:right w:w="28" w:type="dxa"/>
                  </w:tcMar>
                  <w:vAlign w:val="center"/>
                </w:tcPr>
                <w:p w14:paraId="04596776">
                  <w:pPr>
                    <w:kinsoku w:val="0"/>
                    <w:overflowPunct w:val="0"/>
                    <w:autoSpaceDE w:val="0"/>
                    <w:autoSpaceDN w:val="0"/>
                    <w:adjustRightInd w:val="0"/>
                    <w:spacing w:line="240" w:lineRule="exact"/>
                    <w:jc w:val="center"/>
                    <w:rPr>
                      <w:rFonts w:hint="eastAsia"/>
                      <w:color w:val="auto"/>
                      <w:kern w:val="0"/>
                      <w:szCs w:val="21"/>
                      <w:lang w:val="en-US" w:eastAsia="zh-CN"/>
                    </w:rPr>
                  </w:pPr>
                  <w:r>
                    <w:rPr>
                      <w:rFonts w:hint="eastAsia" w:cs="Times New Roman"/>
                      <w:color w:val="auto"/>
                      <w:sz w:val="21"/>
                      <w:szCs w:val="21"/>
                      <w:lang w:eastAsia="zh-CN"/>
                    </w:rPr>
                    <w:t>除尘设施收集粉尘</w:t>
                  </w:r>
                </w:p>
              </w:tc>
              <w:tc>
                <w:tcPr>
                  <w:tcW w:w="2934" w:type="dxa"/>
                  <w:vMerge w:val="continue"/>
                  <w:tcBorders>
                    <w:tl2br w:val="nil"/>
                    <w:tr2bl w:val="nil"/>
                  </w:tcBorders>
                  <w:tcMar>
                    <w:top w:w="0" w:type="dxa"/>
                    <w:left w:w="28" w:type="dxa"/>
                    <w:bottom w:w="0" w:type="dxa"/>
                    <w:right w:w="28" w:type="dxa"/>
                  </w:tcMar>
                  <w:vAlign w:val="center"/>
                </w:tcPr>
                <w:p w14:paraId="23857769">
                  <w:pPr>
                    <w:kinsoku w:val="0"/>
                    <w:overflowPunct w:val="0"/>
                    <w:autoSpaceDE w:val="0"/>
                    <w:autoSpaceDN w:val="0"/>
                    <w:adjustRightInd w:val="0"/>
                    <w:spacing w:line="240" w:lineRule="exact"/>
                    <w:jc w:val="center"/>
                    <w:rPr>
                      <w:rFonts w:hint="eastAsia"/>
                      <w:color w:val="auto"/>
                      <w:kern w:val="0"/>
                      <w:szCs w:val="21"/>
                    </w:rPr>
                  </w:pPr>
                </w:p>
              </w:tc>
            </w:tr>
            <w:tr w14:paraId="18B471E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37" w:hRule="atLeast"/>
              </w:trPr>
              <w:tc>
                <w:tcPr>
                  <w:tcW w:w="524" w:type="dxa"/>
                  <w:vMerge w:val="continue"/>
                  <w:tcBorders>
                    <w:tl2br w:val="nil"/>
                    <w:tr2bl w:val="nil"/>
                  </w:tcBorders>
                  <w:tcMar>
                    <w:top w:w="0" w:type="dxa"/>
                    <w:left w:w="28" w:type="dxa"/>
                    <w:bottom w:w="0" w:type="dxa"/>
                    <w:right w:w="28" w:type="dxa"/>
                  </w:tcMar>
                  <w:vAlign w:val="center"/>
                </w:tcPr>
                <w:p w14:paraId="4310F7FC">
                  <w:pPr>
                    <w:kinsoku w:val="0"/>
                    <w:overflowPunct w:val="0"/>
                    <w:autoSpaceDE w:val="0"/>
                    <w:autoSpaceDN w:val="0"/>
                    <w:adjustRightInd w:val="0"/>
                    <w:spacing w:line="240" w:lineRule="exact"/>
                    <w:jc w:val="center"/>
                    <w:rPr>
                      <w:color w:val="auto"/>
                      <w:kern w:val="0"/>
                      <w:szCs w:val="21"/>
                    </w:rPr>
                  </w:pPr>
                </w:p>
              </w:tc>
              <w:tc>
                <w:tcPr>
                  <w:tcW w:w="643" w:type="dxa"/>
                  <w:tcBorders>
                    <w:tl2br w:val="nil"/>
                    <w:tr2bl w:val="nil"/>
                  </w:tcBorders>
                  <w:tcMar>
                    <w:top w:w="0" w:type="dxa"/>
                    <w:left w:w="28" w:type="dxa"/>
                    <w:bottom w:w="0" w:type="dxa"/>
                    <w:right w:w="28" w:type="dxa"/>
                  </w:tcMar>
                  <w:vAlign w:val="center"/>
                </w:tcPr>
                <w:p w14:paraId="7E9964DA">
                  <w:pPr>
                    <w:kinsoku w:val="0"/>
                    <w:overflowPunct w:val="0"/>
                    <w:autoSpaceDE w:val="0"/>
                    <w:autoSpaceDN w:val="0"/>
                    <w:adjustRightInd w:val="0"/>
                    <w:spacing w:line="240" w:lineRule="exact"/>
                    <w:jc w:val="center"/>
                    <w:rPr>
                      <w:rFonts w:hint="default"/>
                      <w:color w:val="auto"/>
                      <w:kern w:val="0"/>
                      <w:szCs w:val="21"/>
                      <w:lang w:val="en-US" w:eastAsia="zh-CN"/>
                    </w:rPr>
                  </w:pPr>
                  <w:r>
                    <w:rPr>
                      <w:rFonts w:hint="eastAsia"/>
                      <w:color w:val="auto"/>
                      <w:kern w:val="0"/>
                      <w:szCs w:val="21"/>
                      <w:lang w:val="en-US" w:eastAsia="zh-CN"/>
                    </w:rPr>
                    <w:t>S5</w:t>
                  </w:r>
                </w:p>
              </w:tc>
              <w:tc>
                <w:tcPr>
                  <w:tcW w:w="1457" w:type="dxa"/>
                  <w:tcBorders>
                    <w:tl2br w:val="nil"/>
                    <w:tr2bl w:val="nil"/>
                  </w:tcBorders>
                  <w:shd w:val="clear" w:color="auto" w:fill="auto"/>
                  <w:tcMar>
                    <w:top w:w="0" w:type="dxa"/>
                    <w:left w:w="28" w:type="dxa"/>
                    <w:bottom w:w="0" w:type="dxa"/>
                    <w:right w:w="28" w:type="dxa"/>
                  </w:tcMar>
                  <w:vAlign w:val="center"/>
                </w:tcPr>
                <w:p w14:paraId="79B50052">
                  <w:pPr>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eastAsia="zh-CN"/>
                    </w:rPr>
                    <w:t>废水处理</w:t>
                  </w:r>
                </w:p>
              </w:tc>
              <w:tc>
                <w:tcPr>
                  <w:tcW w:w="2258" w:type="dxa"/>
                  <w:tcBorders>
                    <w:tl2br w:val="nil"/>
                    <w:tr2bl w:val="nil"/>
                  </w:tcBorders>
                  <w:shd w:val="clear" w:color="auto" w:fill="auto"/>
                  <w:tcMar>
                    <w:top w:w="0" w:type="dxa"/>
                    <w:left w:w="28" w:type="dxa"/>
                    <w:bottom w:w="0" w:type="dxa"/>
                    <w:right w:w="28" w:type="dxa"/>
                  </w:tcMar>
                  <w:vAlign w:val="center"/>
                </w:tcPr>
                <w:p w14:paraId="1265659B">
                  <w:pPr>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eastAsia="zh-CN"/>
                    </w:rPr>
                    <w:t>泥饼</w:t>
                  </w:r>
                </w:p>
              </w:tc>
              <w:tc>
                <w:tcPr>
                  <w:tcW w:w="2934" w:type="dxa"/>
                  <w:vMerge w:val="restart"/>
                  <w:tcBorders>
                    <w:tl2br w:val="nil"/>
                    <w:tr2bl w:val="nil"/>
                  </w:tcBorders>
                  <w:tcMar>
                    <w:top w:w="0" w:type="dxa"/>
                    <w:left w:w="28" w:type="dxa"/>
                    <w:bottom w:w="0" w:type="dxa"/>
                    <w:right w:w="28" w:type="dxa"/>
                  </w:tcMar>
                  <w:vAlign w:val="center"/>
                </w:tcPr>
                <w:p w14:paraId="43843A7C">
                  <w:pPr>
                    <w:kinsoku w:val="0"/>
                    <w:overflowPunct w:val="0"/>
                    <w:autoSpaceDE w:val="0"/>
                    <w:autoSpaceDN w:val="0"/>
                    <w:adjustRightInd w:val="0"/>
                    <w:spacing w:line="240" w:lineRule="exact"/>
                    <w:jc w:val="center"/>
                    <w:rPr>
                      <w:rFonts w:hint="eastAsia"/>
                      <w:color w:val="auto"/>
                      <w:kern w:val="0"/>
                      <w:szCs w:val="21"/>
                    </w:rPr>
                  </w:pPr>
                  <w:r>
                    <w:rPr>
                      <w:rFonts w:hint="eastAsia"/>
                      <w:color w:val="auto"/>
                      <w:kern w:val="0"/>
                      <w:szCs w:val="21"/>
                      <w:lang w:eastAsia="zh-CN"/>
                    </w:rPr>
                    <w:t>收集后暂存于危废暂存间，委托资质单位清运处置</w:t>
                  </w:r>
                </w:p>
              </w:tc>
            </w:tr>
            <w:tr w14:paraId="507EC94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37" w:hRule="atLeast"/>
              </w:trPr>
              <w:tc>
                <w:tcPr>
                  <w:tcW w:w="524" w:type="dxa"/>
                  <w:vMerge w:val="continue"/>
                  <w:tcBorders>
                    <w:tl2br w:val="nil"/>
                    <w:tr2bl w:val="nil"/>
                  </w:tcBorders>
                  <w:tcMar>
                    <w:top w:w="0" w:type="dxa"/>
                    <w:left w:w="28" w:type="dxa"/>
                    <w:bottom w:w="0" w:type="dxa"/>
                    <w:right w:w="28" w:type="dxa"/>
                  </w:tcMar>
                  <w:vAlign w:val="center"/>
                </w:tcPr>
                <w:p w14:paraId="086DEA62">
                  <w:pPr>
                    <w:kinsoku w:val="0"/>
                    <w:overflowPunct w:val="0"/>
                    <w:autoSpaceDE w:val="0"/>
                    <w:autoSpaceDN w:val="0"/>
                    <w:adjustRightInd w:val="0"/>
                    <w:spacing w:line="240" w:lineRule="exact"/>
                    <w:jc w:val="center"/>
                    <w:rPr>
                      <w:color w:val="auto"/>
                      <w:kern w:val="0"/>
                      <w:szCs w:val="21"/>
                    </w:rPr>
                  </w:pPr>
                </w:p>
              </w:tc>
              <w:tc>
                <w:tcPr>
                  <w:tcW w:w="643" w:type="dxa"/>
                  <w:tcBorders>
                    <w:tl2br w:val="nil"/>
                    <w:tr2bl w:val="nil"/>
                  </w:tcBorders>
                  <w:tcMar>
                    <w:top w:w="0" w:type="dxa"/>
                    <w:left w:w="28" w:type="dxa"/>
                    <w:bottom w:w="0" w:type="dxa"/>
                    <w:right w:w="28" w:type="dxa"/>
                  </w:tcMar>
                  <w:vAlign w:val="center"/>
                </w:tcPr>
                <w:p w14:paraId="149D4A0E">
                  <w:pPr>
                    <w:kinsoku w:val="0"/>
                    <w:overflowPunct w:val="0"/>
                    <w:autoSpaceDE w:val="0"/>
                    <w:autoSpaceDN w:val="0"/>
                    <w:adjustRightInd w:val="0"/>
                    <w:spacing w:line="240" w:lineRule="exact"/>
                    <w:jc w:val="center"/>
                    <w:rPr>
                      <w:rFonts w:hint="default"/>
                      <w:color w:val="auto"/>
                      <w:kern w:val="0"/>
                      <w:szCs w:val="21"/>
                      <w:lang w:val="en-US" w:eastAsia="zh-CN"/>
                    </w:rPr>
                  </w:pPr>
                  <w:r>
                    <w:rPr>
                      <w:rFonts w:hint="eastAsia"/>
                      <w:color w:val="auto"/>
                      <w:kern w:val="0"/>
                      <w:szCs w:val="21"/>
                      <w:lang w:val="en-US" w:eastAsia="zh-CN"/>
                    </w:rPr>
                    <w:t>S6</w:t>
                  </w:r>
                </w:p>
              </w:tc>
              <w:tc>
                <w:tcPr>
                  <w:tcW w:w="1457" w:type="dxa"/>
                  <w:tcBorders>
                    <w:tl2br w:val="nil"/>
                    <w:tr2bl w:val="nil"/>
                  </w:tcBorders>
                  <w:shd w:val="clear" w:color="auto" w:fill="auto"/>
                  <w:tcMar>
                    <w:top w:w="0" w:type="dxa"/>
                    <w:left w:w="28" w:type="dxa"/>
                    <w:bottom w:w="0" w:type="dxa"/>
                    <w:right w:w="28" w:type="dxa"/>
                  </w:tcMar>
                  <w:vAlign w:val="center"/>
                </w:tcPr>
                <w:p w14:paraId="5B7E46A6">
                  <w:pPr>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eastAsia="zh-CN"/>
                    </w:rPr>
                    <w:t>废水处理</w:t>
                  </w:r>
                </w:p>
              </w:tc>
              <w:tc>
                <w:tcPr>
                  <w:tcW w:w="2258" w:type="dxa"/>
                  <w:tcBorders>
                    <w:tl2br w:val="nil"/>
                    <w:tr2bl w:val="nil"/>
                  </w:tcBorders>
                  <w:shd w:val="clear" w:color="auto" w:fill="auto"/>
                  <w:tcMar>
                    <w:top w:w="0" w:type="dxa"/>
                    <w:left w:w="28" w:type="dxa"/>
                    <w:bottom w:w="0" w:type="dxa"/>
                    <w:right w:w="28" w:type="dxa"/>
                  </w:tcMar>
                  <w:vAlign w:val="center"/>
                </w:tcPr>
                <w:p w14:paraId="62C7E579">
                  <w:pPr>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废活性炭</w:t>
                  </w:r>
                </w:p>
              </w:tc>
              <w:tc>
                <w:tcPr>
                  <w:tcW w:w="2934" w:type="dxa"/>
                  <w:vMerge w:val="continue"/>
                  <w:tcBorders>
                    <w:tl2br w:val="nil"/>
                    <w:tr2bl w:val="nil"/>
                  </w:tcBorders>
                  <w:tcMar>
                    <w:top w:w="0" w:type="dxa"/>
                    <w:left w:w="28" w:type="dxa"/>
                    <w:bottom w:w="0" w:type="dxa"/>
                    <w:right w:w="28" w:type="dxa"/>
                  </w:tcMar>
                  <w:vAlign w:val="center"/>
                </w:tcPr>
                <w:p w14:paraId="026F1A09">
                  <w:pPr>
                    <w:kinsoku w:val="0"/>
                    <w:overflowPunct w:val="0"/>
                    <w:autoSpaceDE w:val="0"/>
                    <w:autoSpaceDN w:val="0"/>
                    <w:adjustRightInd w:val="0"/>
                    <w:spacing w:line="240" w:lineRule="exact"/>
                    <w:jc w:val="center"/>
                    <w:rPr>
                      <w:rFonts w:hint="eastAsia"/>
                      <w:color w:val="auto"/>
                      <w:kern w:val="0"/>
                      <w:szCs w:val="21"/>
                    </w:rPr>
                  </w:pPr>
                </w:p>
              </w:tc>
            </w:tr>
            <w:tr w14:paraId="73E81E9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37" w:hRule="atLeast"/>
              </w:trPr>
              <w:tc>
                <w:tcPr>
                  <w:tcW w:w="524" w:type="dxa"/>
                  <w:vMerge w:val="continue"/>
                  <w:tcBorders>
                    <w:tl2br w:val="nil"/>
                    <w:tr2bl w:val="nil"/>
                  </w:tcBorders>
                  <w:tcMar>
                    <w:top w:w="0" w:type="dxa"/>
                    <w:left w:w="28" w:type="dxa"/>
                    <w:bottom w:w="0" w:type="dxa"/>
                    <w:right w:w="28" w:type="dxa"/>
                  </w:tcMar>
                  <w:vAlign w:val="center"/>
                </w:tcPr>
                <w:p w14:paraId="7C9E4F87">
                  <w:pPr>
                    <w:kinsoku w:val="0"/>
                    <w:overflowPunct w:val="0"/>
                    <w:autoSpaceDE w:val="0"/>
                    <w:autoSpaceDN w:val="0"/>
                    <w:adjustRightInd w:val="0"/>
                    <w:spacing w:line="240" w:lineRule="exact"/>
                    <w:jc w:val="center"/>
                    <w:rPr>
                      <w:color w:val="auto"/>
                      <w:kern w:val="0"/>
                      <w:szCs w:val="21"/>
                    </w:rPr>
                  </w:pPr>
                </w:p>
              </w:tc>
              <w:tc>
                <w:tcPr>
                  <w:tcW w:w="643" w:type="dxa"/>
                  <w:tcBorders>
                    <w:tl2br w:val="nil"/>
                    <w:tr2bl w:val="nil"/>
                  </w:tcBorders>
                  <w:tcMar>
                    <w:top w:w="0" w:type="dxa"/>
                    <w:left w:w="28" w:type="dxa"/>
                    <w:bottom w:w="0" w:type="dxa"/>
                    <w:right w:w="28" w:type="dxa"/>
                  </w:tcMar>
                  <w:vAlign w:val="center"/>
                </w:tcPr>
                <w:p w14:paraId="2D9DB6B0">
                  <w:pPr>
                    <w:kinsoku w:val="0"/>
                    <w:overflowPunct w:val="0"/>
                    <w:autoSpaceDE w:val="0"/>
                    <w:autoSpaceDN w:val="0"/>
                    <w:adjustRightInd w:val="0"/>
                    <w:spacing w:line="240" w:lineRule="exact"/>
                    <w:jc w:val="center"/>
                    <w:rPr>
                      <w:rFonts w:hint="default"/>
                      <w:color w:val="auto"/>
                      <w:kern w:val="0"/>
                      <w:szCs w:val="21"/>
                      <w:lang w:val="en-US" w:eastAsia="zh-CN"/>
                    </w:rPr>
                  </w:pPr>
                  <w:r>
                    <w:rPr>
                      <w:rFonts w:hint="eastAsia"/>
                      <w:color w:val="auto"/>
                      <w:kern w:val="0"/>
                      <w:szCs w:val="21"/>
                      <w:lang w:val="en-US" w:eastAsia="zh-CN"/>
                    </w:rPr>
                    <w:t>S7</w:t>
                  </w:r>
                </w:p>
              </w:tc>
              <w:tc>
                <w:tcPr>
                  <w:tcW w:w="1457" w:type="dxa"/>
                  <w:tcBorders>
                    <w:tl2br w:val="nil"/>
                    <w:tr2bl w:val="nil"/>
                  </w:tcBorders>
                  <w:shd w:val="clear" w:color="auto" w:fill="auto"/>
                  <w:tcMar>
                    <w:top w:w="0" w:type="dxa"/>
                    <w:left w:w="28" w:type="dxa"/>
                    <w:bottom w:w="0" w:type="dxa"/>
                    <w:right w:w="28" w:type="dxa"/>
                  </w:tcMar>
                  <w:vAlign w:val="center"/>
                </w:tcPr>
                <w:p w14:paraId="24F15726">
                  <w:pPr>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eastAsia="zh-CN"/>
                    </w:rPr>
                    <w:t>废水处理</w:t>
                  </w:r>
                </w:p>
              </w:tc>
              <w:tc>
                <w:tcPr>
                  <w:tcW w:w="2258" w:type="dxa"/>
                  <w:tcBorders>
                    <w:tl2br w:val="nil"/>
                    <w:tr2bl w:val="nil"/>
                  </w:tcBorders>
                  <w:shd w:val="clear" w:color="auto" w:fill="auto"/>
                  <w:tcMar>
                    <w:top w:w="0" w:type="dxa"/>
                    <w:left w:w="28" w:type="dxa"/>
                    <w:bottom w:w="0" w:type="dxa"/>
                    <w:right w:w="28" w:type="dxa"/>
                  </w:tcMar>
                  <w:vAlign w:val="center"/>
                </w:tcPr>
                <w:p w14:paraId="482E8E8F">
                  <w:pPr>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eastAsia="zh-CN"/>
                    </w:rPr>
                    <w:t>脱脂清洗废液</w:t>
                  </w:r>
                </w:p>
              </w:tc>
              <w:tc>
                <w:tcPr>
                  <w:tcW w:w="2934" w:type="dxa"/>
                  <w:vMerge w:val="continue"/>
                  <w:tcBorders>
                    <w:tl2br w:val="nil"/>
                    <w:tr2bl w:val="nil"/>
                  </w:tcBorders>
                  <w:tcMar>
                    <w:top w:w="0" w:type="dxa"/>
                    <w:left w:w="28" w:type="dxa"/>
                    <w:bottom w:w="0" w:type="dxa"/>
                    <w:right w:w="28" w:type="dxa"/>
                  </w:tcMar>
                  <w:vAlign w:val="center"/>
                </w:tcPr>
                <w:p w14:paraId="6CE1F22D">
                  <w:pPr>
                    <w:kinsoku w:val="0"/>
                    <w:overflowPunct w:val="0"/>
                    <w:autoSpaceDE w:val="0"/>
                    <w:autoSpaceDN w:val="0"/>
                    <w:adjustRightInd w:val="0"/>
                    <w:spacing w:line="240" w:lineRule="exact"/>
                    <w:jc w:val="center"/>
                    <w:rPr>
                      <w:rFonts w:hint="eastAsia"/>
                      <w:color w:val="auto"/>
                      <w:kern w:val="0"/>
                      <w:szCs w:val="21"/>
                    </w:rPr>
                  </w:pPr>
                </w:p>
              </w:tc>
            </w:tr>
            <w:tr w14:paraId="2022BD6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37" w:hRule="atLeast"/>
              </w:trPr>
              <w:tc>
                <w:tcPr>
                  <w:tcW w:w="524" w:type="dxa"/>
                  <w:vMerge w:val="continue"/>
                  <w:tcBorders>
                    <w:tl2br w:val="nil"/>
                    <w:tr2bl w:val="nil"/>
                  </w:tcBorders>
                  <w:tcMar>
                    <w:top w:w="0" w:type="dxa"/>
                    <w:left w:w="28" w:type="dxa"/>
                    <w:bottom w:w="0" w:type="dxa"/>
                    <w:right w:w="28" w:type="dxa"/>
                  </w:tcMar>
                  <w:vAlign w:val="center"/>
                </w:tcPr>
                <w:p w14:paraId="072FFAF3">
                  <w:pPr>
                    <w:kinsoku w:val="0"/>
                    <w:overflowPunct w:val="0"/>
                    <w:autoSpaceDE w:val="0"/>
                    <w:autoSpaceDN w:val="0"/>
                    <w:adjustRightInd w:val="0"/>
                    <w:spacing w:line="240" w:lineRule="exact"/>
                    <w:jc w:val="center"/>
                    <w:rPr>
                      <w:color w:val="auto"/>
                      <w:kern w:val="0"/>
                      <w:szCs w:val="21"/>
                    </w:rPr>
                  </w:pPr>
                </w:p>
              </w:tc>
              <w:tc>
                <w:tcPr>
                  <w:tcW w:w="643" w:type="dxa"/>
                  <w:vMerge w:val="restart"/>
                  <w:tcBorders>
                    <w:tl2br w:val="nil"/>
                    <w:tr2bl w:val="nil"/>
                  </w:tcBorders>
                  <w:tcMar>
                    <w:top w:w="0" w:type="dxa"/>
                    <w:left w:w="28" w:type="dxa"/>
                    <w:bottom w:w="0" w:type="dxa"/>
                    <w:right w:w="28" w:type="dxa"/>
                  </w:tcMar>
                  <w:vAlign w:val="center"/>
                </w:tcPr>
                <w:p w14:paraId="4A8288BC">
                  <w:pPr>
                    <w:kinsoku w:val="0"/>
                    <w:overflowPunct w:val="0"/>
                    <w:autoSpaceDE w:val="0"/>
                    <w:autoSpaceDN w:val="0"/>
                    <w:adjustRightInd w:val="0"/>
                    <w:spacing w:line="240" w:lineRule="exact"/>
                    <w:jc w:val="center"/>
                    <w:rPr>
                      <w:rFonts w:hint="default"/>
                      <w:color w:val="auto"/>
                      <w:kern w:val="0"/>
                      <w:szCs w:val="21"/>
                      <w:lang w:val="en-US" w:eastAsia="zh-CN"/>
                    </w:rPr>
                  </w:pPr>
                  <w:r>
                    <w:rPr>
                      <w:rFonts w:hint="eastAsia"/>
                      <w:color w:val="auto"/>
                      <w:kern w:val="0"/>
                      <w:szCs w:val="21"/>
                      <w:lang w:val="en-US" w:eastAsia="zh-CN"/>
                    </w:rPr>
                    <w:t>S8</w:t>
                  </w:r>
                </w:p>
              </w:tc>
              <w:tc>
                <w:tcPr>
                  <w:tcW w:w="1457" w:type="dxa"/>
                  <w:vMerge w:val="restart"/>
                  <w:tcBorders>
                    <w:tl2br w:val="nil"/>
                    <w:tr2bl w:val="nil"/>
                  </w:tcBorders>
                  <w:tcMar>
                    <w:top w:w="0" w:type="dxa"/>
                    <w:left w:w="28" w:type="dxa"/>
                    <w:bottom w:w="0" w:type="dxa"/>
                    <w:right w:w="28" w:type="dxa"/>
                  </w:tcMar>
                  <w:vAlign w:val="center"/>
                </w:tcPr>
                <w:p w14:paraId="07B12A5B">
                  <w:pPr>
                    <w:kinsoku w:val="0"/>
                    <w:overflowPunct w:val="0"/>
                    <w:autoSpaceDE w:val="0"/>
                    <w:autoSpaceDN w:val="0"/>
                    <w:adjustRightInd w:val="0"/>
                    <w:spacing w:line="240" w:lineRule="exact"/>
                    <w:jc w:val="center"/>
                    <w:rPr>
                      <w:rFonts w:hint="default"/>
                      <w:color w:val="auto"/>
                      <w:kern w:val="0"/>
                      <w:szCs w:val="21"/>
                      <w:lang w:val="en-US" w:eastAsia="zh-CN"/>
                    </w:rPr>
                  </w:pPr>
                  <w:r>
                    <w:rPr>
                      <w:rFonts w:hint="eastAsia"/>
                      <w:color w:val="auto"/>
                      <w:kern w:val="0"/>
                      <w:szCs w:val="21"/>
                      <w:lang w:val="en-US" w:eastAsia="zh-CN"/>
                    </w:rPr>
                    <w:t>设备维护</w:t>
                  </w:r>
                </w:p>
              </w:tc>
              <w:tc>
                <w:tcPr>
                  <w:tcW w:w="2258" w:type="dxa"/>
                  <w:tcBorders>
                    <w:tl2br w:val="nil"/>
                    <w:tr2bl w:val="nil"/>
                  </w:tcBorders>
                  <w:tcMar>
                    <w:top w:w="0" w:type="dxa"/>
                    <w:left w:w="28" w:type="dxa"/>
                    <w:bottom w:w="0" w:type="dxa"/>
                    <w:right w:w="28" w:type="dxa"/>
                  </w:tcMar>
                  <w:vAlign w:val="center"/>
                </w:tcPr>
                <w:p w14:paraId="3A15D7D9">
                  <w:pPr>
                    <w:kinsoku w:val="0"/>
                    <w:overflowPunct w:val="0"/>
                    <w:autoSpaceDE w:val="0"/>
                    <w:autoSpaceDN w:val="0"/>
                    <w:adjustRightInd w:val="0"/>
                    <w:spacing w:line="240" w:lineRule="exact"/>
                    <w:jc w:val="center"/>
                    <w:rPr>
                      <w:rFonts w:hint="eastAsia"/>
                      <w:color w:val="auto"/>
                      <w:szCs w:val="21"/>
                      <w:lang w:eastAsia="zh-CN"/>
                    </w:rPr>
                  </w:pPr>
                  <w:r>
                    <w:rPr>
                      <w:rFonts w:hint="eastAsia"/>
                      <w:color w:val="auto"/>
                      <w:kern w:val="0"/>
                      <w:szCs w:val="21"/>
                      <w:lang w:val="en-US" w:eastAsia="zh-CN"/>
                    </w:rPr>
                    <w:t>废润滑油空桶</w:t>
                  </w:r>
                </w:p>
              </w:tc>
              <w:tc>
                <w:tcPr>
                  <w:tcW w:w="2934" w:type="dxa"/>
                  <w:vMerge w:val="continue"/>
                  <w:tcBorders>
                    <w:tl2br w:val="nil"/>
                    <w:tr2bl w:val="nil"/>
                  </w:tcBorders>
                  <w:tcMar>
                    <w:top w:w="0" w:type="dxa"/>
                    <w:left w:w="28" w:type="dxa"/>
                    <w:bottom w:w="0" w:type="dxa"/>
                    <w:right w:w="28" w:type="dxa"/>
                  </w:tcMar>
                  <w:vAlign w:val="center"/>
                </w:tcPr>
                <w:p w14:paraId="10A302C3">
                  <w:pPr>
                    <w:kinsoku w:val="0"/>
                    <w:overflowPunct w:val="0"/>
                    <w:autoSpaceDE w:val="0"/>
                    <w:autoSpaceDN w:val="0"/>
                    <w:adjustRightInd w:val="0"/>
                    <w:spacing w:line="240" w:lineRule="exact"/>
                    <w:jc w:val="center"/>
                    <w:rPr>
                      <w:rFonts w:hint="eastAsia"/>
                      <w:color w:val="auto"/>
                      <w:kern w:val="0"/>
                      <w:szCs w:val="21"/>
                    </w:rPr>
                  </w:pPr>
                </w:p>
              </w:tc>
            </w:tr>
            <w:tr w14:paraId="32ACDAC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37" w:hRule="atLeast"/>
              </w:trPr>
              <w:tc>
                <w:tcPr>
                  <w:tcW w:w="524" w:type="dxa"/>
                  <w:vMerge w:val="continue"/>
                  <w:tcBorders>
                    <w:tl2br w:val="nil"/>
                    <w:tr2bl w:val="nil"/>
                  </w:tcBorders>
                  <w:tcMar>
                    <w:top w:w="0" w:type="dxa"/>
                    <w:left w:w="28" w:type="dxa"/>
                    <w:bottom w:w="0" w:type="dxa"/>
                    <w:right w:w="28" w:type="dxa"/>
                  </w:tcMar>
                  <w:vAlign w:val="center"/>
                </w:tcPr>
                <w:p w14:paraId="3163BF7E">
                  <w:pPr>
                    <w:kinsoku w:val="0"/>
                    <w:overflowPunct w:val="0"/>
                    <w:autoSpaceDE w:val="0"/>
                    <w:autoSpaceDN w:val="0"/>
                    <w:adjustRightInd w:val="0"/>
                    <w:spacing w:line="240" w:lineRule="exact"/>
                    <w:jc w:val="center"/>
                    <w:rPr>
                      <w:color w:val="auto"/>
                      <w:kern w:val="0"/>
                      <w:szCs w:val="21"/>
                    </w:rPr>
                  </w:pPr>
                </w:p>
              </w:tc>
              <w:tc>
                <w:tcPr>
                  <w:tcW w:w="643" w:type="dxa"/>
                  <w:vMerge w:val="continue"/>
                  <w:tcBorders>
                    <w:tl2br w:val="nil"/>
                    <w:tr2bl w:val="nil"/>
                  </w:tcBorders>
                  <w:tcMar>
                    <w:top w:w="0" w:type="dxa"/>
                    <w:left w:w="28" w:type="dxa"/>
                    <w:bottom w:w="0" w:type="dxa"/>
                    <w:right w:w="28" w:type="dxa"/>
                  </w:tcMar>
                  <w:vAlign w:val="center"/>
                </w:tcPr>
                <w:p w14:paraId="6B4A81F2">
                  <w:pPr>
                    <w:kinsoku w:val="0"/>
                    <w:overflowPunct w:val="0"/>
                    <w:autoSpaceDE w:val="0"/>
                    <w:autoSpaceDN w:val="0"/>
                    <w:adjustRightInd w:val="0"/>
                    <w:spacing w:line="240" w:lineRule="exact"/>
                    <w:jc w:val="center"/>
                    <w:rPr>
                      <w:rFonts w:hint="eastAsia"/>
                      <w:color w:val="auto"/>
                      <w:kern w:val="0"/>
                      <w:szCs w:val="21"/>
                      <w:lang w:val="en-US" w:eastAsia="zh-CN"/>
                    </w:rPr>
                  </w:pPr>
                </w:p>
              </w:tc>
              <w:tc>
                <w:tcPr>
                  <w:tcW w:w="1457" w:type="dxa"/>
                  <w:vMerge w:val="continue"/>
                  <w:tcBorders>
                    <w:tl2br w:val="nil"/>
                    <w:tr2bl w:val="nil"/>
                  </w:tcBorders>
                  <w:tcMar>
                    <w:top w:w="0" w:type="dxa"/>
                    <w:left w:w="28" w:type="dxa"/>
                    <w:bottom w:w="0" w:type="dxa"/>
                    <w:right w:w="28" w:type="dxa"/>
                  </w:tcMar>
                  <w:vAlign w:val="center"/>
                </w:tcPr>
                <w:p w14:paraId="583BAAE5">
                  <w:pPr>
                    <w:kinsoku w:val="0"/>
                    <w:overflowPunct w:val="0"/>
                    <w:autoSpaceDE w:val="0"/>
                    <w:autoSpaceDN w:val="0"/>
                    <w:adjustRightInd w:val="0"/>
                    <w:spacing w:line="240" w:lineRule="exact"/>
                    <w:jc w:val="center"/>
                    <w:rPr>
                      <w:rFonts w:hint="eastAsia"/>
                      <w:color w:val="auto"/>
                      <w:kern w:val="0"/>
                      <w:szCs w:val="21"/>
                      <w:lang w:val="en-US" w:eastAsia="zh-CN"/>
                    </w:rPr>
                  </w:pPr>
                </w:p>
              </w:tc>
              <w:tc>
                <w:tcPr>
                  <w:tcW w:w="2258" w:type="dxa"/>
                  <w:tcBorders>
                    <w:tl2br w:val="nil"/>
                    <w:tr2bl w:val="nil"/>
                  </w:tcBorders>
                  <w:tcMar>
                    <w:top w:w="0" w:type="dxa"/>
                    <w:left w:w="28" w:type="dxa"/>
                    <w:bottom w:w="0" w:type="dxa"/>
                    <w:right w:w="28" w:type="dxa"/>
                  </w:tcMar>
                  <w:vAlign w:val="center"/>
                </w:tcPr>
                <w:p w14:paraId="69ED7747">
                  <w:pPr>
                    <w:kinsoku w:val="0"/>
                    <w:overflowPunct w:val="0"/>
                    <w:autoSpaceDE w:val="0"/>
                    <w:autoSpaceDN w:val="0"/>
                    <w:adjustRightInd w:val="0"/>
                    <w:spacing w:line="240" w:lineRule="exact"/>
                    <w:jc w:val="center"/>
                    <w:rPr>
                      <w:rFonts w:hint="eastAsia"/>
                      <w:color w:val="auto"/>
                      <w:kern w:val="0"/>
                      <w:szCs w:val="21"/>
                      <w:lang w:val="en-US" w:eastAsia="zh-CN"/>
                    </w:rPr>
                  </w:pPr>
                  <w:r>
                    <w:rPr>
                      <w:rFonts w:hint="eastAsia"/>
                      <w:color w:val="auto"/>
                      <w:kern w:val="0"/>
                      <w:szCs w:val="21"/>
                      <w:lang w:val="en-US" w:eastAsia="zh-CN"/>
                    </w:rPr>
                    <w:t>废润滑油</w:t>
                  </w:r>
                </w:p>
              </w:tc>
              <w:tc>
                <w:tcPr>
                  <w:tcW w:w="2934" w:type="dxa"/>
                  <w:vMerge w:val="continue"/>
                  <w:tcBorders>
                    <w:tl2br w:val="nil"/>
                    <w:tr2bl w:val="nil"/>
                  </w:tcBorders>
                  <w:tcMar>
                    <w:top w:w="0" w:type="dxa"/>
                    <w:left w:w="28" w:type="dxa"/>
                    <w:bottom w:w="0" w:type="dxa"/>
                    <w:right w:w="28" w:type="dxa"/>
                  </w:tcMar>
                  <w:vAlign w:val="center"/>
                </w:tcPr>
                <w:p w14:paraId="38F619C2">
                  <w:pPr>
                    <w:kinsoku w:val="0"/>
                    <w:overflowPunct w:val="0"/>
                    <w:autoSpaceDE w:val="0"/>
                    <w:autoSpaceDN w:val="0"/>
                    <w:adjustRightInd w:val="0"/>
                    <w:spacing w:line="240" w:lineRule="exact"/>
                    <w:jc w:val="center"/>
                    <w:rPr>
                      <w:rFonts w:hint="eastAsia"/>
                      <w:color w:val="auto"/>
                      <w:kern w:val="0"/>
                      <w:szCs w:val="21"/>
                      <w:lang w:eastAsia="zh-CN"/>
                    </w:rPr>
                  </w:pPr>
                </w:p>
              </w:tc>
            </w:tr>
            <w:tr w14:paraId="7FBC868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37" w:hRule="atLeast"/>
              </w:trPr>
              <w:tc>
                <w:tcPr>
                  <w:tcW w:w="524" w:type="dxa"/>
                  <w:vMerge w:val="continue"/>
                  <w:tcBorders>
                    <w:tl2br w:val="nil"/>
                    <w:tr2bl w:val="nil"/>
                  </w:tcBorders>
                  <w:tcMar>
                    <w:top w:w="0" w:type="dxa"/>
                    <w:left w:w="28" w:type="dxa"/>
                    <w:bottom w:w="0" w:type="dxa"/>
                    <w:right w:w="28" w:type="dxa"/>
                  </w:tcMar>
                  <w:vAlign w:val="center"/>
                </w:tcPr>
                <w:p w14:paraId="09EAAAF0">
                  <w:pPr>
                    <w:kinsoku w:val="0"/>
                    <w:overflowPunct w:val="0"/>
                    <w:autoSpaceDE w:val="0"/>
                    <w:autoSpaceDN w:val="0"/>
                    <w:adjustRightInd w:val="0"/>
                    <w:spacing w:line="240" w:lineRule="exact"/>
                    <w:jc w:val="center"/>
                    <w:rPr>
                      <w:color w:val="auto"/>
                      <w:kern w:val="0"/>
                      <w:szCs w:val="21"/>
                    </w:rPr>
                  </w:pPr>
                </w:p>
              </w:tc>
              <w:tc>
                <w:tcPr>
                  <w:tcW w:w="643" w:type="dxa"/>
                  <w:tcBorders>
                    <w:tl2br w:val="nil"/>
                    <w:tr2bl w:val="nil"/>
                  </w:tcBorders>
                  <w:tcMar>
                    <w:top w:w="0" w:type="dxa"/>
                    <w:left w:w="28" w:type="dxa"/>
                    <w:bottom w:w="0" w:type="dxa"/>
                    <w:right w:w="28" w:type="dxa"/>
                  </w:tcMar>
                  <w:vAlign w:val="center"/>
                </w:tcPr>
                <w:p w14:paraId="4C02E3D1">
                  <w:pPr>
                    <w:kinsoku w:val="0"/>
                    <w:overflowPunct w:val="0"/>
                    <w:autoSpaceDE w:val="0"/>
                    <w:autoSpaceDN w:val="0"/>
                    <w:adjustRightInd w:val="0"/>
                    <w:spacing w:line="240" w:lineRule="exact"/>
                    <w:jc w:val="center"/>
                    <w:rPr>
                      <w:rFonts w:hint="default"/>
                      <w:color w:val="auto"/>
                      <w:kern w:val="0"/>
                      <w:szCs w:val="21"/>
                      <w:lang w:val="en-US" w:eastAsia="zh-CN"/>
                    </w:rPr>
                  </w:pPr>
                  <w:r>
                    <w:rPr>
                      <w:rFonts w:hint="eastAsia"/>
                      <w:color w:val="auto"/>
                      <w:kern w:val="0"/>
                      <w:szCs w:val="21"/>
                      <w:lang w:val="en-US" w:eastAsia="zh-CN"/>
                    </w:rPr>
                    <w:t>S9</w:t>
                  </w:r>
                </w:p>
              </w:tc>
              <w:tc>
                <w:tcPr>
                  <w:tcW w:w="1457" w:type="dxa"/>
                  <w:tcBorders>
                    <w:tl2br w:val="nil"/>
                    <w:tr2bl w:val="nil"/>
                  </w:tcBorders>
                  <w:tcMar>
                    <w:top w:w="0" w:type="dxa"/>
                    <w:left w:w="28" w:type="dxa"/>
                    <w:bottom w:w="0" w:type="dxa"/>
                    <w:right w:w="28" w:type="dxa"/>
                  </w:tcMar>
                  <w:vAlign w:val="center"/>
                </w:tcPr>
                <w:p w14:paraId="15621699">
                  <w:pPr>
                    <w:kinsoku w:val="0"/>
                    <w:overflowPunct w:val="0"/>
                    <w:autoSpaceDE w:val="0"/>
                    <w:autoSpaceDN w:val="0"/>
                    <w:adjustRightInd w:val="0"/>
                    <w:spacing w:line="240" w:lineRule="exact"/>
                    <w:jc w:val="center"/>
                    <w:rPr>
                      <w:rFonts w:hint="eastAsia"/>
                      <w:color w:val="auto"/>
                      <w:kern w:val="0"/>
                      <w:szCs w:val="21"/>
                      <w:lang w:val="en-US" w:eastAsia="zh-CN"/>
                    </w:rPr>
                  </w:pPr>
                  <w:r>
                    <w:rPr>
                      <w:rFonts w:hint="eastAsia"/>
                      <w:color w:val="auto"/>
                      <w:kern w:val="0"/>
                      <w:szCs w:val="21"/>
                      <w:lang w:val="en-US" w:eastAsia="zh-CN"/>
                    </w:rPr>
                    <w:t>电气测试</w:t>
                  </w:r>
                </w:p>
              </w:tc>
              <w:tc>
                <w:tcPr>
                  <w:tcW w:w="2258" w:type="dxa"/>
                  <w:tcBorders>
                    <w:tl2br w:val="nil"/>
                    <w:tr2bl w:val="nil"/>
                  </w:tcBorders>
                  <w:tcMar>
                    <w:top w:w="0" w:type="dxa"/>
                    <w:left w:w="28" w:type="dxa"/>
                    <w:bottom w:w="0" w:type="dxa"/>
                    <w:right w:w="28" w:type="dxa"/>
                  </w:tcMar>
                  <w:vAlign w:val="center"/>
                </w:tcPr>
                <w:p w14:paraId="7A9BF18E">
                  <w:pPr>
                    <w:kinsoku w:val="0"/>
                    <w:overflowPunct w:val="0"/>
                    <w:autoSpaceDE w:val="0"/>
                    <w:autoSpaceDN w:val="0"/>
                    <w:adjustRightInd w:val="0"/>
                    <w:spacing w:line="240" w:lineRule="exact"/>
                    <w:jc w:val="center"/>
                    <w:rPr>
                      <w:rFonts w:hint="eastAsia"/>
                      <w:color w:val="auto"/>
                      <w:kern w:val="0"/>
                      <w:szCs w:val="21"/>
                      <w:lang w:val="en-US" w:eastAsia="zh-CN"/>
                    </w:rPr>
                  </w:pPr>
                  <w:r>
                    <w:rPr>
                      <w:rFonts w:hint="eastAsia"/>
                      <w:color w:val="auto"/>
                      <w:kern w:val="0"/>
                      <w:szCs w:val="21"/>
                      <w:lang w:val="en-US" w:eastAsia="zh-CN"/>
                    </w:rPr>
                    <w:t>废柴油</w:t>
                  </w:r>
                </w:p>
              </w:tc>
              <w:tc>
                <w:tcPr>
                  <w:tcW w:w="2934" w:type="dxa"/>
                  <w:vMerge w:val="continue"/>
                  <w:tcBorders>
                    <w:tl2br w:val="nil"/>
                    <w:tr2bl w:val="nil"/>
                  </w:tcBorders>
                  <w:tcMar>
                    <w:top w:w="0" w:type="dxa"/>
                    <w:left w:w="28" w:type="dxa"/>
                    <w:bottom w:w="0" w:type="dxa"/>
                    <w:right w:w="28" w:type="dxa"/>
                  </w:tcMar>
                  <w:vAlign w:val="center"/>
                </w:tcPr>
                <w:p w14:paraId="15CF3FE0">
                  <w:pPr>
                    <w:kinsoku w:val="0"/>
                    <w:overflowPunct w:val="0"/>
                    <w:autoSpaceDE w:val="0"/>
                    <w:autoSpaceDN w:val="0"/>
                    <w:adjustRightInd w:val="0"/>
                    <w:spacing w:line="240" w:lineRule="exact"/>
                    <w:jc w:val="center"/>
                    <w:rPr>
                      <w:rFonts w:hint="eastAsia"/>
                      <w:color w:val="auto"/>
                      <w:kern w:val="0"/>
                      <w:szCs w:val="21"/>
                      <w:lang w:eastAsia="zh-CN"/>
                    </w:rPr>
                  </w:pPr>
                </w:p>
              </w:tc>
            </w:tr>
            <w:tr w14:paraId="2B47607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37" w:hRule="atLeast"/>
              </w:trPr>
              <w:tc>
                <w:tcPr>
                  <w:tcW w:w="524" w:type="dxa"/>
                  <w:vMerge w:val="continue"/>
                  <w:tcBorders>
                    <w:tl2br w:val="nil"/>
                    <w:tr2bl w:val="nil"/>
                  </w:tcBorders>
                  <w:tcMar>
                    <w:top w:w="0" w:type="dxa"/>
                    <w:left w:w="28" w:type="dxa"/>
                    <w:bottom w:w="0" w:type="dxa"/>
                    <w:right w:w="28" w:type="dxa"/>
                  </w:tcMar>
                  <w:vAlign w:val="center"/>
                </w:tcPr>
                <w:p w14:paraId="431E7220">
                  <w:pPr>
                    <w:kinsoku w:val="0"/>
                    <w:overflowPunct w:val="0"/>
                    <w:autoSpaceDE w:val="0"/>
                    <w:autoSpaceDN w:val="0"/>
                    <w:adjustRightInd w:val="0"/>
                    <w:spacing w:line="240" w:lineRule="exact"/>
                    <w:jc w:val="center"/>
                    <w:rPr>
                      <w:color w:val="auto"/>
                      <w:kern w:val="0"/>
                      <w:szCs w:val="21"/>
                    </w:rPr>
                  </w:pPr>
                </w:p>
              </w:tc>
              <w:tc>
                <w:tcPr>
                  <w:tcW w:w="643" w:type="dxa"/>
                  <w:tcBorders>
                    <w:tl2br w:val="nil"/>
                    <w:tr2bl w:val="nil"/>
                  </w:tcBorders>
                  <w:shd w:val="clear" w:color="auto" w:fill="auto"/>
                  <w:tcMar>
                    <w:top w:w="0" w:type="dxa"/>
                    <w:left w:w="28" w:type="dxa"/>
                    <w:bottom w:w="0" w:type="dxa"/>
                    <w:right w:w="28" w:type="dxa"/>
                  </w:tcMar>
                  <w:vAlign w:val="center"/>
                </w:tcPr>
                <w:p w14:paraId="1EFF868A">
                  <w:pPr>
                    <w:kinsoku w:val="0"/>
                    <w:overflowPunct w:val="0"/>
                    <w:autoSpaceDE w:val="0"/>
                    <w:autoSpaceDN w:val="0"/>
                    <w:adjustRightInd w:val="0"/>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lang w:val="en-US" w:eastAsia="zh-CN"/>
                    </w:rPr>
                    <w:t>S10</w:t>
                  </w:r>
                </w:p>
              </w:tc>
              <w:tc>
                <w:tcPr>
                  <w:tcW w:w="1457" w:type="dxa"/>
                  <w:tcBorders>
                    <w:tl2br w:val="nil"/>
                    <w:tr2bl w:val="nil"/>
                  </w:tcBorders>
                  <w:shd w:val="clear" w:color="auto" w:fill="auto"/>
                  <w:tcMar>
                    <w:top w:w="0" w:type="dxa"/>
                    <w:left w:w="28" w:type="dxa"/>
                    <w:bottom w:w="0" w:type="dxa"/>
                    <w:right w:w="28" w:type="dxa"/>
                  </w:tcMar>
                  <w:vAlign w:val="center"/>
                </w:tcPr>
                <w:p w14:paraId="1C8BEECC">
                  <w:pPr>
                    <w:kinsoku w:val="0"/>
                    <w:overflowPunct w:val="0"/>
                    <w:autoSpaceDE w:val="0"/>
                    <w:autoSpaceDN w:val="0"/>
                    <w:adjustRightInd w:val="0"/>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lang w:val="en-US" w:eastAsia="zh-CN"/>
                    </w:rPr>
                    <w:t>烟气脱硝系统</w:t>
                  </w:r>
                </w:p>
              </w:tc>
              <w:tc>
                <w:tcPr>
                  <w:tcW w:w="2258" w:type="dxa"/>
                  <w:tcBorders>
                    <w:tl2br w:val="nil"/>
                    <w:tr2bl w:val="nil"/>
                  </w:tcBorders>
                  <w:shd w:val="clear" w:color="auto" w:fill="auto"/>
                  <w:tcMar>
                    <w:top w:w="0" w:type="dxa"/>
                    <w:left w:w="28" w:type="dxa"/>
                    <w:bottom w:w="0" w:type="dxa"/>
                    <w:right w:w="28" w:type="dxa"/>
                  </w:tcMar>
                  <w:vAlign w:val="center"/>
                </w:tcPr>
                <w:p w14:paraId="6F493671">
                  <w:pPr>
                    <w:kinsoku w:val="0"/>
                    <w:overflowPunct w:val="0"/>
                    <w:autoSpaceDE w:val="0"/>
                    <w:autoSpaceDN w:val="0"/>
                    <w:adjustRightInd w:val="0"/>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lang w:val="en-US" w:eastAsia="zh-CN"/>
                    </w:rPr>
                    <w:t>废催化剂</w:t>
                  </w:r>
                </w:p>
              </w:tc>
              <w:tc>
                <w:tcPr>
                  <w:tcW w:w="2934" w:type="dxa"/>
                  <w:vMerge w:val="continue"/>
                  <w:tcBorders>
                    <w:tl2br w:val="nil"/>
                    <w:tr2bl w:val="nil"/>
                  </w:tcBorders>
                  <w:tcMar>
                    <w:top w:w="0" w:type="dxa"/>
                    <w:left w:w="28" w:type="dxa"/>
                    <w:bottom w:w="0" w:type="dxa"/>
                    <w:right w:w="28" w:type="dxa"/>
                  </w:tcMar>
                  <w:vAlign w:val="center"/>
                </w:tcPr>
                <w:p w14:paraId="59222995">
                  <w:pPr>
                    <w:kinsoku w:val="0"/>
                    <w:overflowPunct w:val="0"/>
                    <w:autoSpaceDE w:val="0"/>
                    <w:autoSpaceDN w:val="0"/>
                    <w:adjustRightInd w:val="0"/>
                    <w:spacing w:line="240" w:lineRule="exact"/>
                    <w:jc w:val="center"/>
                    <w:rPr>
                      <w:rFonts w:hint="eastAsia"/>
                      <w:color w:val="auto"/>
                      <w:kern w:val="0"/>
                      <w:szCs w:val="21"/>
                      <w:lang w:eastAsia="zh-CN"/>
                    </w:rPr>
                  </w:pPr>
                </w:p>
              </w:tc>
            </w:tr>
            <w:tr w14:paraId="257AD4D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37" w:hRule="atLeast"/>
              </w:trPr>
              <w:tc>
                <w:tcPr>
                  <w:tcW w:w="524" w:type="dxa"/>
                  <w:vMerge w:val="continue"/>
                  <w:tcBorders>
                    <w:tl2br w:val="nil"/>
                    <w:tr2bl w:val="nil"/>
                  </w:tcBorders>
                  <w:tcMar>
                    <w:top w:w="0" w:type="dxa"/>
                    <w:left w:w="28" w:type="dxa"/>
                    <w:bottom w:w="0" w:type="dxa"/>
                    <w:right w:w="28" w:type="dxa"/>
                  </w:tcMar>
                  <w:vAlign w:val="center"/>
                </w:tcPr>
                <w:p w14:paraId="536ACB1D">
                  <w:pPr>
                    <w:kinsoku w:val="0"/>
                    <w:overflowPunct w:val="0"/>
                    <w:autoSpaceDE w:val="0"/>
                    <w:autoSpaceDN w:val="0"/>
                    <w:adjustRightInd w:val="0"/>
                    <w:spacing w:line="240" w:lineRule="exact"/>
                    <w:jc w:val="center"/>
                    <w:rPr>
                      <w:color w:val="auto"/>
                      <w:kern w:val="0"/>
                      <w:szCs w:val="21"/>
                    </w:rPr>
                  </w:pPr>
                </w:p>
              </w:tc>
              <w:tc>
                <w:tcPr>
                  <w:tcW w:w="643" w:type="dxa"/>
                  <w:tcBorders>
                    <w:tl2br w:val="nil"/>
                    <w:tr2bl w:val="nil"/>
                  </w:tcBorders>
                  <w:tcMar>
                    <w:top w:w="0" w:type="dxa"/>
                    <w:left w:w="28" w:type="dxa"/>
                    <w:bottom w:w="0" w:type="dxa"/>
                    <w:right w:w="28" w:type="dxa"/>
                  </w:tcMar>
                  <w:vAlign w:val="center"/>
                </w:tcPr>
                <w:p w14:paraId="26CC9D93">
                  <w:pPr>
                    <w:kinsoku w:val="0"/>
                    <w:overflowPunct w:val="0"/>
                    <w:autoSpaceDE w:val="0"/>
                    <w:autoSpaceDN w:val="0"/>
                    <w:adjustRightInd w:val="0"/>
                    <w:spacing w:line="240" w:lineRule="exact"/>
                    <w:jc w:val="center"/>
                    <w:rPr>
                      <w:rFonts w:hint="default"/>
                      <w:color w:val="auto"/>
                      <w:kern w:val="0"/>
                      <w:szCs w:val="21"/>
                      <w:lang w:val="en-US" w:eastAsia="zh-CN"/>
                    </w:rPr>
                  </w:pPr>
                  <w:r>
                    <w:rPr>
                      <w:rFonts w:hint="eastAsia"/>
                      <w:color w:val="auto"/>
                      <w:kern w:val="0"/>
                      <w:szCs w:val="21"/>
                      <w:lang w:val="en-US" w:eastAsia="zh-CN"/>
                    </w:rPr>
                    <w:t>S11</w:t>
                  </w:r>
                </w:p>
              </w:tc>
              <w:tc>
                <w:tcPr>
                  <w:tcW w:w="1457" w:type="dxa"/>
                  <w:tcBorders>
                    <w:tl2br w:val="nil"/>
                    <w:tr2bl w:val="nil"/>
                  </w:tcBorders>
                  <w:tcMar>
                    <w:top w:w="0" w:type="dxa"/>
                    <w:left w:w="28" w:type="dxa"/>
                    <w:bottom w:w="0" w:type="dxa"/>
                    <w:right w:w="28" w:type="dxa"/>
                  </w:tcMar>
                  <w:vAlign w:val="center"/>
                </w:tcPr>
                <w:p w14:paraId="1EA8FDC1">
                  <w:pPr>
                    <w:jc w:val="center"/>
                    <w:rPr>
                      <w:rFonts w:hint="eastAsia"/>
                      <w:color w:val="auto"/>
                      <w:kern w:val="0"/>
                      <w:szCs w:val="21"/>
                      <w:lang w:val="en-US" w:eastAsia="zh-CN"/>
                    </w:rPr>
                  </w:pPr>
                  <w:r>
                    <w:rPr>
                      <w:rFonts w:hint="eastAsia" w:cs="Times New Roman"/>
                      <w:color w:val="auto"/>
                      <w:sz w:val="21"/>
                      <w:szCs w:val="21"/>
                      <w:lang w:eastAsia="zh-CN"/>
                    </w:rPr>
                    <w:t>脱脂除油槽</w:t>
                  </w:r>
                </w:p>
              </w:tc>
              <w:tc>
                <w:tcPr>
                  <w:tcW w:w="2258" w:type="dxa"/>
                  <w:tcBorders>
                    <w:tl2br w:val="nil"/>
                    <w:tr2bl w:val="nil"/>
                  </w:tcBorders>
                  <w:tcMar>
                    <w:top w:w="0" w:type="dxa"/>
                    <w:left w:w="28" w:type="dxa"/>
                    <w:bottom w:w="0" w:type="dxa"/>
                    <w:right w:w="28" w:type="dxa"/>
                  </w:tcMar>
                  <w:vAlign w:val="center"/>
                </w:tcPr>
                <w:p w14:paraId="3D1FD42C">
                  <w:pPr>
                    <w:jc w:val="center"/>
                    <w:rPr>
                      <w:rFonts w:hint="eastAsia"/>
                      <w:color w:val="auto"/>
                      <w:kern w:val="0"/>
                      <w:szCs w:val="21"/>
                      <w:lang w:val="en-US" w:eastAsia="zh-CN"/>
                    </w:rPr>
                  </w:pPr>
                  <w:r>
                    <w:rPr>
                      <w:rFonts w:hint="eastAsia" w:cs="Times New Roman"/>
                      <w:color w:val="auto"/>
                      <w:sz w:val="21"/>
                      <w:szCs w:val="21"/>
                      <w:lang w:eastAsia="zh-CN"/>
                    </w:rPr>
                    <w:t>槽渣</w:t>
                  </w:r>
                </w:p>
              </w:tc>
              <w:tc>
                <w:tcPr>
                  <w:tcW w:w="2934" w:type="dxa"/>
                  <w:vMerge w:val="continue"/>
                  <w:tcBorders>
                    <w:tl2br w:val="nil"/>
                    <w:tr2bl w:val="nil"/>
                  </w:tcBorders>
                  <w:tcMar>
                    <w:top w:w="0" w:type="dxa"/>
                    <w:left w:w="28" w:type="dxa"/>
                    <w:bottom w:w="0" w:type="dxa"/>
                    <w:right w:w="28" w:type="dxa"/>
                  </w:tcMar>
                  <w:vAlign w:val="center"/>
                </w:tcPr>
                <w:p w14:paraId="4B07C521">
                  <w:pPr>
                    <w:kinsoku w:val="0"/>
                    <w:overflowPunct w:val="0"/>
                    <w:autoSpaceDE w:val="0"/>
                    <w:autoSpaceDN w:val="0"/>
                    <w:adjustRightInd w:val="0"/>
                    <w:spacing w:line="240" w:lineRule="exact"/>
                    <w:jc w:val="center"/>
                    <w:rPr>
                      <w:rFonts w:hint="eastAsia"/>
                      <w:color w:val="auto"/>
                      <w:kern w:val="0"/>
                      <w:szCs w:val="21"/>
                    </w:rPr>
                  </w:pPr>
                </w:p>
              </w:tc>
            </w:tr>
            <w:tr w14:paraId="281078C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37" w:hRule="atLeast"/>
              </w:trPr>
              <w:tc>
                <w:tcPr>
                  <w:tcW w:w="524" w:type="dxa"/>
                  <w:vMerge w:val="continue"/>
                  <w:tcBorders>
                    <w:tl2br w:val="nil"/>
                    <w:tr2bl w:val="nil"/>
                  </w:tcBorders>
                  <w:tcMar>
                    <w:top w:w="0" w:type="dxa"/>
                    <w:left w:w="28" w:type="dxa"/>
                    <w:bottom w:w="0" w:type="dxa"/>
                    <w:right w:w="28" w:type="dxa"/>
                  </w:tcMar>
                  <w:vAlign w:val="center"/>
                </w:tcPr>
                <w:p w14:paraId="08DD7318">
                  <w:pPr>
                    <w:kinsoku w:val="0"/>
                    <w:overflowPunct w:val="0"/>
                    <w:autoSpaceDE w:val="0"/>
                    <w:autoSpaceDN w:val="0"/>
                    <w:adjustRightInd w:val="0"/>
                    <w:spacing w:line="240" w:lineRule="exact"/>
                    <w:jc w:val="center"/>
                    <w:rPr>
                      <w:color w:val="auto"/>
                      <w:kern w:val="0"/>
                      <w:szCs w:val="21"/>
                    </w:rPr>
                  </w:pPr>
                </w:p>
              </w:tc>
              <w:tc>
                <w:tcPr>
                  <w:tcW w:w="643" w:type="dxa"/>
                  <w:tcBorders>
                    <w:tl2br w:val="nil"/>
                    <w:tr2bl w:val="nil"/>
                  </w:tcBorders>
                  <w:tcMar>
                    <w:top w:w="0" w:type="dxa"/>
                    <w:left w:w="28" w:type="dxa"/>
                    <w:bottom w:w="0" w:type="dxa"/>
                    <w:right w:w="28" w:type="dxa"/>
                  </w:tcMar>
                  <w:vAlign w:val="center"/>
                </w:tcPr>
                <w:p w14:paraId="043190C9">
                  <w:pPr>
                    <w:kinsoku w:val="0"/>
                    <w:overflowPunct w:val="0"/>
                    <w:autoSpaceDE w:val="0"/>
                    <w:autoSpaceDN w:val="0"/>
                    <w:adjustRightInd w:val="0"/>
                    <w:spacing w:line="240" w:lineRule="exact"/>
                    <w:jc w:val="center"/>
                    <w:rPr>
                      <w:rFonts w:hint="default" w:eastAsia="宋体"/>
                      <w:color w:val="auto"/>
                      <w:kern w:val="0"/>
                      <w:szCs w:val="21"/>
                      <w:lang w:val="en-US" w:eastAsia="zh-CN"/>
                    </w:rPr>
                  </w:pPr>
                  <w:r>
                    <w:rPr>
                      <w:rFonts w:hint="eastAsia"/>
                      <w:color w:val="auto"/>
                      <w:kern w:val="0"/>
                      <w:szCs w:val="21"/>
                    </w:rPr>
                    <w:t>S</w:t>
                  </w:r>
                  <w:r>
                    <w:rPr>
                      <w:rFonts w:hint="eastAsia"/>
                      <w:color w:val="auto"/>
                      <w:kern w:val="0"/>
                      <w:szCs w:val="21"/>
                      <w:lang w:val="en-US" w:eastAsia="zh-CN"/>
                    </w:rPr>
                    <w:t>12</w:t>
                  </w:r>
                </w:p>
              </w:tc>
              <w:tc>
                <w:tcPr>
                  <w:tcW w:w="1457" w:type="dxa"/>
                  <w:tcBorders>
                    <w:tl2br w:val="nil"/>
                    <w:tr2bl w:val="nil"/>
                  </w:tcBorders>
                  <w:tcMar>
                    <w:top w:w="0" w:type="dxa"/>
                    <w:left w:w="28" w:type="dxa"/>
                    <w:bottom w:w="0" w:type="dxa"/>
                    <w:right w:w="28" w:type="dxa"/>
                  </w:tcMar>
                  <w:vAlign w:val="center"/>
                </w:tcPr>
                <w:p w14:paraId="273FD8D0">
                  <w:pPr>
                    <w:kinsoku w:val="0"/>
                    <w:overflowPunct w:val="0"/>
                    <w:autoSpaceDE w:val="0"/>
                    <w:autoSpaceDN w:val="0"/>
                    <w:adjustRightInd w:val="0"/>
                    <w:spacing w:line="240" w:lineRule="exact"/>
                    <w:jc w:val="center"/>
                    <w:rPr>
                      <w:color w:val="auto"/>
                      <w:kern w:val="0"/>
                      <w:szCs w:val="21"/>
                    </w:rPr>
                  </w:pPr>
                  <w:r>
                    <w:rPr>
                      <w:rFonts w:hint="eastAsia"/>
                      <w:color w:val="auto"/>
                      <w:kern w:val="0"/>
                      <w:szCs w:val="21"/>
                    </w:rPr>
                    <w:t>人员生活</w:t>
                  </w:r>
                </w:p>
              </w:tc>
              <w:tc>
                <w:tcPr>
                  <w:tcW w:w="2258" w:type="dxa"/>
                  <w:tcBorders>
                    <w:tl2br w:val="nil"/>
                    <w:tr2bl w:val="nil"/>
                  </w:tcBorders>
                  <w:tcMar>
                    <w:top w:w="0" w:type="dxa"/>
                    <w:left w:w="28" w:type="dxa"/>
                    <w:bottom w:w="0" w:type="dxa"/>
                    <w:right w:w="28" w:type="dxa"/>
                  </w:tcMar>
                  <w:vAlign w:val="center"/>
                </w:tcPr>
                <w:p w14:paraId="73504A82">
                  <w:pPr>
                    <w:kinsoku w:val="0"/>
                    <w:overflowPunct w:val="0"/>
                    <w:autoSpaceDE w:val="0"/>
                    <w:autoSpaceDN w:val="0"/>
                    <w:adjustRightInd w:val="0"/>
                    <w:spacing w:line="240" w:lineRule="exact"/>
                    <w:jc w:val="center"/>
                    <w:rPr>
                      <w:color w:val="auto"/>
                      <w:kern w:val="0"/>
                      <w:szCs w:val="21"/>
                    </w:rPr>
                  </w:pPr>
                  <w:r>
                    <w:rPr>
                      <w:rFonts w:hint="eastAsia"/>
                      <w:color w:val="auto"/>
                      <w:kern w:val="0"/>
                      <w:szCs w:val="21"/>
                    </w:rPr>
                    <w:t>生活垃圾</w:t>
                  </w:r>
                </w:p>
              </w:tc>
              <w:tc>
                <w:tcPr>
                  <w:tcW w:w="2934" w:type="dxa"/>
                  <w:tcBorders>
                    <w:tl2br w:val="nil"/>
                    <w:tr2bl w:val="nil"/>
                  </w:tcBorders>
                  <w:tcMar>
                    <w:top w:w="0" w:type="dxa"/>
                    <w:left w:w="28" w:type="dxa"/>
                    <w:bottom w:w="0" w:type="dxa"/>
                    <w:right w:w="28" w:type="dxa"/>
                  </w:tcMar>
                  <w:vAlign w:val="center"/>
                </w:tcPr>
                <w:p w14:paraId="1CE79D1E">
                  <w:pPr>
                    <w:kinsoku w:val="0"/>
                    <w:overflowPunct w:val="0"/>
                    <w:autoSpaceDE w:val="0"/>
                    <w:autoSpaceDN w:val="0"/>
                    <w:adjustRightInd w:val="0"/>
                    <w:spacing w:line="240" w:lineRule="exact"/>
                    <w:jc w:val="center"/>
                    <w:rPr>
                      <w:color w:val="auto"/>
                      <w:kern w:val="0"/>
                      <w:szCs w:val="21"/>
                    </w:rPr>
                  </w:pPr>
                  <w:r>
                    <w:rPr>
                      <w:rFonts w:hint="eastAsia"/>
                      <w:color w:val="auto"/>
                      <w:kern w:val="0"/>
                      <w:szCs w:val="21"/>
                    </w:rPr>
                    <w:t>垃圾桶暂存后由环卫部门清运</w:t>
                  </w:r>
                </w:p>
              </w:tc>
            </w:tr>
          </w:tbl>
          <w:p w14:paraId="35D47547">
            <w:pPr>
              <w:spacing w:line="360" w:lineRule="auto"/>
              <w:rPr>
                <w:color w:val="auto"/>
              </w:rPr>
            </w:pPr>
          </w:p>
        </w:tc>
      </w:tr>
      <w:tr w14:paraId="5DB88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6" w:hRule="atLeast"/>
          <w:jc w:val="center"/>
        </w:trPr>
        <w:tc>
          <w:tcPr>
            <w:tcW w:w="769" w:type="dxa"/>
            <w:vAlign w:val="center"/>
          </w:tcPr>
          <w:p w14:paraId="01BD1AED">
            <w:pPr>
              <w:pStyle w:val="27"/>
              <w:adjustRightInd w:val="0"/>
              <w:snapToGrid w:val="0"/>
              <w:spacing w:before="0" w:beforeAutospacing="0" w:after="0" w:afterAutospacing="0"/>
              <w:jc w:val="center"/>
              <w:rPr>
                <w:rFonts w:ascii="Times New Roman" w:hAnsi="Times New Roman"/>
                <w:color w:val="auto"/>
                <w:szCs w:val="24"/>
              </w:rPr>
            </w:pPr>
            <w:r>
              <w:rPr>
                <w:color w:val="auto"/>
                <w:spacing w:val="-1"/>
              </w:rPr>
              <w:t>与项</w:t>
            </w:r>
            <w:r>
              <w:rPr>
                <w:color w:val="auto"/>
                <w:spacing w:val="-1"/>
                <w:position w:val="1"/>
              </w:rPr>
              <w:t>目</w:t>
            </w:r>
            <w:r>
              <w:rPr>
                <w:color w:val="auto"/>
                <w:spacing w:val="-1"/>
              </w:rPr>
              <w:t>有关的原有环境污染问题</w:t>
            </w:r>
          </w:p>
        </w:tc>
        <w:tc>
          <w:tcPr>
            <w:tcW w:w="8030" w:type="dxa"/>
            <w:vAlign w:val="top"/>
          </w:tcPr>
          <w:p w14:paraId="76954FE0">
            <w:pPr>
              <w:pStyle w:val="2"/>
              <w:keepNext w:val="0"/>
              <w:keepLines w:val="0"/>
              <w:pageBreakBefore w:val="0"/>
              <w:widowControl w:val="0"/>
              <w:kinsoku/>
              <w:wordWrap/>
              <w:overflowPunct/>
              <w:topLinePunct w:val="0"/>
              <w:autoSpaceDE/>
              <w:autoSpaceDN/>
              <w:bidi w:val="0"/>
              <w:adjustRightInd w:val="0"/>
              <w:snapToGrid w:val="0"/>
              <w:ind w:left="0" w:leftChars="0" w:firstLine="472" w:firstLineChars="200"/>
              <w:textAlignment w:val="auto"/>
              <w:rPr>
                <w:color w:val="auto"/>
              </w:rPr>
            </w:pPr>
            <w:r>
              <w:rPr>
                <w:color w:val="auto"/>
                <w:spacing w:val="-2"/>
              </w:rPr>
              <w:t>本项目为新建项目，</w:t>
            </w:r>
            <w:r>
              <w:rPr>
                <w:rFonts w:hint="eastAsia"/>
                <w:color w:val="auto"/>
                <w:spacing w:val="-2"/>
                <w:lang w:eastAsia="zh-CN"/>
              </w:rPr>
              <w:t>项目用地现状为空地，</w:t>
            </w:r>
            <w:r>
              <w:rPr>
                <w:color w:val="auto"/>
                <w:spacing w:val="-2"/>
              </w:rPr>
              <w:t>不涉及与项目有关的原有环境污染问题。</w:t>
            </w:r>
          </w:p>
        </w:tc>
      </w:tr>
    </w:tbl>
    <w:p w14:paraId="3B74C155">
      <w:pPr>
        <w:pStyle w:val="27"/>
        <w:jc w:val="center"/>
        <w:rPr>
          <w:rFonts w:hint="eastAsia" w:ascii="黑体" w:hAnsi="黑体" w:eastAsia="黑体"/>
          <w:snapToGrid w:val="0"/>
          <w:color w:val="auto"/>
          <w:sz w:val="36"/>
          <w:szCs w:val="36"/>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3049FB36">
      <w:pPr>
        <w:spacing w:line="360" w:lineRule="auto"/>
        <w:jc w:val="center"/>
        <w:outlineLvl w:val="0"/>
        <w:rPr>
          <w:b/>
          <w:bCs/>
          <w:color w:val="auto"/>
          <w:sz w:val="32"/>
          <w:szCs w:val="32"/>
        </w:rPr>
      </w:pPr>
      <w:bookmarkStart w:id="8" w:name="_Toc26159"/>
      <w:bookmarkStart w:id="9" w:name="_Toc1246"/>
      <w:r>
        <w:rPr>
          <w:rFonts w:hint="eastAsia"/>
          <w:b/>
          <w:bCs/>
          <w:color w:val="auto"/>
          <w:sz w:val="32"/>
          <w:szCs w:val="32"/>
        </w:rPr>
        <w:t>三、区域环境质量现状、环境保护目标及评价标准</w:t>
      </w:r>
      <w:bookmarkEnd w:id="8"/>
      <w:bookmarkEnd w:id="9"/>
    </w:p>
    <w:tbl>
      <w:tblPr>
        <w:tblStyle w:val="31"/>
        <w:tblW w:w="899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00"/>
        <w:gridCol w:w="8190"/>
      </w:tblGrid>
      <w:tr w14:paraId="447DCF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89" w:hRule="atLeast"/>
          <w:jc w:val="center"/>
        </w:trPr>
        <w:tc>
          <w:tcPr>
            <w:tcW w:w="800" w:type="dxa"/>
            <w:vAlign w:val="center"/>
          </w:tcPr>
          <w:p w14:paraId="343D1CE0">
            <w:pPr>
              <w:adjustRightInd w:val="0"/>
              <w:snapToGrid w:val="0"/>
              <w:jc w:val="center"/>
              <w:rPr>
                <w:color w:val="auto"/>
                <w:kern w:val="0"/>
                <w:szCs w:val="21"/>
              </w:rPr>
            </w:pPr>
            <w:r>
              <w:rPr>
                <w:color w:val="auto"/>
                <w:kern w:val="0"/>
                <w:szCs w:val="21"/>
              </w:rPr>
              <w:t>区域</w:t>
            </w:r>
          </w:p>
          <w:p w14:paraId="4C8BCA9D">
            <w:pPr>
              <w:adjustRightInd w:val="0"/>
              <w:snapToGrid w:val="0"/>
              <w:jc w:val="center"/>
              <w:rPr>
                <w:color w:val="auto"/>
                <w:kern w:val="0"/>
                <w:szCs w:val="21"/>
              </w:rPr>
            </w:pPr>
            <w:r>
              <w:rPr>
                <w:color w:val="auto"/>
                <w:kern w:val="0"/>
                <w:szCs w:val="21"/>
              </w:rPr>
              <w:t>环境</w:t>
            </w:r>
          </w:p>
          <w:p w14:paraId="64660223">
            <w:pPr>
              <w:adjustRightInd w:val="0"/>
              <w:snapToGrid w:val="0"/>
              <w:jc w:val="center"/>
              <w:rPr>
                <w:color w:val="auto"/>
                <w:kern w:val="0"/>
                <w:szCs w:val="21"/>
              </w:rPr>
            </w:pPr>
            <w:r>
              <w:rPr>
                <w:color w:val="auto"/>
                <w:kern w:val="0"/>
                <w:szCs w:val="21"/>
              </w:rPr>
              <w:t>质量</w:t>
            </w:r>
          </w:p>
          <w:p w14:paraId="0B90A7A1">
            <w:pPr>
              <w:adjustRightInd w:val="0"/>
              <w:snapToGrid w:val="0"/>
              <w:jc w:val="center"/>
              <w:rPr>
                <w:color w:val="auto"/>
                <w:kern w:val="0"/>
                <w:szCs w:val="21"/>
              </w:rPr>
            </w:pPr>
            <w:r>
              <w:rPr>
                <w:color w:val="auto"/>
                <w:kern w:val="0"/>
                <w:szCs w:val="21"/>
              </w:rPr>
              <w:t>现状</w:t>
            </w:r>
          </w:p>
        </w:tc>
        <w:tc>
          <w:tcPr>
            <w:tcW w:w="8190" w:type="dxa"/>
            <w:vAlign w:val="center"/>
          </w:tcPr>
          <w:p w14:paraId="68FB39F2">
            <w:pPr>
              <w:pStyle w:val="4"/>
              <w:ind w:firstLine="120"/>
              <w:rPr>
                <w:rFonts w:hint="default"/>
                <w:color w:val="auto"/>
              </w:rPr>
            </w:pPr>
            <w:r>
              <w:rPr>
                <w:color w:val="auto"/>
              </w:rPr>
              <w:t>3.1环境空气</w:t>
            </w:r>
          </w:p>
          <w:p w14:paraId="3BE30EB8">
            <w:pPr>
              <w:pStyle w:val="5"/>
              <w:ind w:firstLine="241"/>
              <w:rPr>
                <w:rFonts w:hint="default"/>
                <w:color w:val="auto"/>
              </w:rPr>
            </w:pPr>
            <w:r>
              <w:rPr>
                <w:color w:val="auto"/>
              </w:rPr>
              <w:t>3.1.1环境功能区划及环境质量标准</w:t>
            </w:r>
          </w:p>
          <w:p w14:paraId="6392E40F">
            <w:pPr>
              <w:pStyle w:val="81"/>
              <w:spacing w:line="360" w:lineRule="auto"/>
              <w:jc w:val="left"/>
              <w:rPr>
                <w:rFonts w:hAnsi="Times New Roman" w:cs="Times New Roman"/>
                <w:color w:val="auto"/>
                <w:sz w:val="24"/>
                <w:szCs w:val="20"/>
              </w:rPr>
            </w:pPr>
            <w:r>
              <w:rPr>
                <w:rFonts w:hint="eastAsia" w:hAnsi="Times New Roman" w:cs="Times New Roman"/>
                <w:color w:val="auto"/>
                <w:sz w:val="24"/>
                <w:szCs w:val="20"/>
                <w:lang w:eastAsia="zh-CN"/>
              </w:rPr>
              <w:t>本项目位于</w:t>
            </w:r>
            <w:r>
              <w:rPr>
                <w:rFonts w:hint="eastAsia"/>
                <w:color w:val="auto"/>
                <w:sz w:val="24"/>
              </w:rPr>
              <w:t>福州市闽侯县</w:t>
            </w:r>
            <w:r>
              <w:rPr>
                <w:rFonts w:hint="eastAsia"/>
                <w:color w:val="auto"/>
                <w:sz w:val="24"/>
                <w:lang w:eastAsia="zh-CN"/>
              </w:rPr>
              <w:t>竹岐乡，</w:t>
            </w:r>
            <w:r>
              <w:rPr>
                <w:rFonts w:hint="eastAsia" w:hAnsi="Times New Roman" w:cs="Times New Roman"/>
                <w:color w:val="auto"/>
                <w:sz w:val="24"/>
                <w:szCs w:val="20"/>
              </w:rPr>
              <w:t>项目所在区域属二类环境空气功能区，常规因子空气质量执行</w:t>
            </w:r>
            <w:r>
              <w:rPr>
                <w:rFonts w:hint="eastAsia" w:hAnsi="Times New Roman" w:cs="Times New Roman"/>
                <w:color w:val="auto"/>
                <w:sz w:val="24"/>
                <w:szCs w:val="20"/>
                <w:lang w:eastAsia="zh-CN"/>
              </w:rPr>
              <w:t>《环境空气质量标准》（GB3095-2026）表</w:t>
            </w:r>
            <w:r>
              <w:rPr>
                <w:rFonts w:hint="eastAsia" w:hAnsi="Times New Roman" w:cs="Times New Roman"/>
                <w:color w:val="auto"/>
                <w:sz w:val="24"/>
                <w:szCs w:val="20"/>
                <w:lang w:val="en-US" w:eastAsia="zh-CN"/>
              </w:rPr>
              <w:t>1</w:t>
            </w:r>
            <w:r>
              <w:rPr>
                <w:rFonts w:hint="eastAsia" w:hAnsi="Times New Roman" w:cs="Times New Roman"/>
                <w:color w:val="auto"/>
                <w:sz w:val="24"/>
                <w:szCs w:val="20"/>
              </w:rPr>
              <w:t>中</w:t>
            </w:r>
            <w:r>
              <w:rPr>
                <w:rFonts w:hint="eastAsia" w:hAnsi="Times New Roman" w:cs="Times New Roman"/>
                <w:color w:val="auto"/>
                <w:sz w:val="24"/>
                <w:szCs w:val="20"/>
                <w:lang w:eastAsia="zh-CN"/>
              </w:rPr>
              <w:t>“过渡阶段浓度限值”</w:t>
            </w:r>
            <w:r>
              <w:rPr>
                <w:rFonts w:hint="eastAsia" w:hAnsi="Times New Roman" w:cs="Times New Roman"/>
                <w:color w:val="auto"/>
                <w:sz w:val="24"/>
                <w:szCs w:val="20"/>
              </w:rPr>
              <w:t>二级标准。主要大气污染因子的环境质量标准详见表3.1-1。</w:t>
            </w:r>
          </w:p>
          <w:p w14:paraId="36599751">
            <w:pPr>
              <w:snapToGrid w:val="0"/>
              <w:jc w:val="center"/>
              <w:rPr>
                <w:color w:val="auto"/>
                <w:szCs w:val="21"/>
              </w:rPr>
            </w:pPr>
            <w:r>
              <w:rPr>
                <w:b/>
                <w:bCs/>
                <w:color w:val="auto"/>
                <w:szCs w:val="21"/>
              </w:rPr>
              <w:t>表3</w:t>
            </w:r>
            <w:r>
              <w:rPr>
                <w:rFonts w:hint="eastAsia"/>
                <w:b/>
                <w:bCs/>
                <w:color w:val="auto"/>
                <w:szCs w:val="21"/>
              </w:rPr>
              <w:t>.1</w:t>
            </w:r>
            <w:r>
              <w:rPr>
                <w:b/>
                <w:bCs/>
                <w:color w:val="auto"/>
                <w:szCs w:val="21"/>
              </w:rPr>
              <w:t>-1</w:t>
            </w:r>
            <w:r>
              <w:rPr>
                <w:rFonts w:hint="eastAsia"/>
                <w:b/>
                <w:bCs/>
                <w:color w:val="auto"/>
                <w:szCs w:val="21"/>
              </w:rPr>
              <w:t>环境空气质量标准</w:t>
            </w:r>
          </w:p>
          <w:tbl>
            <w:tblPr>
              <w:tblStyle w:val="31"/>
              <w:tblW w:w="8164" w:type="dxa"/>
              <w:jc w:val="center"/>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fixed"/>
              <w:tblCellMar>
                <w:top w:w="0" w:type="dxa"/>
                <w:left w:w="108" w:type="dxa"/>
                <w:bottom w:w="0" w:type="dxa"/>
                <w:right w:w="108" w:type="dxa"/>
              </w:tblCellMar>
            </w:tblPr>
            <w:tblGrid>
              <w:gridCol w:w="1375"/>
              <w:gridCol w:w="2051"/>
              <w:gridCol w:w="1232"/>
              <w:gridCol w:w="3506"/>
            </w:tblGrid>
            <w:tr w14:paraId="1084C613">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cantSplit/>
                <w:trHeight w:val="408" w:hRule="atLeast"/>
                <w:jc w:val="center"/>
              </w:trPr>
              <w:tc>
                <w:tcPr>
                  <w:tcW w:w="1375" w:type="dxa"/>
                  <w:vAlign w:val="center"/>
                </w:tcPr>
                <w:p w14:paraId="4F350751">
                  <w:pPr>
                    <w:pStyle w:val="89"/>
                    <w:adjustRightInd w:val="0"/>
                    <w:snapToGrid w:val="0"/>
                    <w:spacing w:line="320" w:lineRule="exact"/>
                    <w:jc w:val="center"/>
                    <w:rPr>
                      <w:b/>
                      <w:color w:val="auto"/>
                      <w:szCs w:val="21"/>
                    </w:rPr>
                  </w:pPr>
                  <w:r>
                    <w:rPr>
                      <w:b/>
                      <w:color w:val="auto"/>
                      <w:szCs w:val="21"/>
                    </w:rPr>
                    <w:t>污染物名称</w:t>
                  </w:r>
                </w:p>
              </w:tc>
              <w:tc>
                <w:tcPr>
                  <w:tcW w:w="2051" w:type="dxa"/>
                  <w:vAlign w:val="center"/>
                </w:tcPr>
                <w:p w14:paraId="311D88CF">
                  <w:pPr>
                    <w:pStyle w:val="89"/>
                    <w:adjustRightInd w:val="0"/>
                    <w:snapToGrid w:val="0"/>
                    <w:spacing w:line="320" w:lineRule="exact"/>
                    <w:jc w:val="center"/>
                    <w:rPr>
                      <w:b/>
                      <w:color w:val="auto"/>
                      <w:szCs w:val="21"/>
                    </w:rPr>
                  </w:pPr>
                  <w:r>
                    <w:rPr>
                      <w:b/>
                      <w:color w:val="auto"/>
                      <w:szCs w:val="21"/>
                    </w:rPr>
                    <w:t>取值时间</w:t>
                  </w:r>
                </w:p>
              </w:tc>
              <w:tc>
                <w:tcPr>
                  <w:tcW w:w="1232" w:type="dxa"/>
                  <w:vAlign w:val="center"/>
                </w:tcPr>
                <w:p w14:paraId="468998C0">
                  <w:pPr>
                    <w:pStyle w:val="89"/>
                    <w:adjustRightInd w:val="0"/>
                    <w:snapToGrid w:val="0"/>
                    <w:spacing w:line="320" w:lineRule="exact"/>
                    <w:jc w:val="center"/>
                    <w:rPr>
                      <w:b/>
                      <w:color w:val="auto"/>
                      <w:szCs w:val="21"/>
                    </w:rPr>
                  </w:pPr>
                  <w:r>
                    <w:rPr>
                      <w:b/>
                      <w:color w:val="auto"/>
                      <w:szCs w:val="21"/>
                    </w:rPr>
                    <w:t>浓度限值</w:t>
                  </w:r>
                </w:p>
              </w:tc>
              <w:tc>
                <w:tcPr>
                  <w:tcW w:w="3506" w:type="dxa"/>
                  <w:vAlign w:val="center"/>
                </w:tcPr>
                <w:p w14:paraId="02C47DB3">
                  <w:pPr>
                    <w:pStyle w:val="89"/>
                    <w:adjustRightInd w:val="0"/>
                    <w:snapToGrid w:val="0"/>
                    <w:spacing w:line="320" w:lineRule="exact"/>
                    <w:jc w:val="center"/>
                    <w:rPr>
                      <w:b/>
                      <w:color w:val="auto"/>
                      <w:szCs w:val="21"/>
                    </w:rPr>
                  </w:pPr>
                  <w:r>
                    <w:rPr>
                      <w:b/>
                      <w:color w:val="auto"/>
                      <w:szCs w:val="21"/>
                    </w:rPr>
                    <w:t>标准来源</w:t>
                  </w:r>
                </w:p>
              </w:tc>
            </w:tr>
            <w:tr w14:paraId="7740C8B0">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cantSplit/>
                <w:trHeight w:val="408" w:hRule="atLeast"/>
                <w:jc w:val="center"/>
              </w:trPr>
              <w:tc>
                <w:tcPr>
                  <w:tcW w:w="1375" w:type="dxa"/>
                  <w:vMerge w:val="restart"/>
                  <w:vAlign w:val="center"/>
                </w:tcPr>
                <w:p w14:paraId="795ED2A2">
                  <w:pPr>
                    <w:pStyle w:val="89"/>
                    <w:adjustRightInd w:val="0"/>
                    <w:snapToGrid w:val="0"/>
                    <w:spacing w:line="320" w:lineRule="exact"/>
                    <w:jc w:val="center"/>
                    <w:rPr>
                      <w:bCs/>
                      <w:color w:val="auto"/>
                      <w:szCs w:val="21"/>
                    </w:rPr>
                  </w:pPr>
                  <w:r>
                    <w:rPr>
                      <w:bCs/>
                      <w:color w:val="auto"/>
                      <w:szCs w:val="21"/>
                    </w:rPr>
                    <w:t>PM</w:t>
                  </w:r>
                  <w:r>
                    <w:rPr>
                      <w:bCs/>
                      <w:color w:val="auto"/>
                      <w:szCs w:val="21"/>
                      <w:vertAlign w:val="subscript"/>
                    </w:rPr>
                    <w:t>10</w:t>
                  </w:r>
                </w:p>
              </w:tc>
              <w:tc>
                <w:tcPr>
                  <w:tcW w:w="2051" w:type="dxa"/>
                  <w:vAlign w:val="center"/>
                </w:tcPr>
                <w:p w14:paraId="283E8300">
                  <w:pPr>
                    <w:pStyle w:val="89"/>
                    <w:adjustRightInd w:val="0"/>
                    <w:snapToGrid w:val="0"/>
                    <w:spacing w:line="320" w:lineRule="exact"/>
                    <w:jc w:val="center"/>
                    <w:rPr>
                      <w:bCs/>
                      <w:color w:val="auto"/>
                      <w:szCs w:val="21"/>
                    </w:rPr>
                  </w:pPr>
                  <w:r>
                    <w:rPr>
                      <w:bCs/>
                      <w:color w:val="auto"/>
                      <w:szCs w:val="21"/>
                    </w:rPr>
                    <w:t>年平均</w:t>
                  </w:r>
                </w:p>
              </w:tc>
              <w:tc>
                <w:tcPr>
                  <w:tcW w:w="1232" w:type="dxa"/>
                  <w:vAlign w:val="center"/>
                </w:tcPr>
                <w:p w14:paraId="4984F8E7">
                  <w:pPr>
                    <w:pStyle w:val="89"/>
                    <w:adjustRightInd w:val="0"/>
                    <w:snapToGrid w:val="0"/>
                    <w:spacing w:line="320" w:lineRule="exact"/>
                    <w:jc w:val="center"/>
                    <w:rPr>
                      <w:bCs/>
                      <w:color w:val="auto"/>
                      <w:szCs w:val="21"/>
                    </w:rPr>
                  </w:pPr>
                  <w:r>
                    <w:rPr>
                      <w:rFonts w:hint="eastAsia" w:eastAsia="宋体"/>
                      <w:bCs/>
                      <w:color w:val="auto"/>
                      <w:szCs w:val="21"/>
                      <w:lang w:val="en-US" w:eastAsia="zh-CN"/>
                    </w:rPr>
                    <w:t>6</w:t>
                  </w:r>
                  <w:r>
                    <w:rPr>
                      <w:bCs/>
                      <w:color w:val="auto"/>
                      <w:szCs w:val="21"/>
                    </w:rPr>
                    <w:t>0μg/m</w:t>
                  </w:r>
                  <w:r>
                    <w:rPr>
                      <w:bCs/>
                      <w:color w:val="auto"/>
                      <w:szCs w:val="21"/>
                      <w:vertAlign w:val="superscript"/>
                    </w:rPr>
                    <w:t>3</w:t>
                  </w:r>
                </w:p>
              </w:tc>
              <w:tc>
                <w:tcPr>
                  <w:tcW w:w="3506" w:type="dxa"/>
                  <w:vMerge w:val="restart"/>
                  <w:vAlign w:val="center"/>
                </w:tcPr>
                <w:p w14:paraId="795F0635">
                  <w:pPr>
                    <w:pStyle w:val="89"/>
                    <w:adjustRightInd w:val="0"/>
                    <w:snapToGrid w:val="0"/>
                    <w:spacing w:line="320" w:lineRule="exact"/>
                    <w:jc w:val="center"/>
                    <w:rPr>
                      <w:bCs/>
                      <w:color w:val="auto"/>
                      <w:sz w:val="21"/>
                      <w:szCs w:val="21"/>
                    </w:rPr>
                  </w:pPr>
                  <w:r>
                    <w:rPr>
                      <w:rFonts w:hint="eastAsia" w:eastAsia="宋体"/>
                      <w:bCs/>
                      <w:color w:val="auto"/>
                      <w:sz w:val="21"/>
                      <w:szCs w:val="21"/>
                      <w:lang w:eastAsia="zh-CN"/>
                    </w:rPr>
                    <w:t>《环境空气质量标准》（GB3095-2026）</w:t>
                  </w:r>
                  <w:r>
                    <w:rPr>
                      <w:rFonts w:hint="eastAsia" w:hAnsi="Times New Roman" w:cs="Times New Roman"/>
                      <w:color w:val="auto"/>
                      <w:sz w:val="21"/>
                      <w:szCs w:val="21"/>
                      <w:lang w:eastAsia="zh-CN"/>
                    </w:rPr>
                    <w:t>表</w:t>
                  </w:r>
                  <w:r>
                    <w:rPr>
                      <w:rFonts w:hint="eastAsia" w:hAnsi="Times New Roman" w:cs="Times New Roman"/>
                      <w:color w:val="auto"/>
                      <w:sz w:val="21"/>
                      <w:szCs w:val="21"/>
                      <w:lang w:val="en-US" w:eastAsia="zh-CN"/>
                    </w:rPr>
                    <w:t>1</w:t>
                  </w:r>
                  <w:r>
                    <w:rPr>
                      <w:rFonts w:hint="eastAsia" w:hAnsi="Times New Roman" w:cs="Times New Roman"/>
                      <w:color w:val="auto"/>
                      <w:sz w:val="21"/>
                      <w:szCs w:val="21"/>
                    </w:rPr>
                    <w:t>中</w:t>
                  </w:r>
                  <w:r>
                    <w:rPr>
                      <w:rFonts w:hint="eastAsia" w:cs="Times New Roman"/>
                      <w:color w:val="auto"/>
                      <w:sz w:val="21"/>
                      <w:szCs w:val="21"/>
                      <w:lang w:eastAsia="zh-CN"/>
                    </w:rPr>
                    <w:t>“</w:t>
                  </w:r>
                  <w:r>
                    <w:rPr>
                      <w:rFonts w:hint="eastAsia" w:hAnsi="Times New Roman" w:cs="Times New Roman"/>
                      <w:color w:val="auto"/>
                      <w:sz w:val="21"/>
                      <w:szCs w:val="21"/>
                      <w:lang w:eastAsia="zh-CN"/>
                    </w:rPr>
                    <w:t>过渡阶段浓度限值”</w:t>
                  </w:r>
                  <w:r>
                    <w:rPr>
                      <w:rFonts w:hint="eastAsia" w:hAnsi="Times New Roman" w:cs="Times New Roman"/>
                      <w:color w:val="auto"/>
                      <w:sz w:val="21"/>
                      <w:szCs w:val="21"/>
                    </w:rPr>
                    <w:t>二级标准</w:t>
                  </w:r>
                </w:p>
              </w:tc>
            </w:tr>
            <w:tr w14:paraId="2FF3942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cantSplit/>
                <w:trHeight w:val="408" w:hRule="atLeast"/>
                <w:jc w:val="center"/>
              </w:trPr>
              <w:tc>
                <w:tcPr>
                  <w:tcW w:w="1375" w:type="dxa"/>
                  <w:vMerge w:val="continue"/>
                  <w:vAlign w:val="center"/>
                </w:tcPr>
                <w:p w14:paraId="402B7DDD">
                  <w:pPr>
                    <w:pStyle w:val="89"/>
                    <w:adjustRightInd w:val="0"/>
                    <w:snapToGrid w:val="0"/>
                    <w:spacing w:line="320" w:lineRule="exact"/>
                    <w:jc w:val="center"/>
                    <w:rPr>
                      <w:bCs/>
                      <w:color w:val="auto"/>
                      <w:szCs w:val="21"/>
                    </w:rPr>
                  </w:pPr>
                </w:p>
              </w:tc>
              <w:tc>
                <w:tcPr>
                  <w:tcW w:w="2051" w:type="dxa"/>
                  <w:vAlign w:val="center"/>
                </w:tcPr>
                <w:p w14:paraId="4BB5D780">
                  <w:pPr>
                    <w:pStyle w:val="89"/>
                    <w:adjustRightInd w:val="0"/>
                    <w:snapToGrid w:val="0"/>
                    <w:spacing w:line="320" w:lineRule="exact"/>
                    <w:jc w:val="center"/>
                    <w:rPr>
                      <w:bCs/>
                      <w:color w:val="auto"/>
                      <w:szCs w:val="21"/>
                    </w:rPr>
                  </w:pPr>
                  <w:r>
                    <w:rPr>
                      <w:bCs/>
                      <w:color w:val="auto"/>
                      <w:szCs w:val="21"/>
                    </w:rPr>
                    <w:t>24小时平均</w:t>
                  </w:r>
                </w:p>
              </w:tc>
              <w:tc>
                <w:tcPr>
                  <w:tcW w:w="1232" w:type="dxa"/>
                  <w:vAlign w:val="center"/>
                </w:tcPr>
                <w:p w14:paraId="12394617">
                  <w:pPr>
                    <w:pStyle w:val="89"/>
                    <w:adjustRightInd w:val="0"/>
                    <w:snapToGrid w:val="0"/>
                    <w:spacing w:line="320" w:lineRule="exact"/>
                    <w:jc w:val="center"/>
                    <w:rPr>
                      <w:bCs/>
                      <w:color w:val="auto"/>
                      <w:szCs w:val="21"/>
                    </w:rPr>
                  </w:pPr>
                  <w:r>
                    <w:rPr>
                      <w:bCs/>
                      <w:color w:val="auto"/>
                      <w:szCs w:val="21"/>
                    </w:rPr>
                    <w:t>1</w:t>
                  </w:r>
                  <w:r>
                    <w:rPr>
                      <w:rFonts w:hint="eastAsia" w:eastAsia="宋体"/>
                      <w:bCs/>
                      <w:color w:val="auto"/>
                      <w:szCs w:val="21"/>
                      <w:lang w:val="en-US" w:eastAsia="zh-CN"/>
                    </w:rPr>
                    <w:t>2</w:t>
                  </w:r>
                  <w:r>
                    <w:rPr>
                      <w:bCs/>
                      <w:color w:val="auto"/>
                      <w:szCs w:val="21"/>
                    </w:rPr>
                    <w:t>0μg/m</w:t>
                  </w:r>
                  <w:r>
                    <w:rPr>
                      <w:bCs/>
                      <w:color w:val="auto"/>
                      <w:szCs w:val="21"/>
                      <w:vertAlign w:val="superscript"/>
                    </w:rPr>
                    <w:t>3</w:t>
                  </w:r>
                </w:p>
              </w:tc>
              <w:tc>
                <w:tcPr>
                  <w:tcW w:w="3506" w:type="dxa"/>
                  <w:vMerge w:val="continue"/>
                  <w:vAlign w:val="center"/>
                </w:tcPr>
                <w:p w14:paraId="77D9C301">
                  <w:pPr>
                    <w:pStyle w:val="89"/>
                    <w:adjustRightInd w:val="0"/>
                    <w:snapToGrid w:val="0"/>
                    <w:spacing w:line="320" w:lineRule="exact"/>
                    <w:jc w:val="center"/>
                    <w:rPr>
                      <w:bCs/>
                      <w:color w:val="auto"/>
                      <w:sz w:val="21"/>
                      <w:szCs w:val="21"/>
                    </w:rPr>
                  </w:pPr>
                </w:p>
              </w:tc>
            </w:tr>
            <w:tr w14:paraId="1CD1C5CF">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cantSplit/>
                <w:trHeight w:val="408" w:hRule="atLeast"/>
                <w:jc w:val="center"/>
              </w:trPr>
              <w:tc>
                <w:tcPr>
                  <w:tcW w:w="1375" w:type="dxa"/>
                  <w:vMerge w:val="restart"/>
                  <w:vAlign w:val="center"/>
                </w:tcPr>
                <w:p w14:paraId="45ED6A03">
                  <w:pPr>
                    <w:pStyle w:val="89"/>
                    <w:adjustRightInd w:val="0"/>
                    <w:snapToGrid w:val="0"/>
                    <w:spacing w:line="320" w:lineRule="exact"/>
                    <w:jc w:val="center"/>
                    <w:rPr>
                      <w:bCs/>
                      <w:color w:val="auto"/>
                      <w:szCs w:val="21"/>
                    </w:rPr>
                  </w:pPr>
                  <w:r>
                    <w:rPr>
                      <w:bCs/>
                      <w:color w:val="auto"/>
                      <w:szCs w:val="21"/>
                    </w:rPr>
                    <w:t>PM</w:t>
                  </w:r>
                  <w:r>
                    <w:rPr>
                      <w:bCs/>
                      <w:color w:val="auto"/>
                      <w:szCs w:val="21"/>
                      <w:vertAlign w:val="subscript"/>
                    </w:rPr>
                    <w:t>2.5</w:t>
                  </w:r>
                </w:p>
              </w:tc>
              <w:tc>
                <w:tcPr>
                  <w:tcW w:w="2051" w:type="dxa"/>
                  <w:vAlign w:val="center"/>
                </w:tcPr>
                <w:p w14:paraId="6D005685">
                  <w:pPr>
                    <w:pStyle w:val="89"/>
                    <w:adjustRightInd w:val="0"/>
                    <w:snapToGrid w:val="0"/>
                    <w:spacing w:line="320" w:lineRule="exact"/>
                    <w:jc w:val="center"/>
                    <w:rPr>
                      <w:bCs/>
                      <w:color w:val="auto"/>
                      <w:szCs w:val="21"/>
                    </w:rPr>
                  </w:pPr>
                  <w:r>
                    <w:rPr>
                      <w:bCs/>
                      <w:color w:val="auto"/>
                      <w:szCs w:val="21"/>
                    </w:rPr>
                    <w:t>年平均</w:t>
                  </w:r>
                </w:p>
              </w:tc>
              <w:tc>
                <w:tcPr>
                  <w:tcW w:w="1232" w:type="dxa"/>
                  <w:vAlign w:val="center"/>
                </w:tcPr>
                <w:p w14:paraId="1C9F1741">
                  <w:pPr>
                    <w:pStyle w:val="89"/>
                    <w:adjustRightInd w:val="0"/>
                    <w:snapToGrid w:val="0"/>
                    <w:spacing w:line="320" w:lineRule="exact"/>
                    <w:jc w:val="center"/>
                    <w:rPr>
                      <w:bCs/>
                      <w:color w:val="auto"/>
                      <w:szCs w:val="21"/>
                    </w:rPr>
                  </w:pPr>
                  <w:r>
                    <w:rPr>
                      <w:bCs/>
                      <w:color w:val="auto"/>
                      <w:szCs w:val="21"/>
                    </w:rPr>
                    <w:t>3</w:t>
                  </w:r>
                  <w:r>
                    <w:rPr>
                      <w:rFonts w:hint="eastAsia" w:eastAsia="宋体"/>
                      <w:bCs/>
                      <w:color w:val="auto"/>
                      <w:szCs w:val="21"/>
                      <w:lang w:val="en-US" w:eastAsia="zh-CN"/>
                    </w:rPr>
                    <w:t>0</w:t>
                  </w:r>
                  <w:r>
                    <w:rPr>
                      <w:bCs/>
                      <w:color w:val="auto"/>
                      <w:szCs w:val="21"/>
                    </w:rPr>
                    <w:t>μg/m</w:t>
                  </w:r>
                  <w:r>
                    <w:rPr>
                      <w:bCs/>
                      <w:color w:val="auto"/>
                      <w:szCs w:val="21"/>
                      <w:vertAlign w:val="superscript"/>
                    </w:rPr>
                    <w:t>3</w:t>
                  </w:r>
                </w:p>
              </w:tc>
              <w:tc>
                <w:tcPr>
                  <w:tcW w:w="3506" w:type="dxa"/>
                  <w:vMerge w:val="continue"/>
                  <w:vAlign w:val="center"/>
                </w:tcPr>
                <w:p w14:paraId="3DCE8DA8">
                  <w:pPr>
                    <w:pStyle w:val="89"/>
                    <w:adjustRightInd w:val="0"/>
                    <w:snapToGrid w:val="0"/>
                    <w:spacing w:line="320" w:lineRule="exact"/>
                    <w:jc w:val="center"/>
                    <w:rPr>
                      <w:bCs/>
                      <w:color w:val="auto"/>
                      <w:sz w:val="21"/>
                      <w:szCs w:val="21"/>
                    </w:rPr>
                  </w:pPr>
                </w:p>
              </w:tc>
            </w:tr>
            <w:tr w14:paraId="195ADBE7">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cantSplit/>
                <w:trHeight w:val="408" w:hRule="atLeast"/>
                <w:jc w:val="center"/>
              </w:trPr>
              <w:tc>
                <w:tcPr>
                  <w:tcW w:w="1375" w:type="dxa"/>
                  <w:vMerge w:val="continue"/>
                  <w:vAlign w:val="center"/>
                </w:tcPr>
                <w:p w14:paraId="2CC54EF6">
                  <w:pPr>
                    <w:pStyle w:val="89"/>
                    <w:adjustRightInd w:val="0"/>
                    <w:snapToGrid w:val="0"/>
                    <w:spacing w:line="320" w:lineRule="exact"/>
                    <w:jc w:val="center"/>
                    <w:rPr>
                      <w:bCs/>
                      <w:color w:val="auto"/>
                      <w:szCs w:val="21"/>
                    </w:rPr>
                  </w:pPr>
                </w:p>
              </w:tc>
              <w:tc>
                <w:tcPr>
                  <w:tcW w:w="2051" w:type="dxa"/>
                  <w:vAlign w:val="center"/>
                </w:tcPr>
                <w:p w14:paraId="1A1BDB88">
                  <w:pPr>
                    <w:pStyle w:val="89"/>
                    <w:adjustRightInd w:val="0"/>
                    <w:snapToGrid w:val="0"/>
                    <w:spacing w:line="320" w:lineRule="exact"/>
                    <w:jc w:val="center"/>
                    <w:rPr>
                      <w:bCs/>
                      <w:color w:val="auto"/>
                      <w:szCs w:val="21"/>
                    </w:rPr>
                  </w:pPr>
                  <w:r>
                    <w:rPr>
                      <w:bCs/>
                      <w:color w:val="auto"/>
                      <w:szCs w:val="21"/>
                    </w:rPr>
                    <w:t>24小时平均</w:t>
                  </w:r>
                </w:p>
              </w:tc>
              <w:tc>
                <w:tcPr>
                  <w:tcW w:w="1232" w:type="dxa"/>
                  <w:vAlign w:val="center"/>
                </w:tcPr>
                <w:p w14:paraId="39FC679B">
                  <w:pPr>
                    <w:pStyle w:val="89"/>
                    <w:adjustRightInd w:val="0"/>
                    <w:snapToGrid w:val="0"/>
                    <w:spacing w:line="320" w:lineRule="exact"/>
                    <w:jc w:val="center"/>
                    <w:rPr>
                      <w:bCs/>
                      <w:color w:val="auto"/>
                      <w:szCs w:val="21"/>
                    </w:rPr>
                  </w:pPr>
                  <w:r>
                    <w:rPr>
                      <w:rFonts w:hint="eastAsia" w:eastAsia="宋体"/>
                      <w:bCs/>
                      <w:color w:val="auto"/>
                      <w:szCs w:val="21"/>
                      <w:lang w:val="en-US" w:eastAsia="zh-CN"/>
                    </w:rPr>
                    <w:t>60</w:t>
                  </w:r>
                  <w:r>
                    <w:rPr>
                      <w:bCs/>
                      <w:color w:val="auto"/>
                      <w:szCs w:val="21"/>
                    </w:rPr>
                    <w:t>μg/m</w:t>
                  </w:r>
                  <w:r>
                    <w:rPr>
                      <w:bCs/>
                      <w:color w:val="auto"/>
                      <w:szCs w:val="21"/>
                      <w:vertAlign w:val="superscript"/>
                    </w:rPr>
                    <w:t>3</w:t>
                  </w:r>
                </w:p>
              </w:tc>
              <w:tc>
                <w:tcPr>
                  <w:tcW w:w="3506" w:type="dxa"/>
                  <w:vMerge w:val="continue"/>
                  <w:vAlign w:val="center"/>
                </w:tcPr>
                <w:p w14:paraId="7CD8C497">
                  <w:pPr>
                    <w:pStyle w:val="89"/>
                    <w:adjustRightInd w:val="0"/>
                    <w:snapToGrid w:val="0"/>
                    <w:spacing w:line="320" w:lineRule="exact"/>
                    <w:jc w:val="center"/>
                    <w:rPr>
                      <w:bCs/>
                      <w:color w:val="auto"/>
                      <w:sz w:val="21"/>
                      <w:szCs w:val="21"/>
                    </w:rPr>
                  </w:pPr>
                </w:p>
              </w:tc>
            </w:tr>
            <w:tr w14:paraId="048D1C57">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cantSplit/>
                <w:trHeight w:val="408" w:hRule="atLeast"/>
                <w:jc w:val="center"/>
              </w:trPr>
              <w:tc>
                <w:tcPr>
                  <w:tcW w:w="1375" w:type="dxa"/>
                  <w:vMerge w:val="restart"/>
                  <w:vAlign w:val="center"/>
                </w:tcPr>
                <w:p w14:paraId="7EBA0CC5">
                  <w:pPr>
                    <w:pStyle w:val="89"/>
                    <w:adjustRightInd w:val="0"/>
                    <w:snapToGrid w:val="0"/>
                    <w:spacing w:line="320" w:lineRule="exact"/>
                    <w:jc w:val="center"/>
                    <w:rPr>
                      <w:bCs/>
                      <w:color w:val="auto"/>
                      <w:szCs w:val="21"/>
                    </w:rPr>
                  </w:pPr>
                  <w:r>
                    <w:rPr>
                      <w:bCs/>
                      <w:color w:val="auto"/>
                      <w:szCs w:val="21"/>
                    </w:rPr>
                    <w:t>SO</w:t>
                  </w:r>
                  <w:r>
                    <w:rPr>
                      <w:bCs/>
                      <w:color w:val="auto"/>
                      <w:szCs w:val="21"/>
                      <w:vertAlign w:val="subscript"/>
                    </w:rPr>
                    <w:t>2</w:t>
                  </w:r>
                </w:p>
              </w:tc>
              <w:tc>
                <w:tcPr>
                  <w:tcW w:w="2051" w:type="dxa"/>
                  <w:vAlign w:val="center"/>
                </w:tcPr>
                <w:p w14:paraId="1D8F5FA2">
                  <w:pPr>
                    <w:pStyle w:val="89"/>
                    <w:adjustRightInd w:val="0"/>
                    <w:snapToGrid w:val="0"/>
                    <w:spacing w:line="320" w:lineRule="exact"/>
                    <w:jc w:val="center"/>
                    <w:rPr>
                      <w:bCs/>
                      <w:color w:val="auto"/>
                      <w:szCs w:val="21"/>
                    </w:rPr>
                  </w:pPr>
                  <w:r>
                    <w:rPr>
                      <w:bCs/>
                      <w:color w:val="auto"/>
                      <w:szCs w:val="21"/>
                    </w:rPr>
                    <w:t>年平均</w:t>
                  </w:r>
                </w:p>
              </w:tc>
              <w:tc>
                <w:tcPr>
                  <w:tcW w:w="1232" w:type="dxa"/>
                  <w:vAlign w:val="center"/>
                </w:tcPr>
                <w:p w14:paraId="6125F9F4">
                  <w:pPr>
                    <w:pStyle w:val="89"/>
                    <w:adjustRightInd w:val="0"/>
                    <w:snapToGrid w:val="0"/>
                    <w:spacing w:line="320" w:lineRule="exact"/>
                    <w:jc w:val="center"/>
                    <w:rPr>
                      <w:bCs/>
                      <w:color w:val="auto"/>
                      <w:szCs w:val="21"/>
                    </w:rPr>
                  </w:pPr>
                  <w:r>
                    <w:rPr>
                      <w:bCs/>
                      <w:color w:val="auto"/>
                      <w:szCs w:val="21"/>
                    </w:rPr>
                    <w:t>60μg/m</w:t>
                  </w:r>
                  <w:r>
                    <w:rPr>
                      <w:bCs/>
                      <w:color w:val="auto"/>
                      <w:szCs w:val="21"/>
                      <w:vertAlign w:val="superscript"/>
                    </w:rPr>
                    <w:t>3</w:t>
                  </w:r>
                </w:p>
              </w:tc>
              <w:tc>
                <w:tcPr>
                  <w:tcW w:w="3506" w:type="dxa"/>
                  <w:vMerge w:val="continue"/>
                  <w:vAlign w:val="center"/>
                </w:tcPr>
                <w:p w14:paraId="7B6188D4">
                  <w:pPr>
                    <w:pStyle w:val="89"/>
                    <w:adjustRightInd w:val="0"/>
                    <w:snapToGrid w:val="0"/>
                    <w:spacing w:line="320" w:lineRule="exact"/>
                    <w:jc w:val="center"/>
                    <w:rPr>
                      <w:bCs/>
                      <w:color w:val="auto"/>
                      <w:sz w:val="21"/>
                      <w:szCs w:val="21"/>
                    </w:rPr>
                  </w:pPr>
                </w:p>
              </w:tc>
            </w:tr>
            <w:tr w14:paraId="269AAD6B">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cantSplit/>
                <w:trHeight w:val="408" w:hRule="atLeast"/>
                <w:jc w:val="center"/>
              </w:trPr>
              <w:tc>
                <w:tcPr>
                  <w:tcW w:w="1375" w:type="dxa"/>
                  <w:vMerge w:val="continue"/>
                  <w:vAlign w:val="center"/>
                </w:tcPr>
                <w:p w14:paraId="2786BC71">
                  <w:pPr>
                    <w:pStyle w:val="89"/>
                    <w:adjustRightInd w:val="0"/>
                    <w:snapToGrid w:val="0"/>
                    <w:spacing w:line="320" w:lineRule="exact"/>
                    <w:jc w:val="center"/>
                    <w:rPr>
                      <w:bCs/>
                      <w:color w:val="auto"/>
                      <w:szCs w:val="21"/>
                    </w:rPr>
                  </w:pPr>
                </w:p>
              </w:tc>
              <w:tc>
                <w:tcPr>
                  <w:tcW w:w="2051" w:type="dxa"/>
                  <w:vAlign w:val="center"/>
                </w:tcPr>
                <w:p w14:paraId="569DCACC">
                  <w:pPr>
                    <w:pStyle w:val="89"/>
                    <w:adjustRightInd w:val="0"/>
                    <w:snapToGrid w:val="0"/>
                    <w:spacing w:line="320" w:lineRule="exact"/>
                    <w:jc w:val="center"/>
                    <w:rPr>
                      <w:bCs/>
                      <w:color w:val="auto"/>
                      <w:szCs w:val="21"/>
                    </w:rPr>
                  </w:pPr>
                  <w:r>
                    <w:rPr>
                      <w:bCs/>
                      <w:color w:val="auto"/>
                      <w:szCs w:val="21"/>
                    </w:rPr>
                    <w:t>24小时平均</w:t>
                  </w:r>
                </w:p>
              </w:tc>
              <w:tc>
                <w:tcPr>
                  <w:tcW w:w="1232" w:type="dxa"/>
                  <w:vAlign w:val="center"/>
                </w:tcPr>
                <w:p w14:paraId="7DE0D013">
                  <w:pPr>
                    <w:pStyle w:val="89"/>
                    <w:adjustRightInd w:val="0"/>
                    <w:snapToGrid w:val="0"/>
                    <w:spacing w:line="320" w:lineRule="exact"/>
                    <w:jc w:val="center"/>
                    <w:rPr>
                      <w:bCs/>
                      <w:color w:val="auto"/>
                      <w:szCs w:val="21"/>
                    </w:rPr>
                  </w:pPr>
                  <w:r>
                    <w:rPr>
                      <w:bCs/>
                      <w:color w:val="auto"/>
                      <w:szCs w:val="21"/>
                    </w:rPr>
                    <w:t>150μg/m</w:t>
                  </w:r>
                  <w:r>
                    <w:rPr>
                      <w:bCs/>
                      <w:color w:val="auto"/>
                      <w:szCs w:val="21"/>
                      <w:vertAlign w:val="superscript"/>
                    </w:rPr>
                    <w:t>3</w:t>
                  </w:r>
                </w:p>
              </w:tc>
              <w:tc>
                <w:tcPr>
                  <w:tcW w:w="3506" w:type="dxa"/>
                  <w:vMerge w:val="continue"/>
                  <w:vAlign w:val="center"/>
                </w:tcPr>
                <w:p w14:paraId="0C348571">
                  <w:pPr>
                    <w:pStyle w:val="89"/>
                    <w:adjustRightInd w:val="0"/>
                    <w:snapToGrid w:val="0"/>
                    <w:spacing w:line="320" w:lineRule="exact"/>
                    <w:jc w:val="center"/>
                    <w:rPr>
                      <w:bCs/>
                      <w:color w:val="auto"/>
                      <w:sz w:val="21"/>
                      <w:szCs w:val="21"/>
                    </w:rPr>
                  </w:pPr>
                </w:p>
              </w:tc>
            </w:tr>
            <w:tr w14:paraId="50D9EFEF">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cantSplit/>
                <w:trHeight w:val="408" w:hRule="atLeast"/>
                <w:jc w:val="center"/>
              </w:trPr>
              <w:tc>
                <w:tcPr>
                  <w:tcW w:w="1375" w:type="dxa"/>
                  <w:vMerge w:val="continue"/>
                  <w:vAlign w:val="center"/>
                </w:tcPr>
                <w:p w14:paraId="65373AE0">
                  <w:pPr>
                    <w:pStyle w:val="89"/>
                    <w:adjustRightInd w:val="0"/>
                    <w:snapToGrid w:val="0"/>
                    <w:spacing w:line="320" w:lineRule="exact"/>
                    <w:jc w:val="center"/>
                    <w:rPr>
                      <w:bCs/>
                      <w:color w:val="auto"/>
                      <w:szCs w:val="21"/>
                    </w:rPr>
                  </w:pPr>
                </w:p>
              </w:tc>
              <w:tc>
                <w:tcPr>
                  <w:tcW w:w="2051" w:type="dxa"/>
                  <w:vAlign w:val="center"/>
                </w:tcPr>
                <w:p w14:paraId="20C377E5">
                  <w:pPr>
                    <w:pStyle w:val="89"/>
                    <w:adjustRightInd w:val="0"/>
                    <w:snapToGrid w:val="0"/>
                    <w:spacing w:line="320" w:lineRule="exact"/>
                    <w:jc w:val="center"/>
                    <w:rPr>
                      <w:bCs/>
                      <w:color w:val="auto"/>
                      <w:szCs w:val="21"/>
                    </w:rPr>
                  </w:pPr>
                  <w:r>
                    <w:rPr>
                      <w:bCs/>
                      <w:color w:val="auto"/>
                      <w:szCs w:val="21"/>
                    </w:rPr>
                    <w:t>1小时平均</w:t>
                  </w:r>
                </w:p>
              </w:tc>
              <w:tc>
                <w:tcPr>
                  <w:tcW w:w="1232" w:type="dxa"/>
                  <w:vAlign w:val="center"/>
                </w:tcPr>
                <w:p w14:paraId="5708B6A6">
                  <w:pPr>
                    <w:pStyle w:val="89"/>
                    <w:adjustRightInd w:val="0"/>
                    <w:snapToGrid w:val="0"/>
                    <w:spacing w:line="320" w:lineRule="exact"/>
                    <w:jc w:val="center"/>
                    <w:rPr>
                      <w:bCs/>
                      <w:color w:val="auto"/>
                      <w:szCs w:val="21"/>
                    </w:rPr>
                  </w:pPr>
                  <w:r>
                    <w:rPr>
                      <w:bCs/>
                      <w:color w:val="auto"/>
                      <w:szCs w:val="21"/>
                    </w:rPr>
                    <w:t>500μg/m</w:t>
                  </w:r>
                  <w:r>
                    <w:rPr>
                      <w:bCs/>
                      <w:color w:val="auto"/>
                      <w:szCs w:val="21"/>
                      <w:vertAlign w:val="superscript"/>
                    </w:rPr>
                    <w:t>3</w:t>
                  </w:r>
                </w:p>
              </w:tc>
              <w:tc>
                <w:tcPr>
                  <w:tcW w:w="3506" w:type="dxa"/>
                  <w:vMerge w:val="continue"/>
                  <w:vAlign w:val="center"/>
                </w:tcPr>
                <w:p w14:paraId="7C8BA970">
                  <w:pPr>
                    <w:pStyle w:val="89"/>
                    <w:adjustRightInd w:val="0"/>
                    <w:snapToGrid w:val="0"/>
                    <w:spacing w:line="320" w:lineRule="exact"/>
                    <w:jc w:val="center"/>
                    <w:rPr>
                      <w:bCs/>
                      <w:color w:val="auto"/>
                      <w:sz w:val="21"/>
                      <w:szCs w:val="21"/>
                    </w:rPr>
                  </w:pPr>
                </w:p>
              </w:tc>
            </w:tr>
            <w:tr w14:paraId="21EAAE8E">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cantSplit/>
                <w:trHeight w:val="408" w:hRule="atLeast"/>
                <w:jc w:val="center"/>
              </w:trPr>
              <w:tc>
                <w:tcPr>
                  <w:tcW w:w="1375" w:type="dxa"/>
                  <w:vMerge w:val="restart"/>
                  <w:vAlign w:val="center"/>
                </w:tcPr>
                <w:p w14:paraId="47CF224B">
                  <w:pPr>
                    <w:pStyle w:val="89"/>
                    <w:adjustRightInd w:val="0"/>
                    <w:snapToGrid w:val="0"/>
                    <w:spacing w:line="320" w:lineRule="exact"/>
                    <w:jc w:val="center"/>
                    <w:rPr>
                      <w:bCs/>
                      <w:color w:val="auto"/>
                      <w:szCs w:val="21"/>
                    </w:rPr>
                  </w:pPr>
                  <w:r>
                    <w:rPr>
                      <w:bCs/>
                      <w:color w:val="auto"/>
                      <w:szCs w:val="21"/>
                    </w:rPr>
                    <w:t>NO</w:t>
                  </w:r>
                  <w:r>
                    <w:rPr>
                      <w:bCs/>
                      <w:color w:val="auto"/>
                      <w:szCs w:val="21"/>
                      <w:vertAlign w:val="subscript"/>
                    </w:rPr>
                    <w:t>2</w:t>
                  </w:r>
                </w:p>
              </w:tc>
              <w:tc>
                <w:tcPr>
                  <w:tcW w:w="2051" w:type="dxa"/>
                  <w:vAlign w:val="center"/>
                </w:tcPr>
                <w:p w14:paraId="1D1D1EDC">
                  <w:pPr>
                    <w:pStyle w:val="89"/>
                    <w:adjustRightInd w:val="0"/>
                    <w:snapToGrid w:val="0"/>
                    <w:spacing w:line="320" w:lineRule="exact"/>
                    <w:jc w:val="center"/>
                    <w:rPr>
                      <w:bCs/>
                      <w:color w:val="auto"/>
                      <w:szCs w:val="21"/>
                    </w:rPr>
                  </w:pPr>
                  <w:r>
                    <w:rPr>
                      <w:bCs/>
                      <w:color w:val="auto"/>
                      <w:szCs w:val="21"/>
                    </w:rPr>
                    <w:t>年平均</w:t>
                  </w:r>
                </w:p>
              </w:tc>
              <w:tc>
                <w:tcPr>
                  <w:tcW w:w="1232" w:type="dxa"/>
                  <w:vAlign w:val="center"/>
                </w:tcPr>
                <w:p w14:paraId="492F3CBC">
                  <w:pPr>
                    <w:pStyle w:val="89"/>
                    <w:adjustRightInd w:val="0"/>
                    <w:snapToGrid w:val="0"/>
                    <w:spacing w:line="320" w:lineRule="exact"/>
                    <w:jc w:val="center"/>
                    <w:rPr>
                      <w:bCs/>
                      <w:color w:val="auto"/>
                      <w:szCs w:val="21"/>
                    </w:rPr>
                  </w:pPr>
                  <w:r>
                    <w:rPr>
                      <w:bCs/>
                      <w:color w:val="auto"/>
                      <w:szCs w:val="21"/>
                    </w:rPr>
                    <w:t>40μg/m</w:t>
                  </w:r>
                  <w:r>
                    <w:rPr>
                      <w:bCs/>
                      <w:color w:val="auto"/>
                      <w:szCs w:val="21"/>
                      <w:vertAlign w:val="superscript"/>
                    </w:rPr>
                    <w:t>3</w:t>
                  </w:r>
                </w:p>
              </w:tc>
              <w:tc>
                <w:tcPr>
                  <w:tcW w:w="3506" w:type="dxa"/>
                  <w:vMerge w:val="continue"/>
                  <w:vAlign w:val="center"/>
                </w:tcPr>
                <w:p w14:paraId="5BFD25DB">
                  <w:pPr>
                    <w:pStyle w:val="89"/>
                    <w:adjustRightInd w:val="0"/>
                    <w:snapToGrid w:val="0"/>
                    <w:spacing w:line="320" w:lineRule="exact"/>
                    <w:jc w:val="center"/>
                    <w:rPr>
                      <w:bCs/>
                      <w:color w:val="auto"/>
                      <w:sz w:val="21"/>
                      <w:szCs w:val="21"/>
                    </w:rPr>
                  </w:pPr>
                </w:p>
              </w:tc>
            </w:tr>
            <w:tr w14:paraId="4C666FF4">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cantSplit/>
                <w:trHeight w:val="408" w:hRule="atLeast"/>
                <w:jc w:val="center"/>
              </w:trPr>
              <w:tc>
                <w:tcPr>
                  <w:tcW w:w="1375" w:type="dxa"/>
                  <w:vMerge w:val="continue"/>
                  <w:vAlign w:val="center"/>
                </w:tcPr>
                <w:p w14:paraId="7877A6C0">
                  <w:pPr>
                    <w:pStyle w:val="89"/>
                    <w:adjustRightInd w:val="0"/>
                    <w:snapToGrid w:val="0"/>
                    <w:spacing w:line="320" w:lineRule="exact"/>
                    <w:jc w:val="center"/>
                    <w:rPr>
                      <w:bCs/>
                      <w:color w:val="auto"/>
                      <w:szCs w:val="21"/>
                    </w:rPr>
                  </w:pPr>
                </w:p>
              </w:tc>
              <w:tc>
                <w:tcPr>
                  <w:tcW w:w="2051" w:type="dxa"/>
                  <w:vAlign w:val="center"/>
                </w:tcPr>
                <w:p w14:paraId="5597925C">
                  <w:pPr>
                    <w:pStyle w:val="89"/>
                    <w:adjustRightInd w:val="0"/>
                    <w:snapToGrid w:val="0"/>
                    <w:spacing w:line="320" w:lineRule="exact"/>
                    <w:jc w:val="center"/>
                    <w:rPr>
                      <w:bCs/>
                      <w:color w:val="auto"/>
                      <w:szCs w:val="21"/>
                    </w:rPr>
                  </w:pPr>
                  <w:r>
                    <w:rPr>
                      <w:bCs/>
                      <w:color w:val="auto"/>
                      <w:szCs w:val="21"/>
                    </w:rPr>
                    <w:t>24小时平均</w:t>
                  </w:r>
                </w:p>
              </w:tc>
              <w:tc>
                <w:tcPr>
                  <w:tcW w:w="1232" w:type="dxa"/>
                  <w:vAlign w:val="center"/>
                </w:tcPr>
                <w:p w14:paraId="2122C65D">
                  <w:pPr>
                    <w:pStyle w:val="89"/>
                    <w:adjustRightInd w:val="0"/>
                    <w:snapToGrid w:val="0"/>
                    <w:spacing w:line="320" w:lineRule="exact"/>
                    <w:jc w:val="center"/>
                    <w:rPr>
                      <w:bCs/>
                      <w:color w:val="auto"/>
                      <w:szCs w:val="21"/>
                    </w:rPr>
                  </w:pPr>
                  <w:r>
                    <w:rPr>
                      <w:bCs/>
                      <w:color w:val="auto"/>
                      <w:szCs w:val="21"/>
                    </w:rPr>
                    <w:t>80μg/m</w:t>
                  </w:r>
                  <w:r>
                    <w:rPr>
                      <w:bCs/>
                      <w:color w:val="auto"/>
                      <w:szCs w:val="21"/>
                      <w:vertAlign w:val="superscript"/>
                    </w:rPr>
                    <w:t>3</w:t>
                  </w:r>
                </w:p>
              </w:tc>
              <w:tc>
                <w:tcPr>
                  <w:tcW w:w="3506" w:type="dxa"/>
                  <w:vMerge w:val="continue"/>
                  <w:vAlign w:val="center"/>
                </w:tcPr>
                <w:p w14:paraId="6644CFE2">
                  <w:pPr>
                    <w:pStyle w:val="89"/>
                    <w:adjustRightInd w:val="0"/>
                    <w:snapToGrid w:val="0"/>
                    <w:spacing w:line="320" w:lineRule="exact"/>
                    <w:jc w:val="center"/>
                    <w:rPr>
                      <w:bCs/>
                      <w:color w:val="auto"/>
                      <w:sz w:val="21"/>
                      <w:szCs w:val="21"/>
                    </w:rPr>
                  </w:pPr>
                </w:p>
              </w:tc>
            </w:tr>
            <w:tr w14:paraId="5175B2B0">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cantSplit/>
                <w:trHeight w:val="408" w:hRule="atLeast"/>
                <w:jc w:val="center"/>
              </w:trPr>
              <w:tc>
                <w:tcPr>
                  <w:tcW w:w="1375" w:type="dxa"/>
                  <w:vMerge w:val="continue"/>
                  <w:vAlign w:val="center"/>
                </w:tcPr>
                <w:p w14:paraId="77432F5E">
                  <w:pPr>
                    <w:pStyle w:val="89"/>
                    <w:adjustRightInd w:val="0"/>
                    <w:snapToGrid w:val="0"/>
                    <w:spacing w:line="320" w:lineRule="exact"/>
                    <w:jc w:val="center"/>
                    <w:rPr>
                      <w:bCs/>
                      <w:color w:val="auto"/>
                      <w:szCs w:val="21"/>
                    </w:rPr>
                  </w:pPr>
                </w:p>
              </w:tc>
              <w:tc>
                <w:tcPr>
                  <w:tcW w:w="2051" w:type="dxa"/>
                  <w:vAlign w:val="center"/>
                </w:tcPr>
                <w:p w14:paraId="5A2B2A40">
                  <w:pPr>
                    <w:pStyle w:val="89"/>
                    <w:adjustRightInd w:val="0"/>
                    <w:snapToGrid w:val="0"/>
                    <w:spacing w:line="320" w:lineRule="exact"/>
                    <w:jc w:val="center"/>
                    <w:rPr>
                      <w:bCs/>
                      <w:color w:val="auto"/>
                      <w:szCs w:val="21"/>
                    </w:rPr>
                  </w:pPr>
                  <w:r>
                    <w:rPr>
                      <w:bCs/>
                      <w:color w:val="auto"/>
                      <w:szCs w:val="21"/>
                    </w:rPr>
                    <w:t>1小时平均</w:t>
                  </w:r>
                </w:p>
              </w:tc>
              <w:tc>
                <w:tcPr>
                  <w:tcW w:w="1232" w:type="dxa"/>
                  <w:vAlign w:val="center"/>
                </w:tcPr>
                <w:p w14:paraId="6E5612D0">
                  <w:pPr>
                    <w:pStyle w:val="89"/>
                    <w:adjustRightInd w:val="0"/>
                    <w:snapToGrid w:val="0"/>
                    <w:spacing w:line="320" w:lineRule="exact"/>
                    <w:jc w:val="center"/>
                    <w:rPr>
                      <w:bCs/>
                      <w:color w:val="auto"/>
                      <w:szCs w:val="21"/>
                    </w:rPr>
                  </w:pPr>
                  <w:r>
                    <w:rPr>
                      <w:bCs/>
                      <w:color w:val="auto"/>
                      <w:szCs w:val="21"/>
                    </w:rPr>
                    <w:t>200μg/m</w:t>
                  </w:r>
                  <w:r>
                    <w:rPr>
                      <w:bCs/>
                      <w:color w:val="auto"/>
                      <w:szCs w:val="21"/>
                      <w:vertAlign w:val="superscript"/>
                    </w:rPr>
                    <w:t>3</w:t>
                  </w:r>
                </w:p>
              </w:tc>
              <w:tc>
                <w:tcPr>
                  <w:tcW w:w="3506" w:type="dxa"/>
                  <w:vMerge w:val="continue"/>
                  <w:vAlign w:val="center"/>
                </w:tcPr>
                <w:p w14:paraId="5BE10E9E">
                  <w:pPr>
                    <w:pStyle w:val="89"/>
                    <w:adjustRightInd w:val="0"/>
                    <w:snapToGrid w:val="0"/>
                    <w:spacing w:line="320" w:lineRule="exact"/>
                    <w:jc w:val="center"/>
                    <w:rPr>
                      <w:bCs/>
                      <w:color w:val="auto"/>
                      <w:sz w:val="21"/>
                      <w:szCs w:val="21"/>
                    </w:rPr>
                  </w:pPr>
                </w:p>
              </w:tc>
            </w:tr>
            <w:tr w14:paraId="6D97B51D">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cantSplit/>
                <w:trHeight w:val="408" w:hRule="atLeast"/>
                <w:jc w:val="center"/>
              </w:trPr>
              <w:tc>
                <w:tcPr>
                  <w:tcW w:w="1375" w:type="dxa"/>
                  <w:vMerge w:val="restart"/>
                  <w:vAlign w:val="center"/>
                </w:tcPr>
                <w:p w14:paraId="49932B9F">
                  <w:pPr>
                    <w:pStyle w:val="89"/>
                    <w:adjustRightInd w:val="0"/>
                    <w:snapToGrid w:val="0"/>
                    <w:spacing w:line="320" w:lineRule="exact"/>
                    <w:jc w:val="center"/>
                    <w:rPr>
                      <w:bCs/>
                      <w:color w:val="auto"/>
                      <w:szCs w:val="21"/>
                    </w:rPr>
                  </w:pPr>
                  <w:r>
                    <w:rPr>
                      <w:bCs/>
                      <w:color w:val="auto"/>
                      <w:szCs w:val="21"/>
                    </w:rPr>
                    <w:t>CO</w:t>
                  </w:r>
                </w:p>
              </w:tc>
              <w:tc>
                <w:tcPr>
                  <w:tcW w:w="2051" w:type="dxa"/>
                  <w:vAlign w:val="center"/>
                </w:tcPr>
                <w:p w14:paraId="494DB886">
                  <w:pPr>
                    <w:pStyle w:val="89"/>
                    <w:adjustRightInd w:val="0"/>
                    <w:snapToGrid w:val="0"/>
                    <w:spacing w:line="320" w:lineRule="exact"/>
                    <w:jc w:val="center"/>
                    <w:rPr>
                      <w:bCs/>
                      <w:color w:val="auto"/>
                      <w:szCs w:val="21"/>
                    </w:rPr>
                  </w:pPr>
                  <w:r>
                    <w:rPr>
                      <w:bCs/>
                      <w:color w:val="auto"/>
                      <w:szCs w:val="21"/>
                    </w:rPr>
                    <w:t>24小时平均</w:t>
                  </w:r>
                </w:p>
              </w:tc>
              <w:tc>
                <w:tcPr>
                  <w:tcW w:w="1232" w:type="dxa"/>
                  <w:vAlign w:val="center"/>
                </w:tcPr>
                <w:p w14:paraId="6C3772C7">
                  <w:pPr>
                    <w:pStyle w:val="89"/>
                    <w:adjustRightInd w:val="0"/>
                    <w:snapToGrid w:val="0"/>
                    <w:spacing w:line="320" w:lineRule="exact"/>
                    <w:jc w:val="center"/>
                    <w:rPr>
                      <w:bCs/>
                      <w:color w:val="auto"/>
                      <w:szCs w:val="21"/>
                    </w:rPr>
                  </w:pPr>
                  <w:r>
                    <w:rPr>
                      <w:bCs/>
                      <w:color w:val="auto"/>
                      <w:szCs w:val="21"/>
                    </w:rPr>
                    <w:t>4mg/m</w:t>
                  </w:r>
                  <w:r>
                    <w:rPr>
                      <w:bCs/>
                      <w:color w:val="auto"/>
                      <w:szCs w:val="21"/>
                      <w:vertAlign w:val="superscript"/>
                    </w:rPr>
                    <w:t>3</w:t>
                  </w:r>
                </w:p>
              </w:tc>
              <w:tc>
                <w:tcPr>
                  <w:tcW w:w="3506" w:type="dxa"/>
                  <w:vMerge w:val="continue"/>
                  <w:vAlign w:val="center"/>
                </w:tcPr>
                <w:p w14:paraId="31CA2DD6">
                  <w:pPr>
                    <w:pStyle w:val="89"/>
                    <w:adjustRightInd w:val="0"/>
                    <w:snapToGrid w:val="0"/>
                    <w:spacing w:line="320" w:lineRule="exact"/>
                    <w:jc w:val="center"/>
                    <w:rPr>
                      <w:bCs/>
                      <w:color w:val="auto"/>
                      <w:sz w:val="21"/>
                      <w:szCs w:val="21"/>
                    </w:rPr>
                  </w:pPr>
                </w:p>
              </w:tc>
            </w:tr>
            <w:tr w14:paraId="50937B21">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cantSplit/>
                <w:trHeight w:val="408" w:hRule="atLeast"/>
                <w:jc w:val="center"/>
              </w:trPr>
              <w:tc>
                <w:tcPr>
                  <w:tcW w:w="1375" w:type="dxa"/>
                  <w:vMerge w:val="continue"/>
                  <w:vAlign w:val="center"/>
                </w:tcPr>
                <w:p w14:paraId="50345BB9">
                  <w:pPr>
                    <w:pStyle w:val="89"/>
                    <w:adjustRightInd w:val="0"/>
                    <w:snapToGrid w:val="0"/>
                    <w:spacing w:line="320" w:lineRule="exact"/>
                    <w:jc w:val="center"/>
                    <w:rPr>
                      <w:bCs/>
                      <w:color w:val="auto"/>
                      <w:szCs w:val="21"/>
                    </w:rPr>
                  </w:pPr>
                </w:p>
              </w:tc>
              <w:tc>
                <w:tcPr>
                  <w:tcW w:w="2051" w:type="dxa"/>
                  <w:vAlign w:val="center"/>
                </w:tcPr>
                <w:p w14:paraId="223A26F0">
                  <w:pPr>
                    <w:pStyle w:val="89"/>
                    <w:adjustRightInd w:val="0"/>
                    <w:snapToGrid w:val="0"/>
                    <w:spacing w:line="320" w:lineRule="exact"/>
                    <w:jc w:val="center"/>
                    <w:rPr>
                      <w:bCs/>
                      <w:color w:val="auto"/>
                      <w:szCs w:val="21"/>
                    </w:rPr>
                  </w:pPr>
                  <w:r>
                    <w:rPr>
                      <w:bCs/>
                      <w:color w:val="auto"/>
                      <w:szCs w:val="21"/>
                    </w:rPr>
                    <w:t>1小时平均</w:t>
                  </w:r>
                </w:p>
              </w:tc>
              <w:tc>
                <w:tcPr>
                  <w:tcW w:w="1232" w:type="dxa"/>
                  <w:vAlign w:val="center"/>
                </w:tcPr>
                <w:p w14:paraId="0C545148">
                  <w:pPr>
                    <w:pStyle w:val="89"/>
                    <w:adjustRightInd w:val="0"/>
                    <w:snapToGrid w:val="0"/>
                    <w:spacing w:line="320" w:lineRule="exact"/>
                    <w:jc w:val="center"/>
                    <w:rPr>
                      <w:bCs/>
                      <w:color w:val="auto"/>
                      <w:szCs w:val="21"/>
                    </w:rPr>
                  </w:pPr>
                  <w:r>
                    <w:rPr>
                      <w:bCs/>
                      <w:color w:val="auto"/>
                      <w:szCs w:val="21"/>
                    </w:rPr>
                    <w:t>10mg/m</w:t>
                  </w:r>
                  <w:r>
                    <w:rPr>
                      <w:bCs/>
                      <w:color w:val="auto"/>
                      <w:szCs w:val="21"/>
                      <w:vertAlign w:val="superscript"/>
                    </w:rPr>
                    <w:t>3</w:t>
                  </w:r>
                </w:p>
              </w:tc>
              <w:tc>
                <w:tcPr>
                  <w:tcW w:w="3506" w:type="dxa"/>
                  <w:vMerge w:val="continue"/>
                  <w:vAlign w:val="center"/>
                </w:tcPr>
                <w:p w14:paraId="678F78C6">
                  <w:pPr>
                    <w:pStyle w:val="89"/>
                    <w:adjustRightInd w:val="0"/>
                    <w:snapToGrid w:val="0"/>
                    <w:spacing w:line="320" w:lineRule="exact"/>
                    <w:jc w:val="center"/>
                    <w:rPr>
                      <w:bCs/>
                      <w:color w:val="auto"/>
                      <w:sz w:val="21"/>
                      <w:szCs w:val="21"/>
                    </w:rPr>
                  </w:pPr>
                </w:p>
              </w:tc>
            </w:tr>
            <w:tr w14:paraId="35677FDF">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cantSplit/>
                <w:trHeight w:val="408" w:hRule="atLeast"/>
                <w:jc w:val="center"/>
              </w:trPr>
              <w:tc>
                <w:tcPr>
                  <w:tcW w:w="1375" w:type="dxa"/>
                  <w:vMerge w:val="restart"/>
                  <w:vAlign w:val="center"/>
                </w:tcPr>
                <w:p w14:paraId="7549A86A">
                  <w:pPr>
                    <w:pStyle w:val="89"/>
                    <w:adjustRightInd w:val="0"/>
                    <w:snapToGrid w:val="0"/>
                    <w:spacing w:line="320" w:lineRule="exact"/>
                    <w:jc w:val="center"/>
                    <w:rPr>
                      <w:bCs/>
                      <w:color w:val="auto"/>
                      <w:szCs w:val="21"/>
                    </w:rPr>
                  </w:pPr>
                  <w:r>
                    <w:rPr>
                      <w:bCs/>
                      <w:color w:val="auto"/>
                      <w:szCs w:val="21"/>
                    </w:rPr>
                    <w:t>O</w:t>
                  </w:r>
                  <w:r>
                    <w:rPr>
                      <w:bCs/>
                      <w:color w:val="auto"/>
                      <w:szCs w:val="21"/>
                      <w:vertAlign w:val="subscript"/>
                    </w:rPr>
                    <w:t>3</w:t>
                  </w:r>
                </w:p>
              </w:tc>
              <w:tc>
                <w:tcPr>
                  <w:tcW w:w="2051" w:type="dxa"/>
                  <w:vAlign w:val="center"/>
                </w:tcPr>
                <w:p w14:paraId="2F26A6B3">
                  <w:pPr>
                    <w:pStyle w:val="89"/>
                    <w:adjustRightInd w:val="0"/>
                    <w:snapToGrid w:val="0"/>
                    <w:spacing w:line="320" w:lineRule="exact"/>
                    <w:jc w:val="center"/>
                    <w:rPr>
                      <w:bCs/>
                      <w:color w:val="auto"/>
                      <w:szCs w:val="21"/>
                    </w:rPr>
                  </w:pPr>
                  <w:r>
                    <w:rPr>
                      <w:bCs/>
                      <w:color w:val="auto"/>
                      <w:szCs w:val="21"/>
                    </w:rPr>
                    <w:t>日最大8小时平均</w:t>
                  </w:r>
                </w:p>
              </w:tc>
              <w:tc>
                <w:tcPr>
                  <w:tcW w:w="1232" w:type="dxa"/>
                  <w:vAlign w:val="center"/>
                </w:tcPr>
                <w:p w14:paraId="25BD389C">
                  <w:pPr>
                    <w:pStyle w:val="89"/>
                    <w:adjustRightInd w:val="0"/>
                    <w:snapToGrid w:val="0"/>
                    <w:spacing w:line="320" w:lineRule="exact"/>
                    <w:jc w:val="center"/>
                    <w:rPr>
                      <w:bCs/>
                      <w:color w:val="auto"/>
                      <w:szCs w:val="21"/>
                    </w:rPr>
                  </w:pPr>
                  <w:r>
                    <w:rPr>
                      <w:bCs/>
                      <w:color w:val="auto"/>
                      <w:szCs w:val="21"/>
                    </w:rPr>
                    <w:t>160μg/m</w:t>
                  </w:r>
                  <w:r>
                    <w:rPr>
                      <w:bCs/>
                      <w:color w:val="auto"/>
                      <w:szCs w:val="21"/>
                      <w:vertAlign w:val="superscript"/>
                    </w:rPr>
                    <w:t>3</w:t>
                  </w:r>
                </w:p>
              </w:tc>
              <w:tc>
                <w:tcPr>
                  <w:tcW w:w="3506" w:type="dxa"/>
                  <w:vMerge w:val="continue"/>
                  <w:vAlign w:val="center"/>
                </w:tcPr>
                <w:p w14:paraId="5627143D">
                  <w:pPr>
                    <w:pStyle w:val="89"/>
                    <w:adjustRightInd w:val="0"/>
                    <w:snapToGrid w:val="0"/>
                    <w:spacing w:line="320" w:lineRule="exact"/>
                    <w:jc w:val="center"/>
                    <w:rPr>
                      <w:bCs/>
                      <w:color w:val="auto"/>
                      <w:sz w:val="21"/>
                      <w:szCs w:val="21"/>
                    </w:rPr>
                  </w:pPr>
                </w:p>
              </w:tc>
            </w:tr>
            <w:tr w14:paraId="12870DC6">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cantSplit/>
                <w:trHeight w:val="408" w:hRule="atLeast"/>
                <w:jc w:val="center"/>
              </w:trPr>
              <w:tc>
                <w:tcPr>
                  <w:tcW w:w="1375" w:type="dxa"/>
                  <w:vMerge w:val="continue"/>
                  <w:vAlign w:val="center"/>
                </w:tcPr>
                <w:p w14:paraId="715CD12C">
                  <w:pPr>
                    <w:pStyle w:val="89"/>
                    <w:adjustRightInd w:val="0"/>
                    <w:snapToGrid w:val="0"/>
                    <w:spacing w:line="320" w:lineRule="exact"/>
                    <w:jc w:val="center"/>
                    <w:rPr>
                      <w:bCs/>
                      <w:color w:val="auto"/>
                      <w:szCs w:val="21"/>
                    </w:rPr>
                  </w:pPr>
                </w:p>
              </w:tc>
              <w:tc>
                <w:tcPr>
                  <w:tcW w:w="2051" w:type="dxa"/>
                  <w:vAlign w:val="center"/>
                </w:tcPr>
                <w:p w14:paraId="679433D3">
                  <w:pPr>
                    <w:pStyle w:val="89"/>
                    <w:adjustRightInd w:val="0"/>
                    <w:snapToGrid w:val="0"/>
                    <w:spacing w:line="320" w:lineRule="exact"/>
                    <w:jc w:val="center"/>
                    <w:rPr>
                      <w:bCs/>
                      <w:color w:val="auto"/>
                      <w:szCs w:val="21"/>
                    </w:rPr>
                  </w:pPr>
                  <w:r>
                    <w:rPr>
                      <w:bCs/>
                      <w:color w:val="auto"/>
                      <w:szCs w:val="21"/>
                    </w:rPr>
                    <w:t>1小时平均</w:t>
                  </w:r>
                </w:p>
              </w:tc>
              <w:tc>
                <w:tcPr>
                  <w:tcW w:w="1232" w:type="dxa"/>
                  <w:vAlign w:val="center"/>
                </w:tcPr>
                <w:p w14:paraId="3413F572">
                  <w:pPr>
                    <w:pStyle w:val="89"/>
                    <w:adjustRightInd w:val="0"/>
                    <w:snapToGrid w:val="0"/>
                    <w:spacing w:line="320" w:lineRule="exact"/>
                    <w:jc w:val="center"/>
                    <w:rPr>
                      <w:bCs/>
                      <w:color w:val="auto"/>
                      <w:szCs w:val="21"/>
                    </w:rPr>
                  </w:pPr>
                  <w:r>
                    <w:rPr>
                      <w:bCs/>
                      <w:color w:val="auto"/>
                      <w:szCs w:val="21"/>
                    </w:rPr>
                    <w:t>200μg/m</w:t>
                  </w:r>
                  <w:r>
                    <w:rPr>
                      <w:bCs/>
                      <w:color w:val="auto"/>
                      <w:szCs w:val="21"/>
                      <w:vertAlign w:val="superscript"/>
                    </w:rPr>
                    <w:t>3</w:t>
                  </w:r>
                </w:p>
              </w:tc>
              <w:tc>
                <w:tcPr>
                  <w:tcW w:w="3506" w:type="dxa"/>
                  <w:vMerge w:val="continue"/>
                  <w:tcBorders>
                    <w:bottom w:val="single" w:color="auto" w:sz="4" w:space="0"/>
                  </w:tcBorders>
                  <w:vAlign w:val="center"/>
                </w:tcPr>
                <w:p w14:paraId="07257F88">
                  <w:pPr>
                    <w:pStyle w:val="89"/>
                    <w:adjustRightInd w:val="0"/>
                    <w:snapToGrid w:val="0"/>
                    <w:spacing w:line="320" w:lineRule="exact"/>
                    <w:jc w:val="center"/>
                    <w:rPr>
                      <w:bCs/>
                      <w:color w:val="auto"/>
                      <w:sz w:val="21"/>
                      <w:szCs w:val="21"/>
                    </w:rPr>
                  </w:pPr>
                </w:p>
              </w:tc>
            </w:tr>
            <w:tr w14:paraId="34CAD606">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cantSplit/>
                <w:trHeight w:val="408" w:hRule="atLeast"/>
                <w:jc w:val="center"/>
              </w:trPr>
              <w:tc>
                <w:tcPr>
                  <w:tcW w:w="1375" w:type="dxa"/>
                  <w:vAlign w:val="center"/>
                </w:tcPr>
                <w:p w14:paraId="61590C30">
                  <w:pPr>
                    <w:pStyle w:val="89"/>
                    <w:adjustRightInd w:val="0"/>
                    <w:snapToGrid w:val="0"/>
                    <w:spacing w:line="320" w:lineRule="exact"/>
                    <w:jc w:val="center"/>
                    <w:rPr>
                      <w:rFonts w:hint="default" w:eastAsia="宋体"/>
                      <w:bCs/>
                      <w:color w:val="auto"/>
                      <w:szCs w:val="21"/>
                      <w:lang w:val="en-US" w:eastAsia="zh-CN"/>
                    </w:rPr>
                  </w:pPr>
                  <w:r>
                    <w:rPr>
                      <w:rFonts w:hint="eastAsia" w:eastAsia="宋体"/>
                      <w:bCs/>
                      <w:color w:val="auto"/>
                      <w:szCs w:val="21"/>
                      <w:lang w:val="en-US" w:eastAsia="zh-CN"/>
                    </w:rPr>
                    <w:t>TSP</w:t>
                  </w:r>
                </w:p>
              </w:tc>
              <w:tc>
                <w:tcPr>
                  <w:tcW w:w="2051" w:type="dxa"/>
                  <w:vAlign w:val="center"/>
                </w:tcPr>
                <w:p w14:paraId="19003E8F">
                  <w:pPr>
                    <w:pStyle w:val="89"/>
                    <w:adjustRightInd w:val="0"/>
                    <w:snapToGrid w:val="0"/>
                    <w:spacing w:line="320" w:lineRule="exact"/>
                    <w:jc w:val="center"/>
                    <w:rPr>
                      <w:bCs/>
                      <w:color w:val="auto"/>
                      <w:szCs w:val="21"/>
                    </w:rPr>
                  </w:pPr>
                  <w:r>
                    <w:rPr>
                      <w:rFonts w:ascii="Times New Roman" w:hAnsi="Times New Roman"/>
                      <w:color w:val="auto"/>
                      <w:kern w:val="2"/>
                      <w:sz w:val="21"/>
                      <w:szCs w:val="21"/>
                      <w:lang w:val="en-US" w:eastAsia="zh-CN" w:bidi="ar"/>
                    </w:rPr>
                    <w:t>24小时平均</w:t>
                  </w:r>
                </w:p>
              </w:tc>
              <w:tc>
                <w:tcPr>
                  <w:tcW w:w="1232" w:type="dxa"/>
                  <w:vAlign w:val="center"/>
                </w:tcPr>
                <w:p w14:paraId="611DA9DB">
                  <w:pPr>
                    <w:pStyle w:val="89"/>
                    <w:adjustRightInd w:val="0"/>
                    <w:snapToGrid w:val="0"/>
                    <w:spacing w:line="320" w:lineRule="exact"/>
                    <w:jc w:val="center"/>
                    <w:rPr>
                      <w:bCs/>
                      <w:color w:val="auto"/>
                      <w:szCs w:val="21"/>
                    </w:rPr>
                  </w:pPr>
                  <w:r>
                    <w:rPr>
                      <w:rFonts w:ascii="Times New Roman" w:hAnsi="Times New Roman"/>
                      <w:color w:val="auto"/>
                      <w:kern w:val="2"/>
                      <w:sz w:val="21"/>
                      <w:szCs w:val="21"/>
                      <w:lang w:val="en-US" w:eastAsia="zh-CN" w:bidi="ar"/>
                    </w:rPr>
                    <w:t>300μg/m</w:t>
                  </w:r>
                  <w:r>
                    <w:rPr>
                      <w:rFonts w:ascii="Times New Roman" w:hAnsi="Times New Roman"/>
                      <w:color w:val="auto"/>
                      <w:kern w:val="2"/>
                      <w:sz w:val="21"/>
                      <w:szCs w:val="21"/>
                      <w:vertAlign w:val="superscript"/>
                      <w:lang w:val="en-US" w:eastAsia="zh-CN" w:bidi="ar"/>
                    </w:rPr>
                    <w:t>3</w:t>
                  </w:r>
                </w:p>
              </w:tc>
              <w:tc>
                <w:tcPr>
                  <w:tcW w:w="3506" w:type="dxa"/>
                  <w:tcBorders>
                    <w:top w:val="single" w:color="auto" w:sz="4" w:space="0"/>
                  </w:tcBorders>
                  <w:vAlign w:val="center"/>
                </w:tcPr>
                <w:p w14:paraId="3C48C6BA">
                  <w:pPr>
                    <w:pStyle w:val="89"/>
                    <w:adjustRightInd w:val="0"/>
                    <w:snapToGrid w:val="0"/>
                    <w:spacing w:line="320" w:lineRule="exact"/>
                    <w:jc w:val="center"/>
                    <w:rPr>
                      <w:bCs/>
                      <w:color w:val="auto"/>
                      <w:sz w:val="21"/>
                      <w:szCs w:val="21"/>
                    </w:rPr>
                  </w:pPr>
                  <w:r>
                    <w:rPr>
                      <w:rFonts w:hint="eastAsia" w:eastAsia="宋体"/>
                      <w:bCs/>
                      <w:color w:val="auto"/>
                      <w:sz w:val="21"/>
                      <w:szCs w:val="21"/>
                      <w:lang w:eastAsia="zh-CN"/>
                    </w:rPr>
                    <w:t>《环境空气质量标准》（GB3095-2026）</w:t>
                  </w:r>
                  <w:r>
                    <w:rPr>
                      <w:rFonts w:hint="eastAsia" w:hAnsi="Times New Roman" w:cs="Times New Roman"/>
                      <w:color w:val="auto"/>
                      <w:sz w:val="21"/>
                      <w:szCs w:val="21"/>
                      <w:lang w:eastAsia="zh-CN"/>
                    </w:rPr>
                    <w:t>表</w:t>
                  </w:r>
                  <w:r>
                    <w:rPr>
                      <w:rFonts w:hint="eastAsia" w:cs="Times New Roman"/>
                      <w:color w:val="auto"/>
                      <w:sz w:val="21"/>
                      <w:szCs w:val="21"/>
                      <w:lang w:val="en-US" w:eastAsia="zh-CN"/>
                    </w:rPr>
                    <w:t>2</w:t>
                  </w:r>
                  <w:r>
                    <w:rPr>
                      <w:rFonts w:hint="eastAsia" w:hAnsi="Times New Roman" w:cs="Times New Roman"/>
                      <w:color w:val="auto"/>
                      <w:sz w:val="21"/>
                      <w:szCs w:val="21"/>
                    </w:rPr>
                    <w:t>中二级标准</w:t>
                  </w:r>
                </w:p>
              </w:tc>
            </w:tr>
          </w:tbl>
          <w:p w14:paraId="007BA7FB">
            <w:pPr>
              <w:pStyle w:val="5"/>
              <w:spacing w:before="120" w:beforeLines="50"/>
              <w:ind w:firstLine="241"/>
              <w:rPr>
                <w:rFonts w:hint="default"/>
                <w:color w:val="auto"/>
              </w:rPr>
            </w:pPr>
            <w:r>
              <w:rPr>
                <w:color w:val="auto"/>
              </w:rPr>
              <w:t>3.1.2大气环境质量现状</w:t>
            </w:r>
          </w:p>
          <w:p w14:paraId="6255B163">
            <w:pPr>
              <w:spacing w:line="360" w:lineRule="auto"/>
              <w:ind w:firstLine="480" w:firstLineChars="200"/>
              <w:rPr>
                <w:rFonts w:hint="eastAsia" w:eastAsia="宋体"/>
                <w:bCs/>
                <w:color w:val="auto"/>
                <w:sz w:val="24"/>
                <w:lang w:eastAsia="zh-CN"/>
              </w:rPr>
            </w:pPr>
            <w:r>
              <w:rPr>
                <w:rFonts w:hint="eastAsia"/>
                <w:bCs/>
                <w:color w:val="auto"/>
                <w:sz w:val="24"/>
              </w:rPr>
              <w:t>（1）常规因子</w:t>
            </w:r>
            <w:r>
              <w:rPr>
                <w:rFonts w:hint="eastAsia"/>
                <w:bCs/>
                <w:color w:val="auto"/>
                <w:sz w:val="24"/>
                <w:lang w:eastAsia="zh-CN"/>
              </w:rPr>
              <w:t>现状调查</w:t>
            </w:r>
          </w:p>
          <w:p w14:paraId="6240B3B6">
            <w:pPr>
              <w:spacing w:line="360" w:lineRule="auto"/>
              <w:ind w:firstLine="480" w:firstLineChars="200"/>
              <w:rPr>
                <w:rFonts w:ascii="Times New Roman" w:hAnsi="Times New Roman"/>
                <w:bCs/>
                <w:color w:val="auto"/>
                <w:sz w:val="24"/>
              </w:rPr>
            </w:pPr>
            <w:r>
              <w:rPr>
                <w:rFonts w:hint="eastAsia"/>
                <w:bCs/>
                <w:color w:val="auto"/>
                <w:sz w:val="24"/>
              </w:rPr>
              <w:t>根据福建省生态</w:t>
            </w:r>
            <w:r>
              <w:rPr>
                <w:rFonts w:ascii="Times New Roman" w:hAnsi="Times New Roman"/>
                <w:bCs/>
                <w:color w:val="auto"/>
                <w:sz w:val="24"/>
              </w:rPr>
              <w:t>环境厅公布的《202</w:t>
            </w:r>
            <w:r>
              <w:rPr>
                <w:rFonts w:hint="eastAsia"/>
                <w:bCs/>
                <w:color w:val="auto"/>
                <w:sz w:val="24"/>
                <w:lang w:val="en-US" w:eastAsia="zh-CN"/>
              </w:rPr>
              <w:t>5</w:t>
            </w:r>
            <w:r>
              <w:rPr>
                <w:rFonts w:ascii="Times New Roman" w:hAnsi="Times New Roman"/>
                <w:bCs/>
                <w:color w:val="auto"/>
                <w:sz w:val="24"/>
              </w:rPr>
              <w:t>年12月福建省城市环境空气质量状况》，</w:t>
            </w:r>
            <w:r>
              <w:rPr>
                <w:rFonts w:hint="eastAsia" w:ascii="Times New Roman" w:hAnsi="Times New Roman"/>
                <w:bCs/>
                <w:color w:val="auto"/>
                <w:sz w:val="24"/>
              </w:rPr>
              <w:t>　1―12月，9个设区城市环境空气质量优良天数比例平均为98.4%，同比上升0.1个百分点。环境空气质量综合指数范围为2.19～2.84，首要污染物为臭氧。平潭综合实验区环境空气质量优良天数比例平均为99.5%，同比下降0.2个百分点；环境空气质量综合指数为1.94，首要污染物为臭氧，细颗粒物浓度为14</w:t>
            </w:r>
            <w:r>
              <w:rPr>
                <w:rFonts w:hint="default" w:ascii="Times New Roman" w:hAnsi="Times New Roman" w:cs="Times New Roman"/>
                <w:bCs/>
                <w:color w:val="auto"/>
                <w:sz w:val="24"/>
              </w:rPr>
              <w:t>μg/m</w:t>
            </w:r>
            <w:r>
              <w:rPr>
                <w:rFonts w:hint="default" w:ascii="Times New Roman" w:hAnsi="Times New Roman" w:cs="Times New Roman"/>
                <w:bCs/>
                <w:color w:val="auto"/>
                <w:sz w:val="24"/>
                <w:vertAlign w:val="superscript"/>
              </w:rPr>
              <w:t>3</w:t>
            </w:r>
            <w:r>
              <w:rPr>
                <w:rFonts w:ascii="Times New Roman" w:hAnsi="Times New Roman"/>
                <w:bCs/>
                <w:color w:val="auto"/>
                <w:sz w:val="24"/>
              </w:rPr>
              <w:t>。</w:t>
            </w:r>
          </w:p>
          <w:p w14:paraId="1F2DDD05">
            <w:pPr>
              <w:pStyle w:val="9"/>
              <w:spacing w:line="360" w:lineRule="auto"/>
              <w:ind w:firstLine="480" w:firstLineChars="200"/>
              <w:rPr>
                <w:rFonts w:hint="default" w:ascii="Times New Roman" w:hAnsi="Times New Roman" w:eastAsia="宋体" w:cs="Times New Roman"/>
                <w:bCs/>
                <w:color w:val="auto"/>
                <w:kern w:val="2"/>
                <w:sz w:val="24"/>
                <w:szCs w:val="24"/>
                <w:lang w:val="en-US" w:eastAsia="zh-CN" w:bidi="ar-SA"/>
              </w:rPr>
            </w:pPr>
            <w:r>
              <w:rPr>
                <w:rFonts w:hint="default" w:ascii="Times New Roman" w:hAnsi="Times New Roman" w:eastAsia="宋体" w:cs="Times New Roman"/>
                <w:bCs/>
                <w:color w:val="auto"/>
                <w:kern w:val="2"/>
                <w:sz w:val="24"/>
                <w:szCs w:val="24"/>
                <w:lang w:val="en-US" w:eastAsia="zh-CN" w:bidi="ar-SA"/>
              </w:rPr>
              <w:t>1-12月，58个县级城市环境空气质量优良天数比例平均为99.3%，同比下降0.1个百分点；环境空气质量综合指数范围为1.24～2.47，首要污染物为细颗粒物、臭氧。</w:t>
            </w:r>
          </w:p>
          <w:tbl>
            <w:tblPr>
              <w:tblStyle w:val="32"/>
              <w:tblW w:w="7974"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974"/>
            </w:tblGrid>
            <w:tr w14:paraId="43563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974" w:type="dxa"/>
                </w:tcPr>
                <w:p w14:paraId="3B526F9F">
                  <w:pPr>
                    <w:pStyle w:val="80"/>
                    <w:spacing w:line="240" w:lineRule="auto"/>
                    <w:ind w:firstLine="0" w:firstLineChars="0"/>
                    <w:jc w:val="center"/>
                    <w:rPr>
                      <w:rFonts w:ascii="Times New Roman" w:hAnsi="Times New Roman" w:eastAsia="宋体" w:cs="Times New Roman"/>
                      <w:bCs/>
                      <w:color w:val="auto"/>
                      <w:sz w:val="21"/>
                      <w:szCs w:val="21"/>
                    </w:rPr>
                  </w:pPr>
                  <w:r>
                    <w:rPr>
                      <w:color w:val="auto"/>
                      <w:sz w:val="28"/>
                    </w:rPr>
                    <mc:AlternateContent>
                      <mc:Choice Requires="wps">
                        <w:drawing>
                          <wp:anchor distT="0" distB="0" distL="114300" distR="114300" simplePos="0" relativeHeight="251663360" behindDoc="0" locked="0" layoutInCell="1" allowOverlap="1">
                            <wp:simplePos x="0" y="0"/>
                            <wp:positionH relativeFrom="column">
                              <wp:posOffset>67945</wp:posOffset>
                            </wp:positionH>
                            <wp:positionV relativeFrom="paragraph">
                              <wp:posOffset>791845</wp:posOffset>
                            </wp:positionV>
                            <wp:extent cx="4791075" cy="209550"/>
                            <wp:effectExtent l="6350" t="6350" r="22225" b="12700"/>
                            <wp:wrapNone/>
                            <wp:docPr id="118" name="矩形 118"/>
                            <wp:cNvGraphicFramePr/>
                            <a:graphic xmlns:a="http://schemas.openxmlformats.org/drawingml/2006/main">
                              <a:graphicData uri="http://schemas.microsoft.com/office/word/2010/wordprocessingShape">
                                <wps:wsp>
                                  <wps:cNvSpPr/>
                                  <wps:spPr>
                                    <a:xfrm>
                                      <a:off x="1613535" y="4041775"/>
                                      <a:ext cx="4791075" cy="209550"/>
                                    </a:xfrm>
                                    <a:prstGeom prst="rect">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35pt;margin-top:62.35pt;height:16.5pt;width:377.25pt;z-index:251663360;v-text-anchor:middle;mso-width-relative:page;mso-height-relative:page;" filled="f" stroked="t" coordsize="21600,21600" o:gfxdata="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zmoe9QAAAAKAQAADwAAAAAAAAABACAAAAAiAAAAZHJz&#10;L2Rvd25yZXYueG1sUEsBAhQAFAAAAAgAh07iQJ5BTq96AgAA2wQAAA4AAAAAAAAAAQAgAAAAIwEA&#10;AGRycy9lMm9Eb2MueG1sUEsFBgAAAAAGAAYAWQEAAA8GAAAAAA==&#10;">
                            <v:fill on="f" focussize="0,0"/>
                            <v:stroke weight="1pt" color="#FF0000 [2404]" miterlimit="8" joinstyle="miter"/>
                            <v:imagedata o:title=""/>
                            <o:lock v:ext="edit" aspectratio="f"/>
                          </v:rect>
                        </w:pict>
                      </mc:Fallback>
                    </mc:AlternateContent>
                  </w:r>
                  <w:r>
                    <w:rPr>
                      <w:color w:val="auto"/>
                    </w:rPr>
                    <w:drawing>
                      <wp:inline distT="0" distB="0" distL="114300" distR="114300">
                        <wp:extent cx="4925060" cy="4775200"/>
                        <wp:effectExtent l="0" t="0" r="8890" b="6350"/>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pic:cNvPicPr>
                                  <a:picLocks noChangeAspect="1"/>
                                </pic:cNvPicPr>
                              </pic:nvPicPr>
                              <pic:blipFill>
                                <a:blip r:embed="rId17"/>
                                <a:stretch>
                                  <a:fillRect/>
                                </a:stretch>
                              </pic:blipFill>
                              <pic:spPr>
                                <a:xfrm>
                                  <a:off x="0" y="0"/>
                                  <a:ext cx="4925060" cy="4775200"/>
                                </a:xfrm>
                                <a:prstGeom prst="rect">
                                  <a:avLst/>
                                </a:prstGeom>
                                <a:noFill/>
                                <a:ln>
                                  <a:noFill/>
                                </a:ln>
                              </pic:spPr>
                            </pic:pic>
                          </a:graphicData>
                        </a:graphic>
                      </wp:inline>
                    </w:drawing>
                  </w:r>
                </w:p>
              </w:tc>
            </w:tr>
            <w:tr w14:paraId="40D9C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974" w:type="dxa"/>
                </w:tcPr>
                <w:p w14:paraId="2299327C">
                  <w:pPr>
                    <w:pStyle w:val="80"/>
                    <w:spacing w:line="240" w:lineRule="auto"/>
                    <w:ind w:firstLine="0" w:firstLineChars="0"/>
                    <w:jc w:val="center"/>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
                      <w:bCs/>
                      <w:color w:val="auto"/>
                      <w:kern w:val="2"/>
                      <w:sz w:val="21"/>
                      <w:szCs w:val="21"/>
                      <w:lang w:val="en-US" w:eastAsia="zh-CN" w:bidi="ar-SA"/>
                    </w:rPr>
                    <w:t>图3-1福建省生态环境厅网站截图</w:t>
                  </w:r>
                </w:p>
              </w:tc>
            </w:tr>
          </w:tbl>
          <w:p w14:paraId="788396DA">
            <w:pPr>
              <w:pStyle w:val="128"/>
              <w:ind w:firstLine="480"/>
              <w:rPr>
                <w:rFonts w:ascii="Times New Roman" w:hAnsi="Times New Roman"/>
                <w:color w:val="auto"/>
              </w:rPr>
            </w:pPr>
            <w:r>
              <w:rPr>
                <w:rFonts w:ascii="Times New Roman" w:hAnsi="Times New Roman"/>
                <w:color w:val="auto"/>
              </w:rPr>
              <w:t>同时</w:t>
            </w:r>
            <w:r>
              <w:rPr>
                <w:rFonts w:ascii="Times New Roman" w:hAnsi="Times New Roman"/>
                <w:bCs w:val="0"/>
                <w:color w:val="auto"/>
              </w:rPr>
              <w:t>根据闽侯县人民政府公布的</w:t>
            </w:r>
            <w:r>
              <w:rPr>
                <w:rFonts w:ascii="Times New Roman" w:hAnsi="Times New Roman"/>
                <w:color w:val="auto"/>
              </w:rPr>
              <w:t>202</w:t>
            </w:r>
            <w:r>
              <w:rPr>
                <w:rFonts w:hint="eastAsia"/>
                <w:color w:val="auto"/>
                <w:lang w:val="en-US" w:eastAsia="zh-CN"/>
              </w:rPr>
              <w:t>5</w:t>
            </w:r>
            <w:r>
              <w:rPr>
                <w:rFonts w:ascii="Times New Roman" w:hAnsi="Times New Roman"/>
                <w:color w:val="auto"/>
              </w:rPr>
              <w:t>年1月</w:t>
            </w:r>
            <w:r>
              <w:rPr>
                <w:rFonts w:hint="eastAsia"/>
                <w:color w:val="auto"/>
                <w:lang w:eastAsia="zh-CN"/>
              </w:rPr>
              <w:t>～</w:t>
            </w:r>
            <w:r>
              <w:rPr>
                <w:rFonts w:ascii="Times New Roman" w:hAnsi="Times New Roman"/>
                <w:bCs w:val="0"/>
                <w:color w:val="auto"/>
              </w:rPr>
              <w:t>12月</w:t>
            </w:r>
            <w:r>
              <w:rPr>
                <w:rFonts w:ascii="Times New Roman" w:hAnsi="Times New Roman"/>
                <w:color w:val="auto"/>
              </w:rPr>
              <w:t>份</w:t>
            </w:r>
            <w:r>
              <w:rPr>
                <w:rFonts w:hint="eastAsia" w:ascii="Times New Roman" w:hAnsi="Times New Roman"/>
                <w:color w:val="auto"/>
              </w:rPr>
              <w:t>监测数据统计，</w:t>
            </w:r>
            <w:r>
              <w:rPr>
                <w:rFonts w:ascii="Times New Roman" w:hAnsi="Times New Roman"/>
                <w:bCs w:val="0"/>
                <w:color w:val="auto"/>
              </w:rPr>
              <w:t>闽侯县</w:t>
            </w:r>
            <w:r>
              <w:rPr>
                <w:rFonts w:ascii="Times New Roman" w:hAnsi="Times New Roman"/>
                <w:color w:val="auto"/>
              </w:rPr>
              <w:t>环境空气质量优，</w:t>
            </w:r>
            <w:r>
              <w:rPr>
                <w:rFonts w:hint="eastAsia"/>
                <w:color w:val="auto"/>
                <w:lang w:eastAsia="zh-CN"/>
              </w:rPr>
              <w:t>能够</w:t>
            </w:r>
            <w:r>
              <w:rPr>
                <w:rFonts w:ascii="Times New Roman" w:hAnsi="Times New Roman"/>
                <w:bCs w:val="0"/>
                <w:color w:val="auto"/>
              </w:rPr>
              <w:t>达到国家环境空气质量标准</w:t>
            </w:r>
            <w:r>
              <w:rPr>
                <w:rFonts w:hint="eastAsia" w:ascii="Times New Roman" w:hAnsi="Times New Roman"/>
                <w:bCs w:val="0"/>
                <w:color w:val="auto"/>
              </w:rPr>
              <w:t>（GB3095-2026）</w:t>
            </w:r>
            <w:r>
              <w:rPr>
                <w:rFonts w:hint="eastAsia" w:hAnsi="Times New Roman" w:cs="Times New Roman"/>
                <w:color w:val="auto"/>
                <w:sz w:val="24"/>
                <w:szCs w:val="20"/>
                <w:lang w:eastAsia="zh-CN"/>
              </w:rPr>
              <w:t>“过渡阶段浓度限值”</w:t>
            </w:r>
            <w:r>
              <w:rPr>
                <w:rFonts w:hint="eastAsia" w:hAnsi="Times New Roman" w:cs="Times New Roman"/>
                <w:color w:val="auto"/>
                <w:sz w:val="24"/>
                <w:szCs w:val="20"/>
              </w:rPr>
              <w:t>二级标准</w:t>
            </w:r>
            <w:r>
              <w:rPr>
                <w:rFonts w:ascii="Times New Roman" w:hAnsi="Times New Roman"/>
                <w:bCs w:val="0"/>
                <w:color w:val="auto"/>
              </w:rPr>
              <w:t>。</w:t>
            </w:r>
          </w:p>
          <w:tbl>
            <w:tblPr>
              <w:tblStyle w:val="32"/>
              <w:tblW w:w="7974"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974"/>
            </w:tblGrid>
            <w:tr w14:paraId="623A9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974" w:type="dxa"/>
                </w:tcPr>
                <w:p w14:paraId="70E40A97">
                  <w:pPr>
                    <w:pStyle w:val="80"/>
                    <w:spacing w:line="240" w:lineRule="auto"/>
                    <w:ind w:firstLine="0" w:firstLineChars="0"/>
                    <w:jc w:val="center"/>
                    <w:rPr>
                      <w:rFonts w:hint="eastAsia" w:ascii="Times New Roman" w:hAnsi="Times New Roman" w:eastAsia="宋体" w:cs="Times New Roman"/>
                      <w:color w:val="auto"/>
                      <w:sz w:val="21"/>
                      <w:szCs w:val="21"/>
                      <w:lang w:eastAsia="zh-CN"/>
                    </w:rPr>
                  </w:pPr>
                  <w:r>
                    <w:rPr>
                      <w:color w:val="auto"/>
                    </w:rPr>
                    <w:drawing>
                      <wp:inline distT="0" distB="0" distL="114300" distR="114300">
                        <wp:extent cx="4917440" cy="1560195"/>
                        <wp:effectExtent l="0" t="0" r="16510" b="1905"/>
                        <wp:docPr id="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pic:cNvPicPr>
                                  <a:picLocks noChangeAspect="1"/>
                                </pic:cNvPicPr>
                              </pic:nvPicPr>
                              <pic:blipFill>
                                <a:blip r:embed="rId18"/>
                                <a:stretch>
                                  <a:fillRect/>
                                </a:stretch>
                              </pic:blipFill>
                              <pic:spPr>
                                <a:xfrm>
                                  <a:off x="0" y="0"/>
                                  <a:ext cx="4917440" cy="1560195"/>
                                </a:xfrm>
                                <a:prstGeom prst="rect">
                                  <a:avLst/>
                                </a:prstGeom>
                                <a:noFill/>
                                <a:ln>
                                  <a:noFill/>
                                </a:ln>
                              </pic:spPr>
                            </pic:pic>
                          </a:graphicData>
                        </a:graphic>
                      </wp:inline>
                    </w:drawing>
                  </w:r>
                </w:p>
              </w:tc>
            </w:tr>
            <w:tr w14:paraId="0DBB0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974" w:type="dxa"/>
                </w:tcPr>
                <w:p w14:paraId="0B7AF873">
                  <w:pPr>
                    <w:pStyle w:val="80"/>
                    <w:spacing w:line="240" w:lineRule="auto"/>
                    <w:ind w:firstLine="0" w:firstLineChars="0"/>
                    <w:jc w:val="center"/>
                    <w:rPr>
                      <w:rFonts w:hint="eastAsia" w:ascii="Times New Roman" w:hAnsi="Times New Roman" w:eastAsia="宋体" w:cs="Times New Roman"/>
                      <w:color w:val="auto"/>
                      <w:sz w:val="21"/>
                      <w:szCs w:val="21"/>
                      <w:lang w:eastAsia="zh-CN"/>
                    </w:rPr>
                  </w:pPr>
                  <w:r>
                    <w:rPr>
                      <w:color w:val="auto"/>
                    </w:rPr>
                    <w:drawing>
                      <wp:inline distT="0" distB="0" distL="114300" distR="114300">
                        <wp:extent cx="4920615" cy="1500505"/>
                        <wp:effectExtent l="0" t="0" r="13335" b="4445"/>
                        <wp:docPr id="5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7"/>
                                <pic:cNvPicPr>
                                  <a:picLocks noChangeAspect="1"/>
                                </pic:cNvPicPr>
                              </pic:nvPicPr>
                              <pic:blipFill>
                                <a:blip r:embed="rId19"/>
                                <a:stretch>
                                  <a:fillRect/>
                                </a:stretch>
                              </pic:blipFill>
                              <pic:spPr>
                                <a:xfrm>
                                  <a:off x="0" y="0"/>
                                  <a:ext cx="4920615" cy="1500505"/>
                                </a:xfrm>
                                <a:prstGeom prst="rect">
                                  <a:avLst/>
                                </a:prstGeom>
                                <a:noFill/>
                                <a:ln>
                                  <a:noFill/>
                                </a:ln>
                              </pic:spPr>
                            </pic:pic>
                          </a:graphicData>
                        </a:graphic>
                      </wp:inline>
                    </w:drawing>
                  </w:r>
                </w:p>
              </w:tc>
            </w:tr>
            <w:tr w14:paraId="00BD9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974" w:type="dxa"/>
                </w:tcPr>
                <w:p w14:paraId="0E14BFAC">
                  <w:pPr>
                    <w:pStyle w:val="80"/>
                    <w:spacing w:line="240" w:lineRule="auto"/>
                    <w:ind w:firstLine="0" w:firstLineChars="0"/>
                    <w:jc w:val="center"/>
                    <w:rPr>
                      <w:rFonts w:hint="eastAsia" w:ascii="Times New Roman" w:hAnsi="Times New Roman" w:eastAsia="宋体" w:cs="Times New Roman"/>
                      <w:color w:val="auto"/>
                      <w:sz w:val="21"/>
                      <w:szCs w:val="21"/>
                      <w:lang w:eastAsia="zh-CN"/>
                    </w:rPr>
                  </w:pPr>
                  <w:r>
                    <w:rPr>
                      <w:color w:val="auto"/>
                    </w:rPr>
                    <w:drawing>
                      <wp:inline distT="0" distB="0" distL="114300" distR="114300">
                        <wp:extent cx="4918075" cy="1454785"/>
                        <wp:effectExtent l="0" t="0" r="15875" b="12065"/>
                        <wp:docPr id="7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8"/>
                                <pic:cNvPicPr>
                                  <a:picLocks noChangeAspect="1"/>
                                </pic:cNvPicPr>
                              </pic:nvPicPr>
                              <pic:blipFill>
                                <a:blip r:embed="rId20"/>
                                <a:stretch>
                                  <a:fillRect/>
                                </a:stretch>
                              </pic:blipFill>
                              <pic:spPr>
                                <a:xfrm>
                                  <a:off x="0" y="0"/>
                                  <a:ext cx="4918075" cy="1454785"/>
                                </a:xfrm>
                                <a:prstGeom prst="rect">
                                  <a:avLst/>
                                </a:prstGeom>
                                <a:noFill/>
                                <a:ln>
                                  <a:noFill/>
                                </a:ln>
                              </pic:spPr>
                            </pic:pic>
                          </a:graphicData>
                        </a:graphic>
                      </wp:inline>
                    </w:drawing>
                  </w:r>
                </w:p>
              </w:tc>
            </w:tr>
            <w:tr w14:paraId="1B75A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974" w:type="dxa"/>
                </w:tcPr>
                <w:p w14:paraId="3AB68A8D">
                  <w:pPr>
                    <w:pStyle w:val="80"/>
                    <w:spacing w:line="240" w:lineRule="auto"/>
                    <w:ind w:firstLine="0" w:firstLineChars="0"/>
                    <w:jc w:val="center"/>
                    <w:rPr>
                      <w:rFonts w:hint="eastAsia" w:ascii="Times New Roman" w:hAnsi="Times New Roman" w:eastAsia="宋体" w:cs="Times New Roman"/>
                      <w:color w:val="auto"/>
                      <w:sz w:val="21"/>
                      <w:szCs w:val="21"/>
                      <w:lang w:eastAsia="zh-CN"/>
                    </w:rPr>
                  </w:pPr>
                  <w:r>
                    <w:rPr>
                      <w:color w:val="auto"/>
                    </w:rPr>
                    <w:drawing>
                      <wp:inline distT="0" distB="0" distL="114300" distR="114300">
                        <wp:extent cx="4913630" cy="1451610"/>
                        <wp:effectExtent l="0" t="0" r="1270" b="15240"/>
                        <wp:docPr id="7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9"/>
                                <pic:cNvPicPr>
                                  <a:picLocks noChangeAspect="1"/>
                                </pic:cNvPicPr>
                              </pic:nvPicPr>
                              <pic:blipFill>
                                <a:blip r:embed="rId21"/>
                                <a:stretch>
                                  <a:fillRect/>
                                </a:stretch>
                              </pic:blipFill>
                              <pic:spPr>
                                <a:xfrm>
                                  <a:off x="0" y="0"/>
                                  <a:ext cx="4913630" cy="1451610"/>
                                </a:xfrm>
                                <a:prstGeom prst="rect">
                                  <a:avLst/>
                                </a:prstGeom>
                                <a:noFill/>
                                <a:ln>
                                  <a:noFill/>
                                </a:ln>
                              </pic:spPr>
                            </pic:pic>
                          </a:graphicData>
                        </a:graphic>
                      </wp:inline>
                    </w:drawing>
                  </w:r>
                </w:p>
              </w:tc>
            </w:tr>
            <w:tr w14:paraId="594E0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974" w:type="dxa"/>
                </w:tcPr>
                <w:p w14:paraId="39A8CE53">
                  <w:pPr>
                    <w:pStyle w:val="80"/>
                    <w:spacing w:line="240" w:lineRule="auto"/>
                    <w:ind w:firstLine="0" w:firstLineChars="0"/>
                    <w:jc w:val="center"/>
                    <w:rPr>
                      <w:rFonts w:hint="eastAsia" w:ascii="Times New Roman" w:hAnsi="Times New Roman" w:eastAsia="宋体" w:cs="Times New Roman"/>
                      <w:color w:val="auto"/>
                      <w:sz w:val="21"/>
                      <w:szCs w:val="21"/>
                      <w:lang w:eastAsia="zh-CN"/>
                    </w:rPr>
                  </w:pPr>
                  <w:r>
                    <w:rPr>
                      <w:color w:val="auto"/>
                    </w:rPr>
                    <w:drawing>
                      <wp:inline distT="0" distB="0" distL="114300" distR="114300">
                        <wp:extent cx="4921885" cy="1386205"/>
                        <wp:effectExtent l="0" t="0" r="12065" b="4445"/>
                        <wp:docPr id="8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10"/>
                                <pic:cNvPicPr>
                                  <a:picLocks noChangeAspect="1"/>
                                </pic:cNvPicPr>
                              </pic:nvPicPr>
                              <pic:blipFill>
                                <a:blip r:embed="rId22"/>
                                <a:stretch>
                                  <a:fillRect/>
                                </a:stretch>
                              </pic:blipFill>
                              <pic:spPr>
                                <a:xfrm>
                                  <a:off x="0" y="0"/>
                                  <a:ext cx="4921885" cy="1386205"/>
                                </a:xfrm>
                                <a:prstGeom prst="rect">
                                  <a:avLst/>
                                </a:prstGeom>
                                <a:noFill/>
                                <a:ln>
                                  <a:noFill/>
                                </a:ln>
                              </pic:spPr>
                            </pic:pic>
                          </a:graphicData>
                        </a:graphic>
                      </wp:inline>
                    </w:drawing>
                  </w:r>
                </w:p>
              </w:tc>
            </w:tr>
            <w:tr w14:paraId="40F1A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974" w:type="dxa"/>
                </w:tcPr>
                <w:p w14:paraId="06B7FBDF">
                  <w:pPr>
                    <w:pStyle w:val="80"/>
                    <w:spacing w:line="240" w:lineRule="auto"/>
                    <w:ind w:firstLine="0" w:firstLineChars="0"/>
                    <w:jc w:val="center"/>
                    <w:rPr>
                      <w:rFonts w:hint="eastAsia" w:ascii="Times New Roman" w:hAnsi="Times New Roman" w:eastAsia="宋体" w:cs="Times New Roman"/>
                      <w:color w:val="auto"/>
                      <w:sz w:val="21"/>
                      <w:szCs w:val="21"/>
                      <w:lang w:eastAsia="zh-CN"/>
                    </w:rPr>
                  </w:pPr>
                  <w:r>
                    <w:rPr>
                      <w:color w:val="auto"/>
                    </w:rPr>
                    <w:drawing>
                      <wp:inline distT="0" distB="0" distL="114300" distR="114300">
                        <wp:extent cx="4919345" cy="1375410"/>
                        <wp:effectExtent l="0" t="0" r="14605" b="15240"/>
                        <wp:docPr id="10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1"/>
                                <pic:cNvPicPr>
                                  <a:picLocks noChangeAspect="1"/>
                                </pic:cNvPicPr>
                              </pic:nvPicPr>
                              <pic:blipFill>
                                <a:blip r:embed="rId23"/>
                                <a:stretch>
                                  <a:fillRect/>
                                </a:stretch>
                              </pic:blipFill>
                              <pic:spPr>
                                <a:xfrm>
                                  <a:off x="0" y="0"/>
                                  <a:ext cx="4919345" cy="1375410"/>
                                </a:xfrm>
                                <a:prstGeom prst="rect">
                                  <a:avLst/>
                                </a:prstGeom>
                                <a:noFill/>
                                <a:ln>
                                  <a:noFill/>
                                </a:ln>
                              </pic:spPr>
                            </pic:pic>
                          </a:graphicData>
                        </a:graphic>
                      </wp:inline>
                    </w:drawing>
                  </w:r>
                </w:p>
              </w:tc>
            </w:tr>
            <w:tr w14:paraId="513B0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974" w:type="dxa"/>
                </w:tcPr>
                <w:p w14:paraId="004B1CE1">
                  <w:pPr>
                    <w:pStyle w:val="80"/>
                    <w:spacing w:line="240" w:lineRule="auto"/>
                    <w:ind w:firstLine="0" w:firstLineChars="0"/>
                    <w:jc w:val="center"/>
                    <w:rPr>
                      <w:rFonts w:hint="eastAsia" w:ascii="Times New Roman" w:hAnsi="Times New Roman" w:eastAsia="宋体" w:cs="Times New Roman"/>
                      <w:color w:val="auto"/>
                      <w:sz w:val="21"/>
                      <w:szCs w:val="21"/>
                      <w:lang w:eastAsia="zh-CN"/>
                    </w:rPr>
                  </w:pPr>
                  <w:r>
                    <w:rPr>
                      <w:color w:val="auto"/>
                    </w:rPr>
                    <w:drawing>
                      <wp:inline distT="0" distB="0" distL="114300" distR="114300">
                        <wp:extent cx="4923790" cy="1574165"/>
                        <wp:effectExtent l="0" t="0" r="10160" b="6985"/>
                        <wp:docPr id="10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2"/>
                                <pic:cNvPicPr>
                                  <a:picLocks noChangeAspect="1"/>
                                </pic:cNvPicPr>
                              </pic:nvPicPr>
                              <pic:blipFill>
                                <a:blip r:embed="rId24"/>
                                <a:stretch>
                                  <a:fillRect/>
                                </a:stretch>
                              </pic:blipFill>
                              <pic:spPr>
                                <a:xfrm>
                                  <a:off x="0" y="0"/>
                                  <a:ext cx="4923790" cy="1574165"/>
                                </a:xfrm>
                                <a:prstGeom prst="rect">
                                  <a:avLst/>
                                </a:prstGeom>
                                <a:noFill/>
                                <a:ln>
                                  <a:noFill/>
                                </a:ln>
                              </pic:spPr>
                            </pic:pic>
                          </a:graphicData>
                        </a:graphic>
                      </wp:inline>
                    </w:drawing>
                  </w:r>
                </w:p>
              </w:tc>
            </w:tr>
            <w:tr w14:paraId="3FF7C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974" w:type="dxa"/>
                </w:tcPr>
                <w:p w14:paraId="443A3890">
                  <w:pPr>
                    <w:pStyle w:val="80"/>
                    <w:spacing w:line="240" w:lineRule="auto"/>
                    <w:ind w:firstLine="0" w:firstLineChars="0"/>
                    <w:jc w:val="center"/>
                    <w:rPr>
                      <w:rFonts w:hint="eastAsia" w:ascii="Times New Roman" w:hAnsi="Times New Roman" w:eastAsia="宋体" w:cs="Times New Roman"/>
                      <w:color w:val="auto"/>
                      <w:sz w:val="21"/>
                      <w:szCs w:val="21"/>
                      <w:lang w:eastAsia="zh-CN"/>
                    </w:rPr>
                  </w:pPr>
                  <w:r>
                    <w:rPr>
                      <w:color w:val="auto"/>
                    </w:rPr>
                    <w:drawing>
                      <wp:inline distT="0" distB="0" distL="114300" distR="114300">
                        <wp:extent cx="4916805" cy="1343025"/>
                        <wp:effectExtent l="0" t="0" r="17145" b="9525"/>
                        <wp:docPr id="10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3"/>
                                <pic:cNvPicPr>
                                  <a:picLocks noChangeAspect="1"/>
                                </pic:cNvPicPr>
                              </pic:nvPicPr>
                              <pic:blipFill>
                                <a:blip r:embed="rId25"/>
                                <a:stretch>
                                  <a:fillRect/>
                                </a:stretch>
                              </pic:blipFill>
                              <pic:spPr>
                                <a:xfrm>
                                  <a:off x="0" y="0"/>
                                  <a:ext cx="4916805" cy="1343025"/>
                                </a:xfrm>
                                <a:prstGeom prst="rect">
                                  <a:avLst/>
                                </a:prstGeom>
                                <a:noFill/>
                                <a:ln>
                                  <a:noFill/>
                                </a:ln>
                              </pic:spPr>
                            </pic:pic>
                          </a:graphicData>
                        </a:graphic>
                      </wp:inline>
                    </w:drawing>
                  </w:r>
                </w:p>
              </w:tc>
            </w:tr>
            <w:tr w14:paraId="6DAAE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974" w:type="dxa"/>
                </w:tcPr>
                <w:p w14:paraId="7B91755D">
                  <w:pPr>
                    <w:pStyle w:val="80"/>
                    <w:spacing w:line="240" w:lineRule="auto"/>
                    <w:ind w:firstLine="0" w:firstLineChars="0"/>
                    <w:jc w:val="center"/>
                    <w:rPr>
                      <w:rFonts w:hint="eastAsia" w:ascii="Times New Roman" w:hAnsi="Times New Roman" w:eastAsia="宋体" w:cs="Times New Roman"/>
                      <w:color w:val="auto"/>
                      <w:sz w:val="21"/>
                      <w:szCs w:val="21"/>
                      <w:lang w:eastAsia="zh-CN"/>
                    </w:rPr>
                  </w:pPr>
                  <w:r>
                    <w:rPr>
                      <w:color w:val="auto"/>
                    </w:rPr>
                    <w:drawing>
                      <wp:inline distT="0" distB="0" distL="114300" distR="114300">
                        <wp:extent cx="4925695" cy="1461770"/>
                        <wp:effectExtent l="0" t="0" r="8255" b="5080"/>
                        <wp:docPr id="11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4"/>
                                <pic:cNvPicPr>
                                  <a:picLocks noChangeAspect="1"/>
                                </pic:cNvPicPr>
                              </pic:nvPicPr>
                              <pic:blipFill>
                                <a:blip r:embed="rId26"/>
                                <a:stretch>
                                  <a:fillRect/>
                                </a:stretch>
                              </pic:blipFill>
                              <pic:spPr>
                                <a:xfrm>
                                  <a:off x="0" y="0"/>
                                  <a:ext cx="4925695" cy="1461770"/>
                                </a:xfrm>
                                <a:prstGeom prst="rect">
                                  <a:avLst/>
                                </a:prstGeom>
                                <a:noFill/>
                                <a:ln>
                                  <a:noFill/>
                                </a:ln>
                              </pic:spPr>
                            </pic:pic>
                          </a:graphicData>
                        </a:graphic>
                      </wp:inline>
                    </w:drawing>
                  </w:r>
                </w:p>
              </w:tc>
            </w:tr>
            <w:tr w14:paraId="2A6C5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974" w:type="dxa"/>
                </w:tcPr>
                <w:p w14:paraId="064AC1E1">
                  <w:pPr>
                    <w:pStyle w:val="80"/>
                    <w:spacing w:line="240" w:lineRule="auto"/>
                    <w:ind w:firstLine="0" w:firstLineChars="0"/>
                    <w:jc w:val="center"/>
                    <w:rPr>
                      <w:rFonts w:hint="eastAsia" w:ascii="Times New Roman" w:hAnsi="Times New Roman" w:eastAsia="宋体" w:cs="Times New Roman"/>
                      <w:color w:val="auto"/>
                      <w:sz w:val="21"/>
                      <w:szCs w:val="21"/>
                      <w:lang w:eastAsia="zh-CN"/>
                    </w:rPr>
                  </w:pPr>
                  <w:r>
                    <w:rPr>
                      <w:color w:val="auto"/>
                    </w:rPr>
                    <w:drawing>
                      <wp:inline distT="0" distB="0" distL="114300" distR="114300">
                        <wp:extent cx="4919345" cy="1486535"/>
                        <wp:effectExtent l="0" t="0" r="14605" b="18415"/>
                        <wp:docPr id="11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5"/>
                                <pic:cNvPicPr>
                                  <a:picLocks noChangeAspect="1"/>
                                </pic:cNvPicPr>
                              </pic:nvPicPr>
                              <pic:blipFill>
                                <a:blip r:embed="rId27"/>
                                <a:stretch>
                                  <a:fillRect/>
                                </a:stretch>
                              </pic:blipFill>
                              <pic:spPr>
                                <a:xfrm>
                                  <a:off x="0" y="0"/>
                                  <a:ext cx="4919345" cy="1486535"/>
                                </a:xfrm>
                                <a:prstGeom prst="rect">
                                  <a:avLst/>
                                </a:prstGeom>
                                <a:noFill/>
                                <a:ln>
                                  <a:noFill/>
                                </a:ln>
                              </pic:spPr>
                            </pic:pic>
                          </a:graphicData>
                        </a:graphic>
                      </wp:inline>
                    </w:drawing>
                  </w:r>
                </w:p>
              </w:tc>
            </w:tr>
            <w:tr w14:paraId="213F6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974" w:type="dxa"/>
                </w:tcPr>
                <w:p w14:paraId="0FBA15A1">
                  <w:pPr>
                    <w:pStyle w:val="80"/>
                    <w:spacing w:line="240" w:lineRule="auto"/>
                    <w:ind w:firstLine="0" w:firstLineChars="0"/>
                    <w:jc w:val="center"/>
                    <w:rPr>
                      <w:rFonts w:hint="eastAsia" w:ascii="Times New Roman" w:hAnsi="Times New Roman" w:eastAsia="宋体" w:cs="Times New Roman"/>
                      <w:color w:val="auto"/>
                      <w:sz w:val="21"/>
                      <w:szCs w:val="21"/>
                      <w:lang w:eastAsia="zh-CN"/>
                    </w:rPr>
                  </w:pPr>
                  <w:r>
                    <w:rPr>
                      <w:color w:val="auto"/>
                    </w:rPr>
                    <w:drawing>
                      <wp:inline distT="0" distB="0" distL="114300" distR="114300">
                        <wp:extent cx="4916805" cy="1335405"/>
                        <wp:effectExtent l="0" t="0" r="17145" b="17145"/>
                        <wp:docPr id="11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6"/>
                                <pic:cNvPicPr>
                                  <a:picLocks noChangeAspect="1"/>
                                </pic:cNvPicPr>
                              </pic:nvPicPr>
                              <pic:blipFill>
                                <a:blip r:embed="rId28"/>
                                <a:stretch>
                                  <a:fillRect/>
                                </a:stretch>
                              </pic:blipFill>
                              <pic:spPr>
                                <a:xfrm>
                                  <a:off x="0" y="0"/>
                                  <a:ext cx="4916805" cy="1335405"/>
                                </a:xfrm>
                                <a:prstGeom prst="rect">
                                  <a:avLst/>
                                </a:prstGeom>
                                <a:noFill/>
                                <a:ln>
                                  <a:noFill/>
                                </a:ln>
                              </pic:spPr>
                            </pic:pic>
                          </a:graphicData>
                        </a:graphic>
                      </wp:inline>
                    </w:drawing>
                  </w:r>
                </w:p>
              </w:tc>
            </w:tr>
            <w:tr w14:paraId="2634C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974" w:type="dxa"/>
                </w:tcPr>
                <w:p w14:paraId="19250515">
                  <w:pPr>
                    <w:pStyle w:val="80"/>
                    <w:spacing w:line="240" w:lineRule="auto"/>
                    <w:ind w:firstLine="0" w:firstLineChars="0"/>
                    <w:jc w:val="center"/>
                    <w:rPr>
                      <w:rFonts w:hint="eastAsia" w:ascii="Times New Roman" w:hAnsi="Times New Roman" w:eastAsia="宋体" w:cs="Times New Roman"/>
                      <w:color w:val="auto"/>
                      <w:sz w:val="21"/>
                      <w:szCs w:val="21"/>
                      <w:lang w:eastAsia="zh-CN"/>
                    </w:rPr>
                  </w:pPr>
                  <w:r>
                    <w:rPr>
                      <w:color w:val="auto"/>
                    </w:rPr>
                    <w:drawing>
                      <wp:inline distT="0" distB="0" distL="114300" distR="114300">
                        <wp:extent cx="4918075" cy="1433195"/>
                        <wp:effectExtent l="0" t="0" r="15875" b="14605"/>
                        <wp:docPr id="12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7"/>
                                <pic:cNvPicPr>
                                  <a:picLocks noChangeAspect="1"/>
                                </pic:cNvPicPr>
                              </pic:nvPicPr>
                              <pic:blipFill>
                                <a:blip r:embed="rId29"/>
                                <a:stretch>
                                  <a:fillRect/>
                                </a:stretch>
                              </pic:blipFill>
                              <pic:spPr>
                                <a:xfrm>
                                  <a:off x="0" y="0"/>
                                  <a:ext cx="4918075" cy="1433195"/>
                                </a:xfrm>
                                <a:prstGeom prst="rect">
                                  <a:avLst/>
                                </a:prstGeom>
                                <a:noFill/>
                                <a:ln>
                                  <a:noFill/>
                                </a:ln>
                              </pic:spPr>
                            </pic:pic>
                          </a:graphicData>
                        </a:graphic>
                      </wp:inline>
                    </w:drawing>
                  </w:r>
                </w:p>
              </w:tc>
            </w:tr>
            <w:tr w14:paraId="043FE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974" w:type="dxa"/>
                </w:tcPr>
                <w:p w14:paraId="2685CE0D">
                  <w:pPr>
                    <w:pStyle w:val="80"/>
                    <w:spacing w:line="240" w:lineRule="auto"/>
                    <w:ind w:firstLine="0" w:firstLineChars="0"/>
                    <w:jc w:val="center"/>
                    <w:rPr>
                      <w:rFonts w:hint="eastAsia" w:ascii="Times New Roman" w:hAnsi="Times New Roman" w:eastAsia="宋体" w:cs="Times New Roman"/>
                      <w:color w:val="auto"/>
                      <w:sz w:val="21"/>
                      <w:szCs w:val="21"/>
                      <w:lang w:eastAsia="zh-CN"/>
                    </w:rPr>
                  </w:pPr>
                  <w:r>
                    <w:rPr>
                      <w:rFonts w:hint="eastAsia" w:eastAsia="宋体"/>
                      <w:b/>
                      <w:bCs/>
                      <w:color w:val="auto"/>
                      <w:kern w:val="2"/>
                      <w:sz w:val="21"/>
                      <w:szCs w:val="21"/>
                      <w:lang w:eastAsia="zh-CN"/>
                    </w:rPr>
                    <w:t>图</w:t>
                  </w:r>
                  <w:r>
                    <w:rPr>
                      <w:rFonts w:hint="eastAsia" w:eastAsia="宋体"/>
                      <w:b/>
                      <w:bCs/>
                      <w:color w:val="auto"/>
                      <w:kern w:val="2"/>
                      <w:sz w:val="21"/>
                      <w:szCs w:val="21"/>
                      <w:lang w:val="en-US" w:eastAsia="zh-CN"/>
                    </w:rPr>
                    <w:t>3-2</w:t>
                  </w:r>
                  <w:r>
                    <w:rPr>
                      <w:rFonts w:hint="eastAsia" w:eastAsia="宋体"/>
                      <w:b/>
                      <w:bCs/>
                      <w:color w:val="auto"/>
                      <w:kern w:val="2"/>
                      <w:sz w:val="21"/>
                      <w:szCs w:val="21"/>
                    </w:rPr>
                    <w:t>闽侯县人民政府网站摘录截图</w:t>
                  </w:r>
                </w:p>
              </w:tc>
            </w:tr>
          </w:tbl>
          <w:p w14:paraId="2E6EBABC">
            <w:pPr>
              <w:pStyle w:val="128"/>
              <w:ind w:firstLine="480"/>
              <w:rPr>
                <w:rFonts w:ascii="Times New Roman" w:hAnsi="Times New Roman"/>
                <w:color w:val="auto"/>
              </w:rPr>
            </w:pPr>
            <w:r>
              <w:rPr>
                <w:rFonts w:hint="eastAsia" w:ascii="宋体"/>
                <w:color w:val="auto"/>
                <w:lang w:eastAsia="zh-CN"/>
              </w:rPr>
              <w:t>（</w:t>
            </w:r>
            <w:r>
              <w:rPr>
                <w:rFonts w:hint="eastAsia" w:ascii="宋体"/>
                <w:color w:val="auto"/>
                <w:lang w:val="en-US" w:eastAsia="zh-CN"/>
              </w:rPr>
              <w:t>2</w:t>
            </w:r>
            <w:r>
              <w:rPr>
                <w:rFonts w:hint="eastAsia" w:ascii="宋体"/>
                <w:color w:val="auto"/>
                <w:lang w:eastAsia="zh-CN"/>
              </w:rPr>
              <w:t>）</w:t>
            </w:r>
            <w:r>
              <w:rPr>
                <w:rFonts w:ascii="Times New Roman" w:hAnsi="Times New Roman"/>
                <w:color w:val="auto"/>
              </w:rPr>
              <w:t>特征污染因子</w:t>
            </w:r>
          </w:p>
          <w:p w14:paraId="654BC9EF">
            <w:pPr>
              <w:pStyle w:val="128"/>
              <w:ind w:firstLine="480"/>
              <w:rPr>
                <w:rFonts w:ascii="宋体" w:hAnsi="Times New Roman"/>
                <w:color w:val="auto"/>
              </w:rPr>
            </w:pPr>
            <w:r>
              <w:rPr>
                <w:rFonts w:ascii="宋体" w:hAnsi="Times New Roman"/>
                <w:color w:val="auto"/>
              </w:rPr>
              <w:t>本项目大气污染物其他污染因子为</w:t>
            </w:r>
            <w:r>
              <w:rPr>
                <w:rFonts w:ascii="Times New Roman" w:hAnsi="Times New Roman"/>
                <w:color w:val="auto"/>
              </w:rPr>
              <w:t>TSP</w:t>
            </w:r>
            <w:r>
              <w:rPr>
                <w:rFonts w:hint="eastAsia"/>
                <w:color w:val="auto"/>
                <w:lang w:eastAsia="zh-CN"/>
              </w:rPr>
              <w:t>，</w:t>
            </w:r>
            <w:r>
              <w:rPr>
                <w:rFonts w:ascii="Times New Roman" w:hAnsi="Times New Roman"/>
                <w:color w:val="auto"/>
              </w:rPr>
              <w:t>根据《关于</w:t>
            </w:r>
            <w:r>
              <w:rPr>
                <w:rFonts w:hint="eastAsia"/>
                <w:color w:val="auto"/>
                <w:lang w:eastAsia="zh-CN"/>
              </w:rPr>
              <w:t>〈</w:t>
            </w:r>
            <w:r>
              <w:rPr>
                <w:rFonts w:ascii="Times New Roman" w:hAnsi="Times New Roman"/>
                <w:color w:val="auto"/>
              </w:rPr>
              <w:t>建设项目环境影响报告表</w:t>
            </w:r>
            <w:r>
              <w:rPr>
                <w:rFonts w:hint="eastAsia"/>
                <w:color w:val="auto"/>
                <w:lang w:eastAsia="zh-CN"/>
              </w:rPr>
              <w:t>〉</w:t>
            </w:r>
            <w:r>
              <w:rPr>
                <w:rFonts w:ascii="Times New Roman" w:hAnsi="Times New Roman"/>
                <w:color w:val="auto"/>
              </w:rPr>
              <w:t>内容、格式及编制技术指南常见问题解答》（生态环境部环境工程评估中心）：</w:t>
            </w:r>
            <w:r>
              <w:rPr>
                <w:rFonts w:hint="eastAsia"/>
                <w:color w:val="auto"/>
                <w:lang w:eastAsia="zh-CN"/>
              </w:rPr>
              <w:t>“</w:t>
            </w:r>
            <w:r>
              <w:rPr>
                <w:rFonts w:ascii="Times New Roman" w:hAnsi="Times New Roman"/>
                <w:color w:val="auto"/>
              </w:rPr>
              <w:t>技术指南中提到‘排放国家、地方环境空气质量标准中有标准限值要求的特征污染物’，其中环境空气质量标准指《环境空气质量标准》</w:t>
            </w:r>
            <w:r>
              <w:rPr>
                <w:rFonts w:hint="eastAsia"/>
                <w:color w:val="auto"/>
                <w:lang w:eastAsia="zh-CN"/>
              </w:rPr>
              <w:t>（</w:t>
            </w:r>
            <w:r>
              <w:rPr>
                <w:rFonts w:ascii="Times New Roman" w:hAnsi="Times New Roman"/>
                <w:color w:val="auto"/>
              </w:rPr>
              <w:t>GB3095</w:t>
            </w:r>
            <w:r>
              <w:rPr>
                <w:rFonts w:hint="eastAsia"/>
                <w:color w:val="auto"/>
                <w:lang w:eastAsia="zh-CN"/>
              </w:rPr>
              <w:t>）</w:t>
            </w:r>
            <w:r>
              <w:rPr>
                <w:rFonts w:ascii="Times New Roman" w:hAnsi="Times New Roman"/>
                <w:color w:val="auto"/>
              </w:rPr>
              <w:t>和地方的环境空气质量标准，不包括《环境影响评价技术导则 大气环境》</w:t>
            </w:r>
            <w:r>
              <w:rPr>
                <w:rFonts w:hint="eastAsia"/>
                <w:color w:val="auto"/>
                <w:lang w:eastAsia="zh-CN"/>
              </w:rPr>
              <w:t>（</w:t>
            </w:r>
            <w:r>
              <w:rPr>
                <w:rFonts w:ascii="Times New Roman" w:hAnsi="Times New Roman"/>
                <w:color w:val="auto"/>
              </w:rPr>
              <w:t>HJ2.2-2018</w:t>
            </w:r>
            <w:r>
              <w:rPr>
                <w:rFonts w:hint="eastAsia"/>
                <w:color w:val="auto"/>
                <w:lang w:eastAsia="zh-CN"/>
              </w:rPr>
              <w:t>）</w:t>
            </w:r>
            <w:r>
              <w:rPr>
                <w:rFonts w:ascii="Times New Roman" w:hAnsi="Times New Roman"/>
                <w:color w:val="auto"/>
              </w:rPr>
              <w:t>附录D、《工业企业设计卫生标准》</w:t>
            </w:r>
            <w:r>
              <w:rPr>
                <w:rFonts w:hint="eastAsia"/>
                <w:color w:val="auto"/>
                <w:lang w:eastAsia="zh-CN"/>
              </w:rPr>
              <w:t>（</w:t>
            </w:r>
            <w:r>
              <w:rPr>
                <w:rFonts w:ascii="Times New Roman" w:hAnsi="Times New Roman"/>
                <w:color w:val="auto"/>
              </w:rPr>
              <w:t>TJ36-97</w:t>
            </w:r>
            <w:r>
              <w:rPr>
                <w:rFonts w:hint="eastAsia"/>
                <w:color w:val="auto"/>
                <w:lang w:eastAsia="zh-CN"/>
              </w:rPr>
              <w:t>）</w:t>
            </w:r>
            <w:r>
              <w:rPr>
                <w:rFonts w:ascii="Times New Roman" w:hAnsi="Times New Roman"/>
                <w:color w:val="auto"/>
              </w:rPr>
              <w:t>、《前苏联居住区标准》</w:t>
            </w:r>
            <w:r>
              <w:rPr>
                <w:rFonts w:hint="eastAsia"/>
                <w:color w:val="auto"/>
                <w:lang w:eastAsia="zh-CN"/>
              </w:rPr>
              <w:t>（</w:t>
            </w:r>
            <w:r>
              <w:rPr>
                <w:rFonts w:ascii="Times New Roman" w:hAnsi="Times New Roman"/>
                <w:color w:val="auto"/>
              </w:rPr>
              <w:t>CH245-71</w:t>
            </w:r>
            <w:r>
              <w:rPr>
                <w:rFonts w:hint="eastAsia"/>
                <w:color w:val="auto"/>
                <w:lang w:eastAsia="zh-CN"/>
              </w:rPr>
              <w:t>）</w:t>
            </w:r>
            <w:r>
              <w:rPr>
                <w:rFonts w:ascii="Times New Roman" w:hAnsi="Times New Roman"/>
                <w:color w:val="auto"/>
              </w:rPr>
              <w:t>、《环境影响评价技术导则 制药建设项目》</w:t>
            </w:r>
            <w:r>
              <w:rPr>
                <w:rFonts w:hint="eastAsia"/>
                <w:color w:val="auto"/>
                <w:lang w:eastAsia="zh-CN"/>
              </w:rPr>
              <w:t>（</w:t>
            </w:r>
            <w:r>
              <w:rPr>
                <w:rFonts w:ascii="Times New Roman" w:hAnsi="Times New Roman"/>
                <w:color w:val="auto"/>
              </w:rPr>
              <w:t>HJ611-2011</w:t>
            </w:r>
            <w:r>
              <w:rPr>
                <w:rFonts w:hint="eastAsia"/>
                <w:color w:val="auto"/>
                <w:lang w:eastAsia="zh-CN"/>
              </w:rPr>
              <w:t>）</w:t>
            </w:r>
            <w:r>
              <w:rPr>
                <w:rFonts w:ascii="Times New Roman" w:hAnsi="Times New Roman"/>
                <w:color w:val="auto"/>
              </w:rPr>
              <w:t>、《大气污染物综合排放标准详解》等导则或参考资料。排放的特征污染物需要在国家、地方环境空气质量标准中有限值要求才涉及现状监测，且优先引用现有监测数据</w:t>
            </w:r>
            <w:r>
              <w:rPr>
                <w:rFonts w:hint="eastAsia"/>
                <w:color w:val="auto"/>
                <w:lang w:eastAsia="zh-CN"/>
              </w:rPr>
              <w:t>”</w:t>
            </w:r>
            <w:r>
              <w:rPr>
                <w:rFonts w:ascii="Times New Roman" w:hAnsi="Times New Roman"/>
                <w:color w:val="auto"/>
              </w:rPr>
              <w:t>。</w:t>
            </w:r>
          </w:p>
          <w:p w14:paraId="14AE27B7">
            <w:pPr>
              <w:pStyle w:val="128"/>
              <w:ind w:firstLine="480"/>
              <w:rPr>
                <w:rFonts w:ascii="Times New Roman" w:hAnsi="Times New Roman"/>
                <w:color w:val="auto"/>
              </w:rPr>
            </w:pPr>
            <w:bookmarkStart w:id="10" w:name="_Hlk159510679"/>
            <w:r>
              <w:rPr>
                <w:rFonts w:hint="eastAsia" w:ascii="Times New Roman" w:hAnsi="Times New Roman"/>
                <w:color w:val="auto"/>
              </w:rPr>
              <w:t>项目排放的特征污染物</w:t>
            </w:r>
            <w:r>
              <w:rPr>
                <w:rFonts w:ascii="Times New Roman" w:hAnsi="Times New Roman"/>
                <w:color w:val="auto"/>
              </w:rPr>
              <w:t>TSP</w:t>
            </w:r>
            <w:bookmarkEnd w:id="10"/>
            <w:r>
              <w:rPr>
                <w:rFonts w:ascii="Times New Roman" w:hAnsi="Times New Roman"/>
                <w:color w:val="auto"/>
              </w:rPr>
              <w:t>，</w:t>
            </w:r>
            <w:r>
              <w:rPr>
                <w:rFonts w:hint="eastAsia"/>
                <w:color w:val="auto"/>
                <w:lang w:eastAsia="zh-CN"/>
              </w:rPr>
              <w:t>建设单位</w:t>
            </w:r>
            <w:r>
              <w:rPr>
                <w:rFonts w:hint="eastAsia" w:ascii="Times New Roman" w:hAnsi="Times New Roman"/>
                <w:color w:val="auto"/>
              </w:rPr>
              <w:t>委托福建九五检测技术服务有限公司对</w:t>
            </w:r>
            <w:bookmarkStart w:id="11" w:name="_Hlk198731269"/>
            <w:r>
              <w:rPr>
                <w:rFonts w:hint="eastAsia"/>
                <w:color w:val="auto"/>
              </w:rPr>
              <w:t>厂区</w:t>
            </w:r>
            <w:r>
              <w:rPr>
                <w:rFonts w:hint="eastAsia"/>
                <w:color w:val="auto"/>
                <w:lang w:eastAsia="zh-CN"/>
              </w:rPr>
              <w:t>地块</w:t>
            </w:r>
            <w:bookmarkEnd w:id="11"/>
            <w:r>
              <w:rPr>
                <w:rFonts w:hint="eastAsia"/>
                <w:color w:val="auto"/>
                <w:lang w:val="en-US" w:eastAsia="zh-CN"/>
              </w:rPr>
              <w:t>TSP现状进行监测</w:t>
            </w:r>
            <w:r>
              <w:rPr>
                <w:rFonts w:ascii="Times New Roman" w:hAnsi="Times New Roman"/>
                <w:color w:val="auto"/>
              </w:rPr>
              <w:t>，监测时</w:t>
            </w:r>
            <w:r>
              <w:rPr>
                <w:rFonts w:hint="eastAsia"/>
                <w:color w:val="auto"/>
                <w:lang w:eastAsia="zh-CN"/>
              </w:rPr>
              <w:t>间为</w:t>
            </w:r>
            <w:r>
              <w:rPr>
                <w:rFonts w:ascii="Times New Roman" w:hAnsi="Times New Roman"/>
                <w:color w:val="auto"/>
              </w:rPr>
              <w:t>202</w:t>
            </w:r>
            <w:r>
              <w:rPr>
                <w:rFonts w:hint="eastAsia"/>
                <w:color w:val="auto"/>
                <w:lang w:val="en-US" w:eastAsia="zh-CN"/>
              </w:rPr>
              <w:t>5</w:t>
            </w:r>
            <w:r>
              <w:rPr>
                <w:rFonts w:ascii="Times New Roman" w:hAnsi="Times New Roman"/>
                <w:color w:val="auto"/>
              </w:rPr>
              <w:t>年</w:t>
            </w:r>
            <w:r>
              <w:rPr>
                <w:rFonts w:hint="eastAsia" w:ascii="Times New Roman" w:hAnsi="Times New Roman"/>
                <w:color w:val="auto"/>
              </w:rPr>
              <w:t>1</w:t>
            </w:r>
            <w:r>
              <w:rPr>
                <w:rFonts w:hint="eastAsia"/>
                <w:color w:val="auto"/>
                <w:lang w:val="en-US" w:eastAsia="zh-CN"/>
              </w:rPr>
              <w:t>2</w:t>
            </w:r>
            <w:r>
              <w:rPr>
                <w:rFonts w:ascii="Times New Roman" w:hAnsi="Times New Roman"/>
                <w:color w:val="auto"/>
              </w:rPr>
              <w:t>月1</w:t>
            </w:r>
            <w:r>
              <w:rPr>
                <w:rFonts w:hint="eastAsia"/>
                <w:color w:val="auto"/>
                <w:lang w:val="en-US" w:eastAsia="zh-CN"/>
              </w:rPr>
              <w:t>3</w:t>
            </w:r>
            <w:r>
              <w:rPr>
                <w:rFonts w:hint="eastAsia" w:ascii="Times New Roman" w:hAnsi="Times New Roman"/>
                <w:color w:val="auto"/>
              </w:rPr>
              <w:t>日</w:t>
            </w:r>
            <w:r>
              <w:rPr>
                <w:rFonts w:hint="eastAsia"/>
                <w:color w:val="auto"/>
                <w:lang w:eastAsia="zh-CN"/>
              </w:rPr>
              <w:t>至2025年12</w:t>
            </w:r>
            <w:r>
              <w:rPr>
                <w:rFonts w:ascii="Times New Roman" w:hAnsi="Times New Roman"/>
                <w:color w:val="auto"/>
              </w:rPr>
              <w:t>月</w:t>
            </w:r>
            <w:r>
              <w:rPr>
                <w:rFonts w:hint="eastAsia" w:ascii="Times New Roman" w:hAnsi="Times New Roman"/>
                <w:color w:val="auto"/>
              </w:rPr>
              <w:t>1</w:t>
            </w:r>
            <w:r>
              <w:rPr>
                <w:rFonts w:hint="eastAsia"/>
                <w:color w:val="auto"/>
                <w:lang w:val="en-US" w:eastAsia="zh-CN"/>
              </w:rPr>
              <w:t>6</w:t>
            </w:r>
            <w:r>
              <w:rPr>
                <w:rFonts w:ascii="Times New Roman" w:hAnsi="Times New Roman"/>
                <w:color w:val="auto"/>
              </w:rPr>
              <w:t>日，</w:t>
            </w:r>
            <w:r>
              <w:rPr>
                <w:rFonts w:hint="eastAsia" w:ascii="Times New Roman" w:hAnsi="Times New Roman"/>
                <w:color w:val="auto"/>
              </w:rPr>
              <w:t>检测点位图见图</w:t>
            </w:r>
            <w:r>
              <w:rPr>
                <w:rFonts w:hint="eastAsia"/>
                <w:color w:val="auto"/>
                <w:lang w:val="en-US" w:eastAsia="zh-CN"/>
              </w:rPr>
              <w:t>3-3</w:t>
            </w:r>
            <w:r>
              <w:rPr>
                <w:rFonts w:hint="eastAsia" w:ascii="Times New Roman" w:hAnsi="Times New Roman"/>
                <w:color w:val="auto"/>
              </w:rPr>
              <w:t>，</w:t>
            </w:r>
            <w:r>
              <w:rPr>
                <w:rFonts w:ascii="Times New Roman" w:hAnsi="Times New Roman"/>
                <w:color w:val="auto"/>
              </w:rPr>
              <w:t>大气环境质量监测</w:t>
            </w:r>
            <w:r>
              <w:rPr>
                <w:rFonts w:hint="eastAsia" w:ascii="Times New Roman" w:hAnsi="Times New Roman"/>
                <w:color w:val="auto"/>
              </w:rPr>
              <w:t>结果见表3.1-2</w:t>
            </w:r>
            <w:r>
              <w:rPr>
                <w:rFonts w:ascii="Times New Roman" w:hAnsi="Times New Roman"/>
                <w:color w:val="auto"/>
              </w:rPr>
              <w:t>。</w:t>
            </w:r>
          </w:p>
          <w:p w14:paraId="3BFDF28E">
            <w:pPr>
              <w:spacing w:line="360" w:lineRule="auto"/>
              <w:ind w:firstLine="480" w:firstLineChars="200"/>
              <w:rPr>
                <w:rFonts w:hint="eastAsia" w:ascii="Times New Roman" w:hAnsi="Times New Roman"/>
                <w:color w:val="auto"/>
                <w:sz w:val="24"/>
                <w:szCs w:val="24"/>
                <w:lang w:eastAsia="zh-CN"/>
              </w:rPr>
            </w:pPr>
            <w:r>
              <w:rPr>
                <w:rFonts w:ascii="Times New Roman" w:hAnsi="Times New Roman"/>
                <w:color w:val="auto"/>
                <w:sz w:val="24"/>
                <w:szCs w:val="24"/>
              </w:rPr>
              <w:t>综上，项目所在区域环境空气质量符合</w:t>
            </w:r>
            <w:r>
              <w:rPr>
                <w:rFonts w:hint="eastAsia"/>
                <w:color w:val="auto"/>
                <w:sz w:val="24"/>
                <w:szCs w:val="24"/>
                <w:lang w:eastAsia="zh-CN"/>
              </w:rPr>
              <w:t>《环境空气质量标准》（GB3095-2026）</w:t>
            </w:r>
            <w:r>
              <w:rPr>
                <w:rFonts w:hint="eastAsia" w:hAnsi="Times New Roman" w:cs="Times New Roman"/>
                <w:color w:val="auto"/>
                <w:sz w:val="24"/>
                <w:szCs w:val="20"/>
                <w:lang w:eastAsia="zh-CN"/>
              </w:rPr>
              <w:t>表</w:t>
            </w:r>
            <w:r>
              <w:rPr>
                <w:rFonts w:hint="eastAsia" w:cs="Times New Roman"/>
                <w:color w:val="auto"/>
                <w:sz w:val="24"/>
                <w:szCs w:val="20"/>
                <w:lang w:val="en-US" w:eastAsia="zh-CN"/>
              </w:rPr>
              <w:t>2</w:t>
            </w:r>
            <w:r>
              <w:rPr>
                <w:rFonts w:hint="eastAsia" w:hAnsi="Times New Roman" w:cs="Times New Roman"/>
                <w:color w:val="auto"/>
                <w:sz w:val="24"/>
                <w:szCs w:val="20"/>
              </w:rPr>
              <w:t>中二级标准</w:t>
            </w:r>
            <w:r>
              <w:rPr>
                <w:rFonts w:ascii="Times New Roman" w:hAnsi="Times New Roman"/>
                <w:color w:val="auto"/>
                <w:sz w:val="24"/>
                <w:szCs w:val="24"/>
              </w:rPr>
              <w:t>，现状良好。</w:t>
            </w:r>
          </w:p>
          <w:p w14:paraId="1E5B295C">
            <w:pPr>
              <w:spacing w:line="360" w:lineRule="auto"/>
              <w:ind w:firstLine="480" w:firstLineChars="200"/>
              <w:rPr>
                <w:rFonts w:hint="default" w:ascii="Times New Roman" w:hAnsi="Times New Roman" w:eastAsia="宋体" w:cs="Times New Roman"/>
                <w:bCs/>
                <w:color w:val="auto"/>
                <w:sz w:val="24"/>
                <w:highlight w:val="none"/>
                <w:lang w:eastAsia="zh-CN"/>
              </w:rPr>
            </w:pPr>
            <w:r>
              <w:rPr>
                <w:rFonts w:hint="eastAsia" w:ascii="Times New Roman" w:hAnsi="Times New Roman"/>
                <w:color w:val="auto"/>
                <w:sz w:val="24"/>
                <w:szCs w:val="24"/>
                <w:lang w:eastAsia="zh-CN"/>
              </w:rPr>
              <w:t>（</w:t>
            </w:r>
            <w:r>
              <w:rPr>
                <w:rFonts w:hint="eastAsia"/>
                <w:color w:val="auto"/>
                <w:sz w:val="24"/>
                <w:szCs w:val="24"/>
                <w:lang w:val="en-US" w:eastAsia="zh-CN"/>
              </w:rPr>
              <w:t>3</w:t>
            </w:r>
            <w:r>
              <w:rPr>
                <w:rFonts w:hint="eastAsia" w:ascii="Times New Roman" w:hAnsi="Times New Roman"/>
                <w:color w:val="auto"/>
                <w:sz w:val="24"/>
                <w:szCs w:val="24"/>
                <w:lang w:eastAsia="zh-CN"/>
              </w:rPr>
              <w:t>）</w:t>
            </w:r>
            <w:r>
              <w:rPr>
                <w:rFonts w:hint="eastAsia" w:ascii="Times New Roman" w:hAnsi="Times New Roman" w:cs="Times New Roman"/>
                <w:bCs/>
                <w:color w:val="auto"/>
                <w:sz w:val="24"/>
                <w:highlight w:val="none"/>
                <w:lang w:eastAsia="zh-CN"/>
              </w:rPr>
              <w:t>引用数据有效性分析</w:t>
            </w:r>
          </w:p>
          <w:p w14:paraId="4D90EA55">
            <w:pPr>
              <w:pStyle w:val="9"/>
              <w:spacing w:line="360" w:lineRule="auto"/>
              <w:ind w:firstLine="480" w:firstLineChars="200"/>
              <w:rPr>
                <w:rFonts w:ascii="Times New Roman" w:hAnsi="Times New Roman"/>
                <w:color w:val="auto"/>
                <w:sz w:val="24"/>
                <w:szCs w:val="24"/>
              </w:rPr>
            </w:pPr>
            <w:r>
              <w:rPr>
                <w:rFonts w:hint="eastAsia" w:ascii="Times New Roman" w:hAnsi="Times New Roman"/>
                <w:color w:val="auto"/>
                <w:sz w:val="24"/>
                <w:szCs w:val="24"/>
              </w:rPr>
              <w:t>根据《建设项目环境影响报告表编制技术指南（污染影响类）（试行）》</w:t>
            </w:r>
            <w:r>
              <w:rPr>
                <w:rFonts w:hint="eastAsia" w:ascii="Times New Roman" w:hAnsi="Times New Roman"/>
                <w:color w:val="auto"/>
                <w:sz w:val="24"/>
                <w:szCs w:val="24"/>
                <w:lang w:eastAsia="zh-CN"/>
              </w:rPr>
              <w:t>中</w:t>
            </w:r>
            <w:r>
              <w:rPr>
                <w:rFonts w:hint="eastAsia" w:ascii="Times New Roman" w:hAnsi="Times New Roman"/>
                <w:color w:val="auto"/>
                <w:sz w:val="24"/>
                <w:szCs w:val="24"/>
              </w:rPr>
              <w:t>要求</w:t>
            </w:r>
            <w:r>
              <w:rPr>
                <w:rFonts w:hint="eastAsia" w:ascii="Times New Roman" w:hAnsi="Times New Roman"/>
                <w:color w:val="auto"/>
                <w:sz w:val="24"/>
                <w:szCs w:val="24"/>
                <w:lang w:eastAsia="zh-CN"/>
              </w:rPr>
              <w:t>：</w:t>
            </w:r>
            <w:r>
              <w:rPr>
                <w:rFonts w:hint="eastAsia" w:ascii="Times New Roman" w:hAnsi="Times New Roman"/>
                <w:color w:val="auto"/>
                <w:sz w:val="24"/>
                <w:szCs w:val="24"/>
              </w:rPr>
              <w:t>“常规污染物引用与建设项目距离近的有效数据，包括近3年的规划环境影响评价的监测数据，国家、地方环境空气质量监测网数据或生态环境主管部门公开发布的质量数据等。排放国家、地方环境空气质量标准中有标准限值要求的特征污染物时，引用建设项目周边5千米范围内近3年的现有监测数据，无相关数据的选择当季主导风向下风向1个点位补充不少于3天的监测数据。”，此次评价</w:t>
            </w:r>
            <w:r>
              <w:rPr>
                <w:rFonts w:hint="eastAsia" w:ascii="Times New Roman" w:hAnsi="Times New Roman"/>
                <w:color w:val="auto"/>
                <w:sz w:val="24"/>
                <w:szCs w:val="24"/>
                <w:lang w:eastAsia="zh-CN"/>
              </w:rPr>
              <w:t>污染物常规因子</w:t>
            </w:r>
            <w:r>
              <w:rPr>
                <w:rFonts w:hint="eastAsia" w:ascii="Times New Roman" w:hAnsi="Times New Roman"/>
                <w:color w:val="auto"/>
                <w:sz w:val="24"/>
                <w:szCs w:val="24"/>
              </w:rPr>
              <w:t>选取福建省生态环境厅发布的</w:t>
            </w:r>
            <w:r>
              <w:rPr>
                <w:rFonts w:hint="eastAsia" w:ascii="Times New Roman" w:hAnsi="Times New Roman"/>
                <w:color w:val="auto"/>
                <w:sz w:val="24"/>
                <w:szCs w:val="24"/>
                <w:lang w:eastAsia="zh-CN"/>
              </w:rPr>
              <w:t>环境空气</w:t>
            </w:r>
            <w:r>
              <w:rPr>
                <w:rFonts w:hint="eastAsia" w:ascii="Times New Roman" w:hAnsi="Times New Roman"/>
                <w:color w:val="auto"/>
                <w:sz w:val="24"/>
                <w:szCs w:val="24"/>
              </w:rPr>
              <w:t>质量状况，符合《建设项目环境影响报告表编制技术指南</w:t>
            </w:r>
            <w:r>
              <w:rPr>
                <w:rFonts w:hint="eastAsia" w:ascii="Times New Roman" w:hAnsi="Times New Roman"/>
                <w:color w:val="auto"/>
                <w:sz w:val="24"/>
                <w:szCs w:val="24"/>
                <w:lang w:eastAsia="zh-CN"/>
              </w:rPr>
              <w:t>（</w:t>
            </w:r>
            <w:r>
              <w:rPr>
                <w:rFonts w:hint="eastAsia" w:ascii="Times New Roman" w:hAnsi="Times New Roman"/>
                <w:color w:val="auto"/>
                <w:sz w:val="24"/>
                <w:szCs w:val="24"/>
              </w:rPr>
              <w:t>污染影响类</w:t>
            </w:r>
            <w:r>
              <w:rPr>
                <w:rFonts w:hint="eastAsia" w:ascii="Times New Roman" w:hAnsi="Times New Roman"/>
                <w:color w:val="auto"/>
                <w:sz w:val="24"/>
                <w:szCs w:val="24"/>
                <w:lang w:eastAsia="zh-CN"/>
              </w:rPr>
              <w:t>）（</w:t>
            </w:r>
            <w:r>
              <w:rPr>
                <w:rFonts w:hint="eastAsia" w:ascii="Times New Roman" w:hAnsi="Times New Roman"/>
                <w:color w:val="auto"/>
                <w:sz w:val="24"/>
                <w:szCs w:val="24"/>
              </w:rPr>
              <w:t>试行</w:t>
            </w:r>
            <w:r>
              <w:rPr>
                <w:rFonts w:hint="eastAsia" w:ascii="Times New Roman" w:hAnsi="Times New Roman"/>
                <w:color w:val="auto"/>
                <w:sz w:val="24"/>
                <w:szCs w:val="24"/>
                <w:lang w:eastAsia="zh-CN"/>
              </w:rPr>
              <w:t>）</w:t>
            </w:r>
            <w:r>
              <w:rPr>
                <w:rFonts w:hint="eastAsia" w:ascii="Times New Roman" w:hAnsi="Times New Roman"/>
                <w:color w:val="auto"/>
                <w:sz w:val="24"/>
                <w:szCs w:val="24"/>
              </w:rPr>
              <w:t>》的要求，</w:t>
            </w:r>
            <w:r>
              <w:rPr>
                <w:rFonts w:hint="eastAsia" w:ascii="Times New Roman" w:hAnsi="Times New Roman"/>
                <w:color w:val="auto"/>
                <w:sz w:val="24"/>
                <w:szCs w:val="24"/>
                <w:lang w:eastAsia="zh-CN"/>
              </w:rPr>
              <w:t>污染物特征因子引用项目用地内</w:t>
            </w:r>
            <w:r>
              <w:rPr>
                <w:rFonts w:hint="eastAsia" w:ascii="Times New Roman" w:hAnsi="Times New Roman"/>
                <w:color w:val="auto"/>
                <w:sz w:val="24"/>
                <w:szCs w:val="24"/>
                <w:lang w:val="en-US" w:eastAsia="zh-CN"/>
              </w:rPr>
              <w:t>2025年现状</w:t>
            </w:r>
            <w:r>
              <w:rPr>
                <w:rFonts w:hint="eastAsia" w:ascii="Times New Roman" w:hAnsi="Times New Roman"/>
                <w:color w:val="auto"/>
                <w:sz w:val="24"/>
                <w:szCs w:val="24"/>
              </w:rPr>
              <w:t>监测数据</w:t>
            </w:r>
            <w:r>
              <w:rPr>
                <w:rFonts w:hint="eastAsia" w:ascii="Times New Roman" w:hAnsi="Times New Roman"/>
                <w:color w:val="auto"/>
                <w:sz w:val="24"/>
                <w:szCs w:val="24"/>
                <w:lang w:eastAsia="zh-CN"/>
              </w:rPr>
              <w:t>，引用数据</w:t>
            </w:r>
            <w:r>
              <w:rPr>
                <w:rFonts w:hint="eastAsia" w:ascii="Times New Roman" w:hAnsi="Times New Roman"/>
                <w:color w:val="auto"/>
                <w:sz w:val="24"/>
                <w:szCs w:val="24"/>
              </w:rPr>
              <w:t>有效可行。</w:t>
            </w:r>
          </w:p>
          <w:p w14:paraId="6EB399E7">
            <w:pPr>
              <w:pStyle w:val="4"/>
              <w:ind w:firstLine="120"/>
              <w:rPr>
                <w:rFonts w:hint="default"/>
                <w:color w:val="auto"/>
                <w:lang w:val="en-GB"/>
              </w:rPr>
            </w:pPr>
            <w:r>
              <w:rPr>
                <w:color w:val="auto"/>
              </w:rPr>
              <w:t>3.2地表水</w:t>
            </w:r>
          </w:p>
          <w:p w14:paraId="7E0AD163">
            <w:pPr>
              <w:pStyle w:val="5"/>
              <w:ind w:firstLine="241"/>
              <w:rPr>
                <w:rFonts w:hint="default"/>
                <w:color w:val="auto"/>
              </w:rPr>
            </w:pPr>
            <w:r>
              <w:rPr>
                <w:color w:val="auto"/>
              </w:rPr>
              <w:t>3.2.1环境功能区划及环境质量标准</w:t>
            </w:r>
          </w:p>
          <w:p w14:paraId="7F198B89">
            <w:pPr>
              <w:spacing w:line="360" w:lineRule="auto"/>
              <w:ind w:firstLine="480" w:firstLineChars="200"/>
              <w:rPr>
                <w:rFonts w:hint="eastAsia"/>
                <w:bCs/>
                <w:color w:val="auto"/>
                <w:sz w:val="24"/>
              </w:rPr>
            </w:pPr>
            <w:r>
              <w:rPr>
                <w:rFonts w:hint="eastAsia"/>
                <w:bCs/>
                <w:color w:val="auto"/>
                <w:sz w:val="24"/>
              </w:rPr>
              <w:t>本项目</w:t>
            </w:r>
            <w:r>
              <w:rPr>
                <w:rFonts w:hint="eastAsia"/>
                <w:bCs/>
                <w:color w:val="auto"/>
                <w:sz w:val="24"/>
                <w:lang w:eastAsia="zh-CN"/>
              </w:rPr>
              <w:t>生活污水</w:t>
            </w:r>
            <w:r>
              <w:rPr>
                <w:rFonts w:hint="eastAsia"/>
                <w:bCs/>
                <w:color w:val="auto"/>
                <w:sz w:val="24"/>
              </w:rPr>
              <w:t>经厂内</w:t>
            </w:r>
            <w:r>
              <w:rPr>
                <w:rFonts w:hint="eastAsia"/>
                <w:bCs/>
                <w:color w:val="auto"/>
                <w:sz w:val="24"/>
                <w:lang w:eastAsia="zh-CN"/>
              </w:rPr>
              <w:t>化粪池</w:t>
            </w:r>
            <w:r>
              <w:rPr>
                <w:rFonts w:hint="eastAsia"/>
                <w:bCs/>
                <w:color w:val="auto"/>
                <w:sz w:val="24"/>
              </w:rPr>
              <w:t>处理达标后排入市政污水管网，排入竹岐乡污水处理厂进行深度处理，</w:t>
            </w:r>
            <w:r>
              <w:rPr>
                <w:rFonts w:hint="eastAsia"/>
                <w:bCs/>
                <w:color w:val="auto"/>
                <w:sz w:val="24"/>
                <w:lang w:eastAsia="zh-CN"/>
              </w:rPr>
              <w:t>污水处理厂</w:t>
            </w:r>
            <w:r>
              <w:rPr>
                <w:rFonts w:hint="eastAsia"/>
                <w:bCs/>
                <w:color w:val="auto"/>
                <w:sz w:val="24"/>
              </w:rPr>
              <w:t>尾水排入</w:t>
            </w:r>
            <w:r>
              <w:rPr>
                <w:rFonts w:hint="eastAsia"/>
                <w:bCs/>
                <w:color w:val="auto"/>
                <w:sz w:val="24"/>
                <w:lang w:eastAsia="zh-CN"/>
              </w:rPr>
              <w:t>高洲河</w:t>
            </w:r>
            <w:r>
              <w:rPr>
                <w:rFonts w:hint="eastAsia"/>
                <w:bCs/>
                <w:color w:val="auto"/>
                <w:sz w:val="24"/>
              </w:rPr>
              <w:t>。</w:t>
            </w:r>
          </w:p>
          <w:p w14:paraId="19C831B8">
            <w:pPr>
              <w:spacing w:line="360" w:lineRule="auto"/>
              <w:ind w:firstLine="480" w:firstLineChars="200"/>
              <w:rPr>
                <w:bCs/>
                <w:color w:val="auto"/>
                <w:sz w:val="24"/>
              </w:rPr>
            </w:pPr>
            <w:r>
              <w:rPr>
                <w:rFonts w:hint="eastAsia"/>
                <w:bCs/>
                <w:color w:val="auto"/>
                <w:sz w:val="24"/>
              </w:rPr>
              <w:t>根据《福州市水功能区划》</w:t>
            </w:r>
            <w:r>
              <w:rPr>
                <w:rFonts w:hint="eastAsia"/>
                <w:bCs/>
                <w:color w:val="auto"/>
                <w:sz w:val="24"/>
                <w:lang w:eastAsia="zh-CN"/>
              </w:rPr>
              <w:t>（</w:t>
            </w:r>
            <w:r>
              <w:rPr>
                <w:rFonts w:hint="eastAsia"/>
                <w:bCs/>
                <w:color w:val="auto"/>
                <w:sz w:val="24"/>
              </w:rPr>
              <w:t>榕政综</w:t>
            </w:r>
            <w:r>
              <w:rPr>
                <w:rFonts w:hint="eastAsia" w:ascii="宋体" w:hAnsi="宋体" w:eastAsia="宋体" w:cs="宋体"/>
                <w:bCs/>
                <w:color w:val="auto"/>
                <w:sz w:val="24"/>
              </w:rPr>
              <w:t>〔</w:t>
            </w:r>
            <w:r>
              <w:rPr>
                <w:rFonts w:hint="eastAsia"/>
                <w:bCs/>
                <w:color w:val="auto"/>
                <w:sz w:val="24"/>
              </w:rPr>
              <w:t>2019</w:t>
            </w:r>
            <w:r>
              <w:rPr>
                <w:rFonts w:hint="eastAsia" w:ascii="宋体" w:hAnsi="宋体" w:eastAsia="宋体" w:cs="宋体"/>
                <w:bCs/>
                <w:color w:val="auto"/>
                <w:sz w:val="24"/>
              </w:rPr>
              <w:t>〕</w:t>
            </w:r>
            <w:r>
              <w:rPr>
                <w:rFonts w:hint="eastAsia"/>
                <w:bCs/>
                <w:color w:val="auto"/>
                <w:sz w:val="24"/>
              </w:rPr>
              <w:t>316号</w:t>
            </w:r>
            <w:r>
              <w:rPr>
                <w:rFonts w:hint="eastAsia"/>
                <w:bCs/>
                <w:color w:val="auto"/>
                <w:sz w:val="24"/>
                <w:lang w:eastAsia="zh-CN"/>
              </w:rPr>
              <w:t>）</w:t>
            </w:r>
            <w:r>
              <w:rPr>
                <w:rFonts w:hint="eastAsia"/>
                <w:bCs/>
                <w:color w:val="auto"/>
                <w:sz w:val="24"/>
              </w:rPr>
              <w:t>，本项目纳污水域</w:t>
            </w:r>
            <w:r>
              <w:rPr>
                <w:rFonts w:hint="eastAsia"/>
                <w:bCs/>
                <w:color w:val="auto"/>
                <w:sz w:val="24"/>
                <w:lang w:eastAsia="zh-CN"/>
              </w:rPr>
              <w:t>属于福州市地表水环境功能区划定方案附表1、附表2中未提到的河流</w:t>
            </w:r>
            <w:r>
              <w:rPr>
                <w:rFonts w:hint="eastAsia"/>
                <w:bCs/>
                <w:color w:val="auto"/>
                <w:sz w:val="24"/>
              </w:rPr>
              <w:t>，水质执行《地表水环境质量标准》</w:t>
            </w:r>
            <w:r>
              <w:rPr>
                <w:rFonts w:hint="eastAsia"/>
                <w:bCs/>
                <w:color w:val="auto"/>
                <w:sz w:val="24"/>
                <w:lang w:eastAsia="zh-CN"/>
              </w:rPr>
              <w:t>（</w:t>
            </w:r>
            <w:r>
              <w:rPr>
                <w:rFonts w:hint="eastAsia"/>
                <w:bCs/>
                <w:color w:val="auto"/>
                <w:sz w:val="24"/>
              </w:rPr>
              <w:t>GB3838-2002</w:t>
            </w:r>
            <w:r>
              <w:rPr>
                <w:rFonts w:hint="eastAsia"/>
                <w:bCs/>
                <w:color w:val="auto"/>
                <w:sz w:val="24"/>
                <w:lang w:eastAsia="zh-CN"/>
              </w:rPr>
              <w:t>）</w:t>
            </w:r>
            <w:r>
              <w:rPr>
                <w:rFonts w:hint="eastAsia"/>
                <w:bCs/>
                <w:color w:val="auto"/>
                <w:sz w:val="24"/>
              </w:rPr>
              <w:t>中</w:t>
            </w:r>
            <w:r>
              <w:rPr>
                <w:rFonts w:hint="eastAsia" w:ascii="宋体" w:hAnsi="宋体" w:eastAsia="宋体" w:cs="宋体"/>
                <w:bCs/>
                <w:color w:val="auto"/>
                <w:sz w:val="24"/>
              </w:rPr>
              <w:t>Ⅲ</w:t>
            </w:r>
            <w:r>
              <w:rPr>
                <w:rFonts w:hint="eastAsia"/>
                <w:bCs/>
                <w:color w:val="auto"/>
                <w:sz w:val="24"/>
              </w:rPr>
              <w:t>类标准，详见表</w:t>
            </w:r>
            <w:r>
              <w:rPr>
                <w:rFonts w:hint="eastAsia"/>
                <w:bCs/>
                <w:color w:val="auto"/>
                <w:sz w:val="24"/>
                <w:lang w:val="en-US" w:eastAsia="zh-CN"/>
              </w:rPr>
              <w:t>3.2-1</w:t>
            </w:r>
            <w:r>
              <w:rPr>
                <w:bCs/>
                <w:color w:val="auto"/>
                <w:sz w:val="24"/>
              </w:rPr>
              <w:t>。</w:t>
            </w:r>
          </w:p>
          <w:p w14:paraId="5203A1A8">
            <w:pPr>
              <w:pStyle w:val="11"/>
              <w:jc w:val="center"/>
              <w:rPr>
                <w:rFonts w:ascii="Times New Roman" w:hAnsi="Times New Roman"/>
                <w:b/>
                <w:bCs/>
                <w:snapToGrid/>
                <w:color w:val="auto"/>
                <w:kern w:val="2"/>
                <w:sz w:val="21"/>
                <w:szCs w:val="21"/>
              </w:rPr>
            </w:pPr>
            <w:bookmarkStart w:id="12" w:name="_Ref483553848"/>
            <w:r>
              <w:rPr>
                <w:rFonts w:ascii="Times New Roman" w:hAnsi="Times New Roman"/>
                <w:b/>
                <w:bCs/>
                <w:snapToGrid/>
                <w:color w:val="auto"/>
                <w:kern w:val="2"/>
                <w:sz w:val="21"/>
                <w:szCs w:val="21"/>
              </w:rPr>
              <w:t>表</w:t>
            </w:r>
            <w:bookmarkEnd w:id="12"/>
            <w:r>
              <w:rPr>
                <w:rFonts w:ascii="Times New Roman" w:hAnsi="Times New Roman"/>
                <w:b/>
                <w:bCs/>
                <w:snapToGrid/>
                <w:color w:val="auto"/>
                <w:kern w:val="2"/>
                <w:sz w:val="21"/>
                <w:szCs w:val="21"/>
              </w:rPr>
              <w:t>3.</w:t>
            </w:r>
            <w:r>
              <w:rPr>
                <w:rFonts w:hint="eastAsia" w:ascii="Times New Roman" w:hAnsi="Times New Roman"/>
                <w:b/>
                <w:bCs/>
                <w:snapToGrid/>
                <w:color w:val="auto"/>
                <w:kern w:val="2"/>
                <w:sz w:val="21"/>
                <w:szCs w:val="21"/>
              </w:rPr>
              <w:t>2-</w:t>
            </w:r>
            <w:r>
              <w:rPr>
                <w:rFonts w:ascii="Times New Roman" w:hAnsi="Times New Roman"/>
                <w:b/>
                <w:bCs/>
                <w:snapToGrid/>
                <w:color w:val="auto"/>
                <w:kern w:val="2"/>
                <w:sz w:val="21"/>
                <w:szCs w:val="21"/>
              </w:rPr>
              <w:t xml:space="preserve">1  </w:t>
            </w:r>
            <w:r>
              <w:rPr>
                <w:rFonts w:hint="eastAsia" w:ascii="Times New Roman" w:hAnsi="Times New Roman"/>
                <w:b/>
                <w:bCs/>
                <w:snapToGrid/>
                <w:color w:val="auto"/>
                <w:kern w:val="2"/>
                <w:sz w:val="21"/>
                <w:szCs w:val="21"/>
              </w:rPr>
              <w:t>《地表水环境质量标准》（GB3838-2002）（摘录）</w:t>
            </w:r>
          </w:p>
          <w:tbl>
            <w:tblPr>
              <w:tblStyle w:val="31"/>
              <w:tblW w:w="8118"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172"/>
              <w:gridCol w:w="2516"/>
              <w:gridCol w:w="1668"/>
              <w:gridCol w:w="2762"/>
            </w:tblGrid>
            <w:tr w14:paraId="7D7D029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8" w:hRule="atLeast"/>
                <w:jc w:val="center"/>
              </w:trPr>
              <w:tc>
                <w:tcPr>
                  <w:tcW w:w="1172" w:type="dxa"/>
                  <w:vAlign w:val="center"/>
                </w:tcPr>
                <w:p w14:paraId="71242B37">
                  <w:pPr>
                    <w:adjustRightInd w:val="0"/>
                    <w:snapToGrid w:val="0"/>
                    <w:jc w:val="center"/>
                    <w:rPr>
                      <w:b/>
                      <w:bCs/>
                      <w:iCs/>
                      <w:color w:val="auto"/>
                      <w:kern w:val="0"/>
                      <w:szCs w:val="21"/>
                    </w:rPr>
                  </w:pPr>
                  <w:r>
                    <w:rPr>
                      <w:b/>
                      <w:bCs/>
                      <w:iCs/>
                      <w:color w:val="auto"/>
                      <w:kern w:val="0"/>
                      <w:szCs w:val="21"/>
                    </w:rPr>
                    <w:t>序号</w:t>
                  </w:r>
                </w:p>
              </w:tc>
              <w:tc>
                <w:tcPr>
                  <w:tcW w:w="2516" w:type="dxa"/>
                  <w:vAlign w:val="center"/>
                </w:tcPr>
                <w:p w14:paraId="6A19B3D5">
                  <w:pPr>
                    <w:adjustRightInd w:val="0"/>
                    <w:snapToGrid w:val="0"/>
                    <w:jc w:val="center"/>
                    <w:rPr>
                      <w:b/>
                      <w:bCs/>
                      <w:iCs/>
                      <w:color w:val="auto"/>
                      <w:kern w:val="0"/>
                      <w:szCs w:val="21"/>
                    </w:rPr>
                  </w:pPr>
                  <w:r>
                    <w:rPr>
                      <w:b/>
                      <w:bCs/>
                      <w:iCs/>
                      <w:color w:val="auto"/>
                      <w:kern w:val="0"/>
                      <w:szCs w:val="21"/>
                    </w:rPr>
                    <w:t>项目</w:t>
                  </w:r>
                </w:p>
              </w:tc>
              <w:tc>
                <w:tcPr>
                  <w:tcW w:w="1668" w:type="dxa"/>
                  <w:vAlign w:val="center"/>
                </w:tcPr>
                <w:p w14:paraId="71CDD2BF">
                  <w:pPr>
                    <w:adjustRightInd w:val="0"/>
                    <w:snapToGrid w:val="0"/>
                    <w:jc w:val="center"/>
                    <w:rPr>
                      <w:b/>
                      <w:bCs/>
                      <w:iCs/>
                      <w:color w:val="auto"/>
                      <w:kern w:val="0"/>
                      <w:szCs w:val="21"/>
                    </w:rPr>
                  </w:pPr>
                  <w:r>
                    <w:rPr>
                      <w:b/>
                      <w:bCs/>
                      <w:iCs/>
                      <w:color w:val="auto"/>
                      <w:kern w:val="0"/>
                      <w:szCs w:val="21"/>
                    </w:rPr>
                    <w:t>单位</w:t>
                  </w:r>
                </w:p>
              </w:tc>
              <w:tc>
                <w:tcPr>
                  <w:tcW w:w="2762" w:type="dxa"/>
                  <w:vAlign w:val="center"/>
                </w:tcPr>
                <w:p w14:paraId="0990ADD8">
                  <w:pPr>
                    <w:adjustRightInd w:val="0"/>
                    <w:snapToGrid w:val="0"/>
                    <w:jc w:val="center"/>
                    <w:rPr>
                      <w:b/>
                      <w:bCs/>
                      <w:iCs/>
                      <w:color w:val="auto"/>
                      <w:kern w:val="0"/>
                      <w:szCs w:val="21"/>
                    </w:rPr>
                  </w:pPr>
                  <w:r>
                    <w:rPr>
                      <w:b/>
                      <w:bCs/>
                      <w:iCs/>
                      <w:color w:val="auto"/>
                      <w:kern w:val="0"/>
                      <w:szCs w:val="21"/>
                    </w:rPr>
                    <w:t>Ⅲ类标准</w:t>
                  </w:r>
                </w:p>
              </w:tc>
            </w:tr>
            <w:tr w14:paraId="60B9D33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8" w:hRule="atLeast"/>
                <w:jc w:val="center"/>
              </w:trPr>
              <w:tc>
                <w:tcPr>
                  <w:tcW w:w="1172" w:type="dxa"/>
                  <w:vAlign w:val="center"/>
                </w:tcPr>
                <w:p w14:paraId="02472E9B">
                  <w:pPr>
                    <w:adjustRightInd w:val="0"/>
                    <w:snapToGrid w:val="0"/>
                    <w:jc w:val="center"/>
                    <w:rPr>
                      <w:iCs/>
                      <w:color w:val="auto"/>
                      <w:kern w:val="0"/>
                      <w:szCs w:val="21"/>
                    </w:rPr>
                  </w:pPr>
                  <w:r>
                    <w:rPr>
                      <w:iCs/>
                      <w:color w:val="auto"/>
                      <w:kern w:val="0"/>
                      <w:szCs w:val="21"/>
                    </w:rPr>
                    <w:t>1</w:t>
                  </w:r>
                </w:p>
              </w:tc>
              <w:tc>
                <w:tcPr>
                  <w:tcW w:w="2516" w:type="dxa"/>
                  <w:vAlign w:val="center"/>
                </w:tcPr>
                <w:p w14:paraId="7CA09D67">
                  <w:pPr>
                    <w:adjustRightInd w:val="0"/>
                    <w:snapToGrid w:val="0"/>
                    <w:jc w:val="center"/>
                    <w:rPr>
                      <w:iCs/>
                      <w:color w:val="auto"/>
                      <w:kern w:val="0"/>
                      <w:szCs w:val="21"/>
                    </w:rPr>
                  </w:pPr>
                  <w:r>
                    <w:rPr>
                      <w:iCs/>
                      <w:color w:val="auto"/>
                      <w:kern w:val="0"/>
                      <w:szCs w:val="21"/>
                    </w:rPr>
                    <w:t>pH值</w:t>
                  </w:r>
                </w:p>
              </w:tc>
              <w:tc>
                <w:tcPr>
                  <w:tcW w:w="1668" w:type="dxa"/>
                  <w:vAlign w:val="center"/>
                </w:tcPr>
                <w:p w14:paraId="349C4189">
                  <w:pPr>
                    <w:adjustRightInd w:val="0"/>
                    <w:snapToGrid w:val="0"/>
                    <w:jc w:val="center"/>
                    <w:rPr>
                      <w:iCs/>
                      <w:color w:val="auto"/>
                      <w:kern w:val="0"/>
                      <w:szCs w:val="21"/>
                    </w:rPr>
                  </w:pPr>
                  <w:r>
                    <w:rPr>
                      <w:iCs/>
                      <w:color w:val="auto"/>
                      <w:kern w:val="0"/>
                      <w:szCs w:val="21"/>
                    </w:rPr>
                    <w:t>无量纲</w:t>
                  </w:r>
                </w:p>
              </w:tc>
              <w:tc>
                <w:tcPr>
                  <w:tcW w:w="2762" w:type="dxa"/>
                  <w:vAlign w:val="center"/>
                </w:tcPr>
                <w:p w14:paraId="4DBF0913">
                  <w:pPr>
                    <w:adjustRightInd w:val="0"/>
                    <w:snapToGrid w:val="0"/>
                    <w:jc w:val="center"/>
                    <w:rPr>
                      <w:iCs/>
                      <w:color w:val="auto"/>
                      <w:kern w:val="0"/>
                      <w:szCs w:val="21"/>
                    </w:rPr>
                  </w:pPr>
                  <w:r>
                    <w:rPr>
                      <w:iCs/>
                      <w:color w:val="auto"/>
                      <w:kern w:val="0"/>
                      <w:szCs w:val="21"/>
                    </w:rPr>
                    <w:t>6~9</w:t>
                  </w:r>
                </w:p>
              </w:tc>
            </w:tr>
            <w:tr w14:paraId="323DF9B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8" w:hRule="atLeast"/>
                <w:jc w:val="center"/>
              </w:trPr>
              <w:tc>
                <w:tcPr>
                  <w:tcW w:w="1172" w:type="dxa"/>
                  <w:vAlign w:val="center"/>
                </w:tcPr>
                <w:p w14:paraId="01E288EC">
                  <w:pPr>
                    <w:adjustRightInd w:val="0"/>
                    <w:snapToGrid w:val="0"/>
                    <w:jc w:val="center"/>
                    <w:rPr>
                      <w:iCs/>
                      <w:color w:val="auto"/>
                      <w:kern w:val="0"/>
                      <w:szCs w:val="21"/>
                    </w:rPr>
                  </w:pPr>
                  <w:r>
                    <w:rPr>
                      <w:iCs/>
                      <w:color w:val="auto"/>
                      <w:kern w:val="0"/>
                      <w:szCs w:val="21"/>
                    </w:rPr>
                    <w:t>2</w:t>
                  </w:r>
                </w:p>
              </w:tc>
              <w:tc>
                <w:tcPr>
                  <w:tcW w:w="2516" w:type="dxa"/>
                  <w:vAlign w:val="center"/>
                </w:tcPr>
                <w:p w14:paraId="02EE8EC3">
                  <w:pPr>
                    <w:adjustRightInd w:val="0"/>
                    <w:snapToGrid w:val="0"/>
                    <w:jc w:val="center"/>
                    <w:rPr>
                      <w:iCs/>
                      <w:color w:val="auto"/>
                      <w:kern w:val="0"/>
                      <w:szCs w:val="21"/>
                    </w:rPr>
                  </w:pPr>
                  <w:r>
                    <w:rPr>
                      <w:rFonts w:hint="eastAsia"/>
                      <w:iCs/>
                      <w:color w:val="auto"/>
                      <w:kern w:val="0"/>
                      <w:szCs w:val="21"/>
                    </w:rPr>
                    <w:t>溶解氧</w:t>
                  </w:r>
                </w:p>
              </w:tc>
              <w:tc>
                <w:tcPr>
                  <w:tcW w:w="1668" w:type="dxa"/>
                  <w:vAlign w:val="center"/>
                </w:tcPr>
                <w:p w14:paraId="234ECA0D">
                  <w:pPr>
                    <w:adjustRightInd w:val="0"/>
                    <w:snapToGrid w:val="0"/>
                    <w:jc w:val="center"/>
                    <w:rPr>
                      <w:iCs/>
                      <w:color w:val="auto"/>
                      <w:kern w:val="0"/>
                      <w:szCs w:val="21"/>
                    </w:rPr>
                  </w:pPr>
                  <w:r>
                    <w:rPr>
                      <w:iCs/>
                      <w:color w:val="auto"/>
                      <w:kern w:val="0"/>
                      <w:szCs w:val="21"/>
                    </w:rPr>
                    <w:t>mg/L</w:t>
                  </w:r>
                </w:p>
              </w:tc>
              <w:tc>
                <w:tcPr>
                  <w:tcW w:w="2762" w:type="dxa"/>
                  <w:vAlign w:val="center"/>
                </w:tcPr>
                <w:p w14:paraId="4266FDA4">
                  <w:pPr>
                    <w:adjustRightInd w:val="0"/>
                    <w:snapToGrid w:val="0"/>
                    <w:jc w:val="center"/>
                    <w:rPr>
                      <w:iCs/>
                      <w:color w:val="auto"/>
                      <w:kern w:val="0"/>
                      <w:szCs w:val="21"/>
                    </w:rPr>
                  </w:pPr>
                  <w:r>
                    <w:rPr>
                      <w:rFonts w:ascii="Arial" w:hAnsi="Arial" w:cs="Arial"/>
                      <w:iCs/>
                      <w:color w:val="auto"/>
                      <w:kern w:val="0"/>
                      <w:szCs w:val="21"/>
                    </w:rPr>
                    <w:t>≥</w:t>
                  </w:r>
                  <w:r>
                    <w:rPr>
                      <w:rFonts w:hint="eastAsia"/>
                      <w:iCs/>
                      <w:color w:val="auto"/>
                      <w:kern w:val="0"/>
                      <w:szCs w:val="21"/>
                    </w:rPr>
                    <w:t>5</w:t>
                  </w:r>
                </w:p>
              </w:tc>
            </w:tr>
            <w:tr w14:paraId="1A572DE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8" w:hRule="atLeast"/>
                <w:jc w:val="center"/>
              </w:trPr>
              <w:tc>
                <w:tcPr>
                  <w:tcW w:w="1172" w:type="dxa"/>
                  <w:vAlign w:val="center"/>
                </w:tcPr>
                <w:p w14:paraId="52EA5BBE">
                  <w:pPr>
                    <w:adjustRightInd w:val="0"/>
                    <w:snapToGrid w:val="0"/>
                    <w:jc w:val="center"/>
                    <w:rPr>
                      <w:iCs/>
                      <w:color w:val="auto"/>
                      <w:kern w:val="0"/>
                      <w:szCs w:val="21"/>
                    </w:rPr>
                  </w:pPr>
                  <w:r>
                    <w:rPr>
                      <w:iCs/>
                      <w:color w:val="auto"/>
                      <w:kern w:val="0"/>
                      <w:szCs w:val="21"/>
                    </w:rPr>
                    <w:t>3</w:t>
                  </w:r>
                </w:p>
              </w:tc>
              <w:tc>
                <w:tcPr>
                  <w:tcW w:w="2516" w:type="dxa"/>
                  <w:vAlign w:val="center"/>
                </w:tcPr>
                <w:p w14:paraId="244E0B5C">
                  <w:pPr>
                    <w:adjustRightInd w:val="0"/>
                    <w:snapToGrid w:val="0"/>
                    <w:jc w:val="center"/>
                    <w:rPr>
                      <w:iCs/>
                      <w:color w:val="auto"/>
                      <w:kern w:val="0"/>
                      <w:szCs w:val="21"/>
                    </w:rPr>
                  </w:pPr>
                  <w:r>
                    <w:rPr>
                      <w:rFonts w:hint="eastAsia"/>
                      <w:iCs/>
                      <w:color w:val="auto"/>
                      <w:kern w:val="0"/>
                      <w:szCs w:val="21"/>
                    </w:rPr>
                    <w:t>高锰酸盐指数</w:t>
                  </w:r>
                </w:p>
              </w:tc>
              <w:tc>
                <w:tcPr>
                  <w:tcW w:w="1668" w:type="dxa"/>
                  <w:vAlign w:val="center"/>
                </w:tcPr>
                <w:p w14:paraId="025B24A4">
                  <w:pPr>
                    <w:adjustRightInd w:val="0"/>
                    <w:snapToGrid w:val="0"/>
                    <w:jc w:val="center"/>
                    <w:rPr>
                      <w:iCs/>
                      <w:color w:val="auto"/>
                      <w:kern w:val="0"/>
                      <w:szCs w:val="21"/>
                    </w:rPr>
                  </w:pPr>
                  <w:r>
                    <w:rPr>
                      <w:iCs/>
                      <w:color w:val="auto"/>
                      <w:kern w:val="0"/>
                      <w:szCs w:val="21"/>
                    </w:rPr>
                    <w:t>mg/L</w:t>
                  </w:r>
                </w:p>
              </w:tc>
              <w:tc>
                <w:tcPr>
                  <w:tcW w:w="2762" w:type="dxa"/>
                  <w:vAlign w:val="center"/>
                </w:tcPr>
                <w:p w14:paraId="18482F3F">
                  <w:pPr>
                    <w:adjustRightInd w:val="0"/>
                    <w:snapToGrid w:val="0"/>
                    <w:jc w:val="center"/>
                    <w:rPr>
                      <w:iCs/>
                      <w:color w:val="auto"/>
                      <w:kern w:val="0"/>
                      <w:szCs w:val="21"/>
                    </w:rPr>
                  </w:pPr>
                  <w:r>
                    <w:rPr>
                      <w:iCs/>
                      <w:color w:val="auto"/>
                      <w:kern w:val="0"/>
                      <w:szCs w:val="21"/>
                    </w:rPr>
                    <w:t>≤</w:t>
                  </w:r>
                  <w:r>
                    <w:rPr>
                      <w:rFonts w:hint="eastAsia"/>
                      <w:iCs/>
                      <w:color w:val="auto"/>
                      <w:kern w:val="0"/>
                      <w:szCs w:val="21"/>
                    </w:rPr>
                    <w:t>6</w:t>
                  </w:r>
                </w:p>
              </w:tc>
            </w:tr>
            <w:tr w14:paraId="1C80BDD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8" w:hRule="atLeast"/>
                <w:jc w:val="center"/>
              </w:trPr>
              <w:tc>
                <w:tcPr>
                  <w:tcW w:w="1172" w:type="dxa"/>
                  <w:vAlign w:val="center"/>
                </w:tcPr>
                <w:p w14:paraId="5C661E13">
                  <w:pPr>
                    <w:adjustRightInd w:val="0"/>
                    <w:snapToGrid w:val="0"/>
                    <w:jc w:val="center"/>
                    <w:rPr>
                      <w:iCs/>
                      <w:color w:val="auto"/>
                      <w:kern w:val="0"/>
                      <w:szCs w:val="21"/>
                    </w:rPr>
                  </w:pPr>
                  <w:r>
                    <w:rPr>
                      <w:iCs/>
                      <w:color w:val="auto"/>
                      <w:kern w:val="0"/>
                      <w:szCs w:val="21"/>
                    </w:rPr>
                    <w:t>4</w:t>
                  </w:r>
                </w:p>
              </w:tc>
              <w:tc>
                <w:tcPr>
                  <w:tcW w:w="2516" w:type="dxa"/>
                  <w:vAlign w:val="center"/>
                </w:tcPr>
                <w:p w14:paraId="6F3FCB2E">
                  <w:pPr>
                    <w:adjustRightInd w:val="0"/>
                    <w:snapToGrid w:val="0"/>
                    <w:jc w:val="center"/>
                    <w:rPr>
                      <w:iCs/>
                      <w:color w:val="auto"/>
                      <w:kern w:val="0"/>
                      <w:szCs w:val="21"/>
                    </w:rPr>
                  </w:pPr>
                  <w:r>
                    <w:rPr>
                      <w:iCs/>
                      <w:color w:val="auto"/>
                      <w:kern w:val="0"/>
                      <w:szCs w:val="21"/>
                    </w:rPr>
                    <w:t>化学需氧量</w:t>
                  </w:r>
                </w:p>
              </w:tc>
              <w:tc>
                <w:tcPr>
                  <w:tcW w:w="1668" w:type="dxa"/>
                  <w:vAlign w:val="center"/>
                </w:tcPr>
                <w:p w14:paraId="50C4FD32">
                  <w:pPr>
                    <w:adjustRightInd w:val="0"/>
                    <w:snapToGrid w:val="0"/>
                    <w:jc w:val="center"/>
                    <w:rPr>
                      <w:iCs/>
                      <w:color w:val="auto"/>
                      <w:kern w:val="0"/>
                      <w:szCs w:val="21"/>
                    </w:rPr>
                  </w:pPr>
                  <w:r>
                    <w:rPr>
                      <w:iCs/>
                      <w:color w:val="auto"/>
                      <w:kern w:val="0"/>
                      <w:szCs w:val="21"/>
                    </w:rPr>
                    <w:t>mg/L</w:t>
                  </w:r>
                </w:p>
              </w:tc>
              <w:tc>
                <w:tcPr>
                  <w:tcW w:w="2762" w:type="dxa"/>
                  <w:vAlign w:val="center"/>
                </w:tcPr>
                <w:p w14:paraId="36CA3F78">
                  <w:pPr>
                    <w:adjustRightInd w:val="0"/>
                    <w:snapToGrid w:val="0"/>
                    <w:jc w:val="center"/>
                    <w:rPr>
                      <w:iCs/>
                      <w:color w:val="auto"/>
                      <w:kern w:val="0"/>
                      <w:szCs w:val="21"/>
                    </w:rPr>
                  </w:pPr>
                  <w:r>
                    <w:rPr>
                      <w:iCs/>
                      <w:color w:val="auto"/>
                      <w:kern w:val="0"/>
                      <w:szCs w:val="21"/>
                    </w:rPr>
                    <w:t>≤</w:t>
                  </w:r>
                  <w:r>
                    <w:rPr>
                      <w:rFonts w:hint="eastAsia"/>
                      <w:iCs/>
                      <w:color w:val="auto"/>
                      <w:kern w:val="0"/>
                      <w:szCs w:val="21"/>
                    </w:rPr>
                    <w:t>20</w:t>
                  </w:r>
                </w:p>
              </w:tc>
            </w:tr>
            <w:tr w14:paraId="4889C85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8" w:hRule="atLeast"/>
                <w:jc w:val="center"/>
              </w:trPr>
              <w:tc>
                <w:tcPr>
                  <w:tcW w:w="1172" w:type="dxa"/>
                  <w:vAlign w:val="center"/>
                </w:tcPr>
                <w:p w14:paraId="585CE5BF">
                  <w:pPr>
                    <w:adjustRightInd w:val="0"/>
                    <w:snapToGrid w:val="0"/>
                    <w:jc w:val="center"/>
                    <w:rPr>
                      <w:iCs/>
                      <w:color w:val="auto"/>
                      <w:kern w:val="0"/>
                      <w:szCs w:val="21"/>
                    </w:rPr>
                  </w:pPr>
                  <w:r>
                    <w:rPr>
                      <w:iCs/>
                      <w:color w:val="auto"/>
                      <w:kern w:val="0"/>
                      <w:szCs w:val="21"/>
                    </w:rPr>
                    <w:t>5</w:t>
                  </w:r>
                </w:p>
              </w:tc>
              <w:tc>
                <w:tcPr>
                  <w:tcW w:w="2516" w:type="dxa"/>
                  <w:vAlign w:val="center"/>
                </w:tcPr>
                <w:p w14:paraId="34843F94">
                  <w:pPr>
                    <w:adjustRightInd w:val="0"/>
                    <w:snapToGrid w:val="0"/>
                    <w:jc w:val="center"/>
                    <w:rPr>
                      <w:iCs/>
                      <w:color w:val="auto"/>
                      <w:kern w:val="0"/>
                      <w:szCs w:val="21"/>
                    </w:rPr>
                  </w:pPr>
                  <w:r>
                    <w:rPr>
                      <w:iCs/>
                      <w:color w:val="auto"/>
                      <w:kern w:val="0"/>
                      <w:szCs w:val="21"/>
                    </w:rPr>
                    <w:t>五日生化需氧量</w:t>
                  </w:r>
                </w:p>
              </w:tc>
              <w:tc>
                <w:tcPr>
                  <w:tcW w:w="1668" w:type="dxa"/>
                  <w:vAlign w:val="center"/>
                </w:tcPr>
                <w:p w14:paraId="147A385F">
                  <w:pPr>
                    <w:adjustRightInd w:val="0"/>
                    <w:snapToGrid w:val="0"/>
                    <w:jc w:val="center"/>
                    <w:rPr>
                      <w:iCs/>
                      <w:color w:val="auto"/>
                      <w:kern w:val="0"/>
                      <w:szCs w:val="21"/>
                    </w:rPr>
                  </w:pPr>
                  <w:r>
                    <w:rPr>
                      <w:iCs/>
                      <w:color w:val="auto"/>
                      <w:kern w:val="0"/>
                      <w:szCs w:val="21"/>
                    </w:rPr>
                    <w:t>mg/L</w:t>
                  </w:r>
                </w:p>
              </w:tc>
              <w:tc>
                <w:tcPr>
                  <w:tcW w:w="2762" w:type="dxa"/>
                  <w:vAlign w:val="center"/>
                </w:tcPr>
                <w:p w14:paraId="2E2B3EA4">
                  <w:pPr>
                    <w:adjustRightInd w:val="0"/>
                    <w:snapToGrid w:val="0"/>
                    <w:jc w:val="center"/>
                    <w:rPr>
                      <w:iCs/>
                      <w:color w:val="auto"/>
                      <w:kern w:val="0"/>
                      <w:szCs w:val="21"/>
                    </w:rPr>
                  </w:pPr>
                  <w:r>
                    <w:rPr>
                      <w:iCs/>
                      <w:color w:val="auto"/>
                      <w:kern w:val="0"/>
                      <w:szCs w:val="21"/>
                    </w:rPr>
                    <w:t>≤</w:t>
                  </w:r>
                  <w:r>
                    <w:rPr>
                      <w:rFonts w:hint="eastAsia"/>
                      <w:iCs/>
                      <w:color w:val="auto"/>
                      <w:kern w:val="0"/>
                      <w:szCs w:val="21"/>
                    </w:rPr>
                    <w:t>4</w:t>
                  </w:r>
                </w:p>
              </w:tc>
            </w:tr>
            <w:tr w14:paraId="4695379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8" w:hRule="atLeast"/>
                <w:jc w:val="center"/>
              </w:trPr>
              <w:tc>
                <w:tcPr>
                  <w:tcW w:w="1172" w:type="dxa"/>
                  <w:vAlign w:val="center"/>
                </w:tcPr>
                <w:p w14:paraId="64E90CA7">
                  <w:pPr>
                    <w:adjustRightInd w:val="0"/>
                    <w:snapToGrid w:val="0"/>
                    <w:jc w:val="center"/>
                    <w:rPr>
                      <w:iCs/>
                      <w:color w:val="auto"/>
                      <w:kern w:val="0"/>
                      <w:szCs w:val="21"/>
                    </w:rPr>
                  </w:pPr>
                  <w:r>
                    <w:rPr>
                      <w:iCs/>
                      <w:color w:val="auto"/>
                      <w:kern w:val="0"/>
                      <w:szCs w:val="21"/>
                    </w:rPr>
                    <w:t>6</w:t>
                  </w:r>
                </w:p>
              </w:tc>
              <w:tc>
                <w:tcPr>
                  <w:tcW w:w="2516" w:type="dxa"/>
                  <w:vAlign w:val="center"/>
                </w:tcPr>
                <w:p w14:paraId="0358E93E">
                  <w:pPr>
                    <w:adjustRightInd w:val="0"/>
                    <w:snapToGrid w:val="0"/>
                    <w:jc w:val="center"/>
                    <w:rPr>
                      <w:iCs/>
                      <w:color w:val="auto"/>
                      <w:kern w:val="0"/>
                      <w:szCs w:val="21"/>
                    </w:rPr>
                  </w:pPr>
                  <w:r>
                    <w:rPr>
                      <w:iCs/>
                      <w:color w:val="auto"/>
                      <w:kern w:val="0"/>
                      <w:szCs w:val="21"/>
                    </w:rPr>
                    <w:t>氨氮</w:t>
                  </w:r>
                  <w:r>
                    <w:rPr>
                      <w:rFonts w:hint="eastAsia"/>
                      <w:iCs/>
                      <w:color w:val="auto"/>
                      <w:kern w:val="0"/>
                      <w:szCs w:val="21"/>
                    </w:rPr>
                    <w:t>（</w:t>
                  </w:r>
                  <w:r>
                    <w:rPr>
                      <w:iCs/>
                      <w:color w:val="auto"/>
                      <w:kern w:val="0"/>
                      <w:szCs w:val="21"/>
                    </w:rPr>
                    <w:t>NH</w:t>
                  </w:r>
                  <w:r>
                    <w:rPr>
                      <w:iCs/>
                      <w:color w:val="auto"/>
                      <w:kern w:val="0"/>
                      <w:szCs w:val="21"/>
                      <w:vertAlign w:val="subscript"/>
                    </w:rPr>
                    <w:t>3</w:t>
                  </w:r>
                  <w:r>
                    <w:rPr>
                      <w:iCs/>
                      <w:color w:val="auto"/>
                      <w:kern w:val="0"/>
                      <w:szCs w:val="21"/>
                    </w:rPr>
                    <w:t>-N</w:t>
                  </w:r>
                  <w:r>
                    <w:rPr>
                      <w:rFonts w:hint="eastAsia"/>
                      <w:iCs/>
                      <w:color w:val="auto"/>
                      <w:kern w:val="0"/>
                      <w:szCs w:val="21"/>
                    </w:rPr>
                    <w:t>）</w:t>
                  </w:r>
                </w:p>
              </w:tc>
              <w:tc>
                <w:tcPr>
                  <w:tcW w:w="1668" w:type="dxa"/>
                  <w:vAlign w:val="center"/>
                </w:tcPr>
                <w:p w14:paraId="3E751E22">
                  <w:pPr>
                    <w:adjustRightInd w:val="0"/>
                    <w:snapToGrid w:val="0"/>
                    <w:jc w:val="center"/>
                    <w:rPr>
                      <w:iCs/>
                      <w:color w:val="auto"/>
                      <w:kern w:val="0"/>
                      <w:szCs w:val="21"/>
                    </w:rPr>
                  </w:pPr>
                  <w:r>
                    <w:rPr>
                      <w:iCs/>
                      <w:color w:val="auto"/>
                      <w:kern w:val="0"/>
                      <w:szCs w:val="21"/>
                    </w:rPr>
                    <w:t>mg/L</w:t>
                  </w:r>
                </w:p>
              </w:tc>
              <w:tc>
                <w:tcPr>
                  <w:tcW w:w="2762" w:type="dxa"/>
                  <w:vAlign w:val="center"/>
                </w:tcPr>
                <w:p w14:paraId="57E0D5B5">
                  <w:pPr>
                    <w:adjustRightInd w:val="0"/>
                    <w:snapToGrid w:val="0"/>
                    <w:jc w:val="center"/>
                    <w:rPr>
                      <w:iCs/>
                      <w:color w:val="auto"/>
                      <w:kern w:val="0"/>
                      <w:szCs w:val="21"/>
                    </w:rPr>
                  </w:pPr>
                  <w:r>
                    <w:rPr>
                      <w:iCs/>
                      <w:color w:val="auto"/>
                      <w:kern w:val="0"/>
                      <w:szCs w:val="21"/>
                    </w:rPr>
                    <w:t>≤1</w:t>
                  </w:r>
                  <w:r>
                    <w:rPr>
                      <w:rFonts w:hint="eastAsia"/>
                      <w:iCs/>
                      <w:color w:val="auto"/>
                      <w:kern w:val="0"/>
                      <w:szCs w:val="21"/>
                    </w:rPr>
                    <w:t>.0</w:t>
                  </w:r>
                </w:p>
              </w:tc>
            </w:tr>
            <w:tr w14:paraId="392A0EF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8" w:hRule="atLeast"/>
                <w:jc w:val="center"/>
              </w:trPr>
              <w:tc>
                <w:tcPr>
                  <w:tcW w:w="1172" w:type="dxa"/>
                  <w:vAlign w:val="center"/>
                </w:tcPr>
                <w:p w14:paraId="373212AB">
                  <w:pPr>
                    <w:adjustRightInd w:val="0"/>
                    <w:snapToGrid w:val="0"/>
                    <w:jc w:val="center"/>
                    <w:rPr>
                      <w:iCs/>
                      <w:color w:val="auto"/>
                      <w:kern w:val="0"/>
                      <w:szCs w:val="21"/>
                    </w:rPr>
                  </w:pPr>
                  <w:r>
                    <w:rPr>
                      <w:rFonts w:hint="eastAsia"/>
                      <w:iCs/>
                      <w:color w:val="auto"/>
                      <w:kern w:val="0"/>
                      <w:szCs w:val="21"/>
                    </w:rPr>
                    <w:t>7</w:t>
                  </w:r>
                </w:p>
              </w:tc>
              <w:tc>
                <w:tcPr>
                  <w:tcW w:w="2516" w:type="dxa"/>
                  <w:vAlign w:val="center"/>
                </w:tcPr>
                <w:p w14:paraId="4BD0CCF0">
                  <w:pPr>
                    <w:adjustRightInd w:val="0"/>
                    <w:snapToGrid w:val="0"/>
                    <w:jc w:val="center"/>
                    <w:rPr>
                      <w:iCs/>
                      <w:color w:val="auto"/>
                      <w:kern w:val="0"/>
                      <w:szCs w:val="21"/>
                    </w:rPr>
                  </w:pPr>
                  <w:r>
                    <w:rPr>
                      <w:rFonts w:hint="eastAsia"/>
                      <w:iCs/>
                      <w:color w:val="auto"/>
                      <w:kern w:val="0"/>
                      <w:szCs w:val="21"/>
                    </w:rPr>
                    <w:t>总磷</w:t>
                  </w:r>
                </w:p>
              </w:tc>
              <w:tc>
                <w:tcPr>
                  <w:tcW w:w="1668" w:type="dxa"/>
                  <w:vAlign w:val="center"/>
                </w:tcPr>
                <w:p w14:paraId="7B6CEAEC">
                  <w:pPr>
                    <w:adjustRightInd w:val="0"/>
                    <w:snapToGrid w:val="0"/>
                    <w:jc w:val="center"/>
                    <w:rPr>
                      <w:iCs/>
                      <w:color w:val="auto"/>
                      <w:kern w:val="0"/>
                      <w:szCs w:val="21"/>
                    </w:rPr>
                  </w:pPr>
                  <w:r>
                    <w:rPr>
                      <w:iCs/>
                      <w:color w:val="auto"/>
                      <w:kern w:val="0"/>
                      <w:szCs w:val="21"/>
                    </w:rPr>
                    <w:t>mg/L</w:t>
                  </w:r>
                </w:p>
              </w:tc>
              <w:tc>
                <w:tcPr>
                  <w:tcW w:w="2762" w:type="dxa"/>
                  <w:vAlign w:val="center"/>
                </w:tcPr>
                <w:p w14:paraId="7BD93D69">
                  <w:pPr>
                    <w:adjustRightInd w:val="0"/>
                    <w:snapToGrid w:val="0"/>
                    <w:jc w:val="center"/>
                    <w:rPr>
                      <w:iCs/>
                      <w:color w:val="auto"/>
                      <w:kern w:val="0"/>
                      <w:szCs w:val="21"/>
                    </w:rPr>
                  </w:pPr>
                  <w:r>
                    <w:rPr>
                      <w:iCs/>
                      <w:color w:val="auto"/>
                      <w:kern w:val="0"/>
                      <w:szCs w:val="21"/>
                    </w:rPr>
                    <w:t>≤</w:t>
                  </w:r>
                  <w:r>
                    <w:rPr>
                      <w:rFonts w:hint="eastAsia"/>
                      <w:iCs/>
                      <w:color w:val="auto"/>
                      <w:kern w:val="0"/>
                      <w:szCs w:val="21"/>
                    </w:rPr>
                    <w:t>0.2</w:t>
                  </w:r>
                </w:p>
              </w:tc>
            </w:tr>
            <w:tr w14:paraId="35ED752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8" w:hRule="atLeast"/>
                <w:jc w:val="center"/>
              </w:trPr>
              <w:tc>
                <w:tcPr>
                  <w:tcW w:w="1172" w:type="dxa"/>
                  <w:vAlign w:val="center"/>
                </w:tcPr>
                <w:p w14:paraId="7A72FA74">
                  <w:pPr>
                    <w:adjustRightInd w:val="0"/>
                    <w:snapToGrid w:val="0"/>
                    <w:jc w:val="center"/>
                    <w:rPr>
                      <w:iCs/>
                      <w:color w:val="auto"/>
                      <w:kern w:val="0"/>
                      <w:szCs w:val="21"/>
                    </w:rPr>
                  </w:pPr>
                  <w:r>
                    <w:rPr>
                      <w:rFonts w:hint="eastAsia"/>
                      <w:iCs/>
                      <w:color w:val="auto"/>
                      <w:kern w:val="0"/>
                      <w:szCs w:val="21"/>
                    </w:rPr>
                    <w:t>8</w:t>
                  </w:r>
                </w:p>
              </w:tc>
              <w:tc>
                <w:tcPr>
                  <w:tcW w:w="2516" w:type="dxa"/>
                  <w:vAlign w:val="center"/>
                </w:tcPr>
                <w:p w14:paraId="4DCC04CB">
                  <w:pPr>
                    <w:adjustRightInd w:val="0"/>
                    <w:snapToGrid w:val="0"/>
                    <w:jc w:val="center"/>
                    <w:rPr>
                      <w:iCs/>
                      <w:color w:val="auto"/>
                      <w:kern w:val="0"/>
                      <w:szCs w:val="21"/>
                    </w:rPr>
                  </w:pPr>
                  <w:r>
                    <w:rPr>
                      <w:rFonts w:hint="eastAsia"/>
                      <w:iCs/>
                      <w:color w:val="auto"/>
                      <w:kern w:val="0"/>
                      <w:szCs w:val="21"/>
                    </w:rPr>
                    <w:t>石油类</w:t>
                  </w:r>
                </w:p>
              </w:tc>
              <w:tc>
                <w:tcPr>
                  <w:tcW w:w="1668" w:type="dxa"/>
                  <w:vAlign w:val="center"/>
                </w:tcPr>
                <w:p w14:paraId="45C1089B">
                  <w:pPr>
                    <w:adjustRightInd w:val="0"/>
                    <w:snapToGrid w:val="0"/>
                    <w:jc w:val="center"/>
                    <w:rPr>
                      <w:iCs/>
                      <w:color w:val="auto"/>
                      <w:kern w:val="0"/>
                      <w:szCs w:val="21"/>
                    </w:rPr>
                  </w:pPr>
                  <w:r>
                    <w:rPr>
                      <w:iCs/>
                      <w:color w:val="auto"/>
                      <w:kern w:val="0"/>
                      <w:szCs w:val="21"/>
                    </w:rPr>
                    <w:t>mg/L</w:t>
                  </w:r>
                </w:p>
              </w:tc>
              <w:tc>
                <w:tcPr>
                  <w:tcW w:w="2762" w:type="dxa"/>
                  <w:vAlign w:val="center"/>
                </w:tcPr>
                <w:p w14:paraId="64ADB26D">
                  <w:pPr>
                    <w:adjustRightInd w:val="0"/>
                    <w:snapToGrid w:val="0"/>
                    <w:jc w:val="center"/>
                    <w:rPr>
                      <w:iCs/>
                      <w:color w:val="auto"/>
                      <w:kern w:val="0"/>
                      <w:szCs w:val="21"/>
                    </w:rPr>
                  </w:pPr>
                  <w:r>
                    <w:rPr>
                      <w:iCs/>
                      <w:color w:val="auto"/>
                      <w:kern w:val="0"/>
                      <w:szCs w:val="21"/>
                    </w:rPr>
                    <w:t>≤</w:t>
                  </w:r>
                  <w:r>
                    <w:rPr>
                      <w:rFonts w:hint="eastAsia"/>
                      <w:iCs/>
                      <w:color w:val="auto"/>
                      <w:kern w:val="0"/>
                      <w:szCs w:val="21"/>
                    </w:rPr>
                    <w:t>0.05</w:t>
                  </w:r>
                </w:p>
              </w:tc>
            </w:tr>
          </w:tbl>
          <w:p w14:paraId="4B1F2401">
            <w:pPr>
              <w:pStyle w:val="5"/>
              <w:spacing w:before="120" w:beforeLines="50"/>
              <w:ind w:firstLine="241"/>
              <w:rPr>
                <w:rFonts w:hint="default"/>
                <w:color w:val="auto"/>
              </w:rPr>
            </w:pPr>
            <w:r>
              <w:rPr>
                <w:color w:val="auto"/>
              </w:rPr>
              <w:t>3.2.2地表水环境质量现状</w:t>
            </w:r>
          </w:p>
          <w:p w14:paraId="4C44F3E4">
            <w:pPr>
              <w:spacing w:line="360" w:lineRule="auto"/>
              <w:ind w:firstLine="480" w:firstLineChars="200"/>
              <w:rPr>
                <w:rFonts w:hint="default" w:ascii="Times New Roman" w:hAnsi="Times New Roman" w:eastAsia="宋体" w:cs="Times New Roman"/>
                <w:bCs/>
                <w:color w:val="auto"/>
                <w:sz w:val="24"/>
                <w:highlight w:val="none"/>
                <w:lang w:eastAsia="zh-CN"/>
              </w:rPr>
            </w:pPr>
            <w:r>
              <w:rPr>
                <w:rFonts w:hint="eastAsia" w:ascii="Times New Roman" w:hAnsi="Times New Roman" w:cs="Times New Roman"/>
                <w:bCs/>
                <w:color w:val="auto"/>
                <w:sz w:val="24"/>
                <w:highlight w:val="none"/>
                <w:lang w:eastAsia="zh-CN"/>
              </w:rPr>
              <w:t>（</w:t>
            </w:r>
            <w:r>
              <w:rPr>
                <w:rFonts w:hint="eastAsia" w:ascii="Times New Roman" w:hAnsi="Times New Roman" w:cs="Times New Roman"/>
                <w:bCs/>
                <w:color w:val="auto"/>
                <w:sz w:val="24"/>
                <w:highlight w:val="none"/>
                <w:lang w:val="en-US" w:eastAsia="zh-CN"/>
              </w:rPr>
              <w:t>1</w:t>
            </w:r>
            <w:r>
              <w:rPr>
                <w:rFonts w:hint="eastAsia" w:ascii="Times New Roman" w:hAnsi="Times New Roman" w:cs="Times New Roman"/>
                <w:bCs/>
                <w:color w:val="auto"/>
                <w:sz w:val="24"/>
                <w:highlight w:val="none"/>
                <w:lang w:eastAsia="zh-CN"/>
              </w:rPr>
              <w:t>）</w:t>
            </w:r>
            <w:r>
              <w:rPr>
                <w:rFonts w:hint="default" w:ascii="Times New Roman" w:hAnsi="Times New Roman" w:cs="Times New Roman"/>
                <w:bCs/>
                <w:color w:val="auto"/>
                <w:sz w:val="24"/>
                <w:highlight w:val="none"/>
                <w:lang w:eastAsia="zh-CN"/>
              </w:rPr>
              <w:t>地表水环境质量现状调查</w:t>
            </w:r>
          </w:p>
          <w:p w14:paraId="0F24AA66">
            <w:pPr>
              <w:spacing w:line="360" w:lineRule="auto"/>
              <w:ind w:firstLine="480" w:firstLineChars="200"/>
              <w:rPr>
                <w:bCs/>
                <w:color w:val="auto"/>
                <w:sz w:val="24"/>
                <w:highlight w:val="none"/>
              </w:rPr>
            </w:pPr>
            <w:r>
              <w:rPr>
                <w:rFonts w:hint="eastAsia"/>
                <w:bCs/>
                <w:color w:val="auto"/>
                <w:sz w:val="24"/>
                <w:highlight w:val="none"/>
              </w:rPr>
              <w:t>根据</w:t>
            </w:r>
            <w:r>
              <w:rPr>
                <w:rFonts w:hint="eastAsia"/>
                <w:bCs/>
                <w:color w:val="auto"/>
                <w:sz w:val="24"/>
                <w:highlight w:val="none"/>
                <w:lang w:eastAsia="zh-CN"/>
              </w:rPr>
              <w:t>福建省</w:t>
            </w:r>
            <w:r>
              <w:rPr>
                <w:rFonts w:hint="eastAsia"/>
                <w:bCs/>
                <w:color w:val="auto"/>
                <w:sz w:val="24"/>
                <w:highlight w:val="none"/>
              </w:rPr>
              <w:t>生态环境</w:t>
            </w:r>
            <w:r>
              <w:rPr>
                <w:rFonts w:hint="eastAsia"/>
                <w:bCs/>
                <w:color w:val="auto"/>
                <w:sz w:val="24"/>
                <w:highlight w:val="none"/>
                <w:lang w:eastAsia="zh-CN"/>
              </w:rPr>
              <w:t>厅</w:t>
            </w:r>
            <w:r>
              <w:rPr>
                <w:bCs/>
                <w:color w:val="auto"/>
                <w:sz w:val="24"/>
                <w:highlight w:val="none"/>
              </w:rPr>
              <w:t>公布的《</w:t>
            </w:r>
            <w:r>
              <w:rPr>
                <w:rFonts w:hint="eastAsia"/>
                <w:bCs/>
                <w:color w:val="auto"/>
                <w:sz w:val="24"/>
                <w:highlight w:val="none"/>
              </w:rPr>
              <w:t>福建省流域水环境质量状况 （2024年）</w:t>
            </w:r>
            <w:r>
              <w:rPr>
                <w:bCs/>
                <w:color w:val="auto"/>
                <w:sz w:val="24"/>
                <w:highlight w:val="none"/>
              </w:rPr>
              <w:t>》，</w:t>
            </w:r>
            <w:r>
              <w:rPr>
                <w:rFonts w:hint="default" w:ascii="Times New Roman" w:hAnsi="Times New Roman" w:cs="Times New Roman"/>
                <w:bCs/>
                <w:color w:val="auto"/>
                <w:sz w:val="24"/>
                <w:highlight w:val="none"/>
              </w:rPr>
              <w:t>2025年1</w:t>
            </w:r>
            <w:r>
              <w:rPr>
                <w:rFonts w:hint="eastAsia" w:cs="Times New Roman"/>
                <w:bCs/>
                <w:color w:val="auto"/>
                <w:sz w:val="24"/>
                <w:highlight w:val="none"/>
                <w:lang w:eastAsia="zh-CN"/>
              </w:rPr>
              <w:t>—</w:t>
            </w:r>
            <w:r>
              <w:rPr>
                <w:rFonts w:hint="default" w:ascii="Times New Roman" w:hAnsi="Times New Roman" w:cs="Times New Roman"/>
                <w:bCs/>
                <w:color w:val="auto"/>
                <w:sz w:val="24"/>
                <w:highlight w:val="none"/>
              </w:rPr>
              <w:t>12月，全省主要流域总体水质为优，国控断面Ⅰ～Ⅲ类水质比例100％,Ⅰ～Ⅱ类水质比例84.8％；国控及省控断面Ⅰ～Ⅲ类水质比例100％，其中Ⅰ～Ⅱ类水质比例83.5％，各类水质比例如下：Ⅰ类占4.5％，Ⅱ类占78.9％，Ⅲ类占16.5％，无Ⅳ类、Ⅴ类和劣Ⅴ类水。</w:t>
            </w:r>
          </w:p>
          <w:tbl>
            <w:tblPr>
              <w:tblStyle w:val="32"/>
              <w:tblW w:w="7974"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974"/>
            </w:tblGrid>
            <w:tr w14:paraId="68E5E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974" w:type="dxa"/>
                </w:tcPr>
                <w:p w14:paraId="1D7069E0">
                  <w:pPr>
                    <w:adjustRightInd w:val="0"/>
                    <w:snapToGrid w:val="0"/>
                    <w:jc w:val="center"/>
                    <w:rPr>
                      <w:rFonts w:hint="eastAsia" w:ascii="Times New Roman" w:hAnsi="Times New Roman" w:eastAsia="宋体" w:cs="Times New Roman"/>
                      <w:iCs/>
                      <w:color w:val="auto"/>
                      <w:kern w:val="0"/>
                      <w:szCs w:val="21"/>
                    </w:rPr>
                  </w:pPr>
                  <w:r>
                    <w:rPr>
                      <w:color w:val="auto"/>
                    </w:rPr>
                    <w:drawing>
                      <wp:inline distT="0" distB="0" distL="114300" distR="114300">
                        <wp:extent cx="4921885" cy="3952240"/>
                        <wp:effectExtent l="0" t="0" r="12065" b="10160"/>
                        <wp:docPr id="13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8"/>
                                <pic:cNvPicPr>
                                  <a:picLocks noChangeAspect="1"/>
                                </pic:cNvPicPr>
                              </pic:nvPicPr>
                              <pic:blipFill>
                                <a:blip r:embed="rId30"/>
                                <a:stretch>
                                  <a:fillRect/>
                                </a:stretch>
                              </pic:blipFill>
                              <pic:spPr>
                                <a:xfrm>
                                  <a:off x="0" y="0"/>
                                  <a:ext cx="4921885" cy="3952240"/>
                                </a:xfrm>
                                <a:prstGeom prst="rect">
                                  <a:avLst/>
                                </a:prstGeom>
                                <a:noFill/>
                                <a:ln>
                                  <a:noFill/>
                                </a:ln>
                              </pic:spPr>
                            </pic:pic>
                          </a:graphicData>
                        </a:graphic>
                      </wp:inline>
                    </w:drawing>
                  </w:r>
                </w:p>
              </w:tc>
            </w:tr>
            <w:tr w14:paraId="3E6B0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974" w:type="dxa"/>
                </w:tcPr>
                <w:p w14:paraId="4B8FDCAC">
                  <w:pPr>
                    <w:adjustRightInd w:val="0"/>
                    <w:snapToGrid w:val="0"/>
                    <w:jc w:val="center"/>
                    <w:rPr>
                      <w:rFonts w:hint="eastAsia" w:ascii="Times New Roman" w:hAnsi="Times New Roman" w:eastAsia="宋体" w:cs="Times New Roman"/>
                      <w:iCs/>
                      <w:color w:val="auto"/>
                      <w:kern w:val="0"/>
                      <w:szCs w:val="21"/>
                    </w:rPr>
                  </w:pPr>
                  <w:r>
                    <w:rPr>
                      <w:rFonts w:hint="eastAsia" w:ascii="Times New Roman" w:hAnsi="Times New Roman" w:eastAsia="宋体" w:cs="Times New Roman"/>
                      <w:b/>
                      <w:bCs/>
                      <w:color w:val="auto"/>
                      <w:kern w:val="2"/>
                      <w:sz w:val="21"/>
                      <w:szCs w:val="21"/>
                      <w:lang w:val="en-US" w:eastAsia="zh-CN" w:bidi="ar-SA"/>
                    </w:rPr>
                    <w:t>图3-2福建省生态环境厅网站截图</w:t>
                  </w:r>
                </w:p>
              </w:tc>
            </w:tr>
          </w:tbl>
          <w:p w14:paraId="5FE46CA1">
            <w:pPr>
              <w:spacing w:line="360" w:lineRule="auto"/>
              <w:ind w:firstLine="480" w:firstLineChars="200"/>
              <w:rPr>
                <w:rFonts w:hint="default" w:ascii="Times New Roman" w:hAnsi="Times New Roman" w:eastAsia="宋体" w:cs="Times New Roman"/>
                <w:bCs/>
                <w:color w:val="auto"/>
                <w:sz w:val="24"/>
                <w:highlight w:val="none"/>
                <w:lang w:eastAsia="zh-CN"/>
              </w:rPr>
            </w:pPr>
            <w:r>
              <w:rPr>
                <w:rFonts w:hint="eastAsia" w:ascii="Times New Roman" w:hAnsi="Times New Roman" w:cs="Times New Roman"/>
                <w:bCs/>
                <w:color w:val="auto"/>
                <w:sz w:val="24"/>
                <w:highlight w:val="none"/>
                <w:lang w:eastAsia="zh-CN"/>
              </w:rPr>
              <w:t>（</w:t>
            </w:r>
            <w:r>
              <w:rPr>
                <w:rFonts w:hint="eastAsia" w:ascii="Times New Roman" w:hAnsi="Times New Roman" w:cs="Times New Roman"/>
                <w:bCs/>
                <w:color w:val="auto"/>
                <w:sz w:val="24"/>
                <w:highlight w:val="none"/>
                <w:lang w:val="en-US" w:eastAsia="zh-CN"/>
              </w:rPr>
              <w:t>2</w:t>
            </w:r>
            <w:r>
              <w:rPr>
                <w:rFonts w:hint="eastAsia" w:ascii="Times New Roman" w:hAnsi="Times New Roman" w:cs="Times New Roman"/>
                <w:bCs/>
                <w:color w:val="auto"/>
                <w:sz w:val="24"/>
                <w:highlight w:val="none"/>
                <w:lang w:eastAsia="zh-CN"/>
              </w:rPr>
              <w:t>）引用数据有效性分析</w:t>
            </w:r>
          </w:p>
          <w:p w14:paraId="08DF19CC">
            <w:pPr>
              <w:pStyle w:val="9"/>
              <w:spacing w:line="360" w:lineRule="auto"/>
              <w:ind w:firstLine="480" w:firstLineChars="200"/>
              <w:rPr>
                <w:rFonts w:ascii="Times New Roman" w:hAnsi="Times New Roman"/>
                <w:color w:val="auto"/>
                <w:sz w:val="24"/>
                <w:szCs w:val="24"/>
              </w:rPr>
            </w:pPr>
            <w:r>
              <w:rPr>
                <w:rFonts w:hint="eastAsia" w:ascii="Times New Roman" w:hAnsi="Times New Roman"/>
                <w:color w:val="auto"/>
                <w:sz w:val="24"/>
                <w:szCs w:val="24"/>
              </w:rPr>
              <w:t>根据《建设项目环境影响报告表编制技术指南</w:t>
            </w:r>
            <w:r>
              <w:rPr>
                <w:rFonts w:hint="eastAsia" w:ascii="Times New Roman" w:hAnsi="Times New Roman"/>
                <w:color w:val="auto"/>
                <w:sz w:val="24"/>
                <w:szCs w:val="24"/>
                <w:lang w:eastAsia="zh-CN"/>
              </w:rPr>
              <w:t>（</w:t>
            </w:r>
            <w:r>
              <w:rPr>
                <w:rFonts w:hint="eastAsia" w:ascii="Times New Roman" w:hAnsi="Times New Roman"/>
                <w:color w:val="auto"/>
                <w:sz w:val="24"/>
                <w:szCs w:val="24"/>
              </w:rPr>
              <w:t>污染影响类</w:t>
            </w:r>
            <w:r>
              <w:rPr>
                <w:rFonts w:hint="eastAsia" w:ascii="Times New Roman" w:hAnsi="Times New Roman"/>
                <w:color w:val="auto"/>
                <w:sz w:val="24"/>
                <w:szCs w:val="24"/>
                <w:lang w:eastAsia="zh-CN"/>
              </w:rPr>
              <w:t>）（</w:t>
            </w:r>
            <w:r>
              <w:rPr>
                <w:rFonts w:hint="eastAsia" w:ascii="Times New Roman" w:hAnsi="Times New Roman"/>
                <w:color w:val="auto"/>
                <w:sz w:val="24"/>
                <w:szCs w:val="24"/>
              </w:rPr>
              <w:t>试行</w:t>
            </w:r>
            <w:r>
              <w:rPr>
                <w:rFonts w:hint="eastAsia" w:ascii="Times New Roman" w:hAnsi="Times New Roman"/>
                <w:color w:val="auto"/>
                <w:sz w:val="24"/>
                <w:szCs w:val="24"/>
                <w:lang w:eastAsia="zh-CN"/>
              </w:rPr>
              <w:t>）</w:t>
            </w:r>
            <w:r>
              <w:rPr>
                <w:rFonts w:hint="eastAsia" w:ascii="Times New Roman" w:hAnsi="Times New Roman"/>
                <w:color w:val="auto"/>
                <w:sz w:val="24"/>
                <w:szCs w:val="24"/>
              </w:rPr>
              <w:t>》的要求</w:t>
            </w:r>
            <w:r>
              <w:rPr>
                <w:rFonts w:hint="eastAsia" w:ascii="Times New Roman" w:hAnsi="Times New Roman"/>
                <w:color w:val="auto"/>
                <w:sz w:val="24"/>
                <w:szCs w:val="24"/>
                <w:lang w:eastAsia="zh-CN"/>
              </w:rPr>
              <w:t>：</w:t>
            </w:r>
            <w:r>
              <w:rPr>
                <w:rFonts w:hint="eastAsia" w:ascii="Times New Roman" w:hAnsi="Times New Roman"/>
                <w:color w:val="auto"/>
                <w:sz w:val="24"/>
                <w:szCs w:val="24"/>
              </w:rPr>
              <w:t>“引用与建设项目距离近的有效数据，包括近3年的规划环境影响评价的监测数据，所在流域控制单元内国家、地方控制断面监测数据，生态环境主管部门发布的水环境质量数据或地表水达标情况的结论。”，此次评价选取福建省生态环境厅发布的水环境质量状况，符合《建设项目环境影响报告表编制技术指南</w:t>
            </w:r>
            <w:r>
              <w:rPr>
                <w:rFonts w:hint="eastAsia" w:ascii="Times New Roman" w:hAnsi="Times New Roman"/>
                <w:color w:val="auto"/>
                <w:sz w:val="24"/>
                <w:szCs w:val="24"/>
                <w:lang w:eastAsia="zh-CN"/>
              </w:rPr>
              <w:t>（</w:t>
            </w:r>
            <w:r>
              <w:rPr>
                <w:rFonts w:hint="eastAsia" w:ascii="Times New Roman" w:hAnsi="Times New Roman"/>
                <w:color w:val="auto"/>
                <w:sz w:val="24"/>
                <w:szCs w:val="24"/>
              </w:rPr>
              <w:t>污染影响类</w:t>
            </w:r>
            <w:r>
              <w:rPr>
                <w:rFonts w:hint="eastAsia" w:ascii="Times New Roman" w:hAnsi="Times New Roman"/>
                <w:color w:val="auto"/>
                <w:sz w:val="24"/>
                <w:szCs w:val="24"/>
                <w:lang w:eastAsia="zh-CN"/>
              </w:rPr>
              <w:t>）（</w:t>
            </w:r>
            <w:r>
              <w:rPr>
                <w:rFonts w:hint="eastAsia" w:ascii="Times New Roman" w:hAnsi="Times New Roman"/>
                <w:color w:val="auto"/>
                <w:sz w:val="24"/>
                <w:szCs w:val="24"/>
              </w:rPr>
              <w:t>试行</w:t>
            </w:r>
            <w:r>
              <w:rPr>
                <w:rFonts w:hint="eastAsia" w:ascii="Times New Roman" w:hAnsi="Times New Roman"/>
                <w:color w:val="auto"/>
                <w:sz w:val="24"/>
                <w:szCs w:val="24"/>
                <w:lang w:eastAsia="zh-CN"/>
              </w:rPr>
              <w:t>）</w:t>
            </w:r>
            <w:r>
              <w:rPr>
                <w:rFonts w:hint="eastAsia" w:ascii="Times New Roman" w:hAnsi="Times New Roman"/>
                <w:color w:val="auto"/>
                <w:sz w:val="24"/>
                <w:szCs w:val="24"/>
              </w:rPr>
              <w:t>》的要求，</w:t>
            </w:r>
            <w:r>
              <w:rPr>
                <w:rFonts w:hint="eastAsia" w:ascii="Times New Roman" w:hAnsi="Times New Roman"/>
                <w:color w:val="auto"/>
                <w:sz w:val="24"/>
                <w:szCs w:val="24"/>
                <w:lang w:eastAsia="zh-CN"/>
              </w:rPr>
              <w:t>引用</w:t>
            </w:r>
            <w:r>
              <w:rPr>
                <w:rFonts w:hint="eastAsia" w:ascii="Times New Roman" w:hAnsi="Times New Roman"/>
                <w:color w:val="auto"/>
                <w:sz w:val="24"/>
                <w:szCs w:val="24"/>
              </w:rPr>
              <w:t>数据有效可行。</w:t>
            </w:r>
          </w:p>
          <w:p w14:paraId="323620DE">
            <w:pPr>
              <w:pStyle w:val="9"/>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综上，项目所在区域</w:t>
            </w:r>
            <w:r>
              <w:rPr>
                <w:rFonts w:hint="eastAsia" w:ascii="Times New Roman" w:hAnsi="Times New Roman"/>
                <w:color w:val="auto"/>
                <w:sz w:val="24"/>
                <w:szCs w:val="24"/>
              </w:rPr>
              <w:t>地表水环境</w:t>
            </w:r>
            <w:r>
              <w:rPr>
                <w:rFonts w:ascii="Times New Roman" w:hAnsi="Times New Roman"/>
                <w:color w:val="auto"/>
                <w:sz w:val="24"/>
                <w:szCs w:val="24"/>
              </w:rPr>
              <w:t>质量符合《地表水环境质量标准》（GB3838-2002）</w:t>
            </w:r>
            <w:r>
              <w:rPr>
                <w:rFonts w:hint="eastAsia" w:ascii="Times New Roman" w:hAnsi="Times New Roman"/>
                <w:color w:val="auto"/>
                <w:sz w:val="24"/>
                <w:szCs w:val="24"/>
                <w:lang w:eastAsia="zh-CN"/>
              </w:rPr>
              <w:t>Ⅲ类</w:t>
            </w:r>
            <w:r>
              <w:rPr>
                <w:rFonts w:hint="eastAsia" w:ascii="Times New Roman" w:hAnsi="Times New Roman"/>
                <w:color w:val="auto"/>
                <w:sz w:val="24"/>
                <w:szCs w:val="24"/>
              </w:rPr>
              <w:t>标准</w:t>
            </w:r>
            <w:r>
              <w:rPr>
                <w:rFonts w:ascii="Times New Roman" w:hAnsi="Times New Roman"/>
                <w:color w:val="auto"/>
                <w:sz w:val="24"/>
                <w:szCs w:val="24"/>
              </w:rPr>
              <w:t>要求</w:t>
            </w:r>
            <w:r>
              <w:rPr>
                <w:rFonts w:hint="eastAsia" w:ascii="Times New Roman" w:hAnsi="Times New Roman"/>
                <w:color w:val="auto"/>
                <w:sz w:val="24"/>
                <w:szCs w:val="24"/>
              </w:rPr>
              <w:t>，项目区域水环境现状良好</w:t>
            </w:r>
            <w:r>
              <w:rPr>
                <w:rFonts w:ascii="Times New Roman" w:hAnsi="Times New Roman"/>
                <w:color w:val="auto"/>
                <w:sz w:val="24"/>
                <w:szCs w:val="24"/>
              </w:rPr>
              <w:t>。</w:t>
            </w:r>
          </w:p>
          <w:p w14:paraId="3F669182">
            <w:pPr>
              <w:pStyle w:val="4"/>
              <w:ind w:firstLine="120"/>
              <w:rPr>
                <w:rFonts w:hint="default"/>
                <w:color w:val="auto"/>
              </w:rPr>
            </w:pPr>
            <w:r>
              <w:rPr>
                <w:color w:val="auto"/>
              </w:rPr>
              <w:t>3.3声环境</w:t>
            </w:r>
          </w:p>
          <w:p w14:paraId="15CDAC9E">
            <w:pPr>
              <w:keepNext w:val="0"/>
              <w:keepLines w:val="0"/>
              <w:pageBreakBefore w:val="0"/>
              <w:widowControl w:val="0"/>
              <w:kinsoku/>
              <w:wordWrap/>
              <w:overflowPunct/>
              <w:topLinePunct w:val="0"/>
              <w:autoSpaceDE/>
              <w:autoSpaceDN/>
              <w:bidi w:val="0"/>
              <w:adjustRightInd/>
              <w:snapToGrid/>
              <w:spacing w:line="360" w:lineRule="auto"/>
              <w:ind w:firstLine="241" w:firstLineChars="100"/>
              <w:textAlignment w:val="auto"/>
              <w:outlineLvl w:val="0"/>
              <w:rPr>
                <w:b/>
                <w:bCs/>
                <w:color w:val="auto"/>
                <w:sz w:val="24"/>
              </w:rPr>
            </w:pPr>
            <w:r>
              <w:rPr>
                <w:b/>
                <w:bCs/>
                <w:color w:val="auto"/>
                <w:sz w:val="24"/>
              </w:rPr>
              <w:t>3</w:t>
            </w:r>
            <w:r>
              <w:rPr>
                <w:rFonts w:hint="eastAsia"/>
                <w:b/>
                <w:bCs/>
                <w:color w:val="auto"/>
                <w:sz w:val="24"/>
              </w:rPr>
              <w:t>.3.1环境功能区划及环境质量标准</w:t>
            </w:r>
          </w:p>
          <w:p w14:paraId="65EEBFD0">
            <w:pPr>
              <w:pStyle w:val="81"/>
              <w:spacing w:line="360" w:lineRule="auto"/>
              <w:jc w:val="left"/>
              <w:rPr>
                <w:rFonts w:hint="eastAsia"/>
                <w:b/>
                <w:bCs/>
                <w:color w:val="auto"/>
                <w:kern w:val="0"/>
              </w:rPr>
            </w:pPr>
            <w:r>
              <w:rPr>
                <w:rFonts w:hint="eastAsia" w:hAnsi="Times New Roman" w:cs="Times New Roman"/>
                <w:bCs/>
                <w:color w:val="auto"/>
                <w:sz w:val="24"/>
              </w:rPr>
              <w:t>项目位于</w:t>
            </w:r>
            <w:r>
              <w:rPr>
                <w:rFonts w:hint="eastAsia"/>
                <w:color w:val="auto"/>
                <w:sz w:val="24"/>
                <w:lang w:eastAsia="zh-CN"/>
              </w:rPr>
              <w:t>福建省福州市闽侯县竹岐乡</w:t>
            </w:r>
            <w:r>
              <w:rPr>
                <w:rFonts w:hint="eastAsia"/>
                <w:color w:val="auto"/>
                <w:sz w:val="24"/>
              </w:rPr>
              <w:t>，根据《竹岐乡镇区声环境功能区划分图</w:t>
            </w:r>
            <w:r>
              <w:rPr>
                <w:rFonts w:hint="eastAsia"/>
                <w:color w:val="auto"/>
                <w:sz w:val="24"/>
                <w:lang w:eastAsia="zh-CN"/>
              </w:rPr>
              <w:t>（</w:t>
            </w:r>
            <w:r>
              <w:rPr>
                <w:rFonts w:hint="eastAsia"/>
                <w:color w:val="auto"/>
                <w:sz w:val="24"/>
              </w:rPr>
              <w:t>2011-2030</w:t>
            </w:r>
            <w:r>
              <w:rPr>
                <w:rFonts w:hint="eastAsia"/>
                <w:color w:val="auto"/>
                <w:sz w:val="24"/>
                <w:lang w:eastAsia="zh-CN"/>
              </w:rPr>
              <w:t>）</w:t>
            </w:r>
            <w:r>
              <w:rPr>
                <w:rFonts w:hint="eastAsia"/>
                <w:color w:val="auto"/>
                <w:sz w:val="24"/>
              </w:rPr>
              <w:t>》</w:t>
            </w:r>
            <w:r>
              <w:rPr>
                <w:rFonts w:hint="eastAsia" w:hAnsi="Times New Roman" w:cs="Times New Roman"/>
                <w:bCs/>
                <w:color w:val="auto"/>
                <w:sz w:val="24"/>
              </w:rPr>
              <w:t>，所在区域环境噪声属于</w:t>
            </w:r>
            <w:r>
              <w:rPr>
                <w:rFonts w:hint="eastAsia" w:hAnsi="Times New Roman" w:cs="Times New Roman"/>
                <w:bCs/>
                <w:color w:val="auto"/>
                <w:sz w:val="24"/>
                <w:lang w:val="en-US" w:eastAsia="zh-CN"/>
              </w:rPr>
              <w:t>3</w:t>
            </w:r>
            <w:r>
              <w:rPr>
                <w:rFonts w:hint="eastAsia" w:hAnsi="Times New Roman" w:cs="Times New Roman"/>
                <w:bCs/>
                <w:color w:val="auto"/>
                <w:sz w:val="24"/>
              </w:rPr>
              <w:t>类区，执行《声环境质量标准》（GB3096-2008）的</w:t>
            </w:r>
            <w:r>
              <w:rPr>
                <w:rFonts w:hint="eastAsia" w:hAnsi="Times New Roman" w:cs="Times New Roman"/>
                <w:bCs/>
                <w:color w:val="auto"/>
                <w:sz w:val="24"/>
                <w:lang w:val="en-US" w:eastAsia="zh-CN"/>
              </w:rPr>
              <w:t>3</w:t>
            </w:r>
            <w:r>
              <w:rPr>
                <w:rFonts w:hint="eastAsia" w:hAnsi="Times New Roman" w:cs="Times New Roman"/>
                <w:bCs/>
                <w:color w:val="auto"/>
                <w:sz w:val="24"/>
              </w:rPr>
              <w:t>类区标准限值。详见表3.3-1。</w:t>
            </w:r>
          </w:p>
          <w:p w14:paraId="295BA60B">
            <w:pPr>
              <w:jc w:val="center"/>
              <w:rPr>
                <w:b/>
                <w:bCs/>
                <w:color w:val="auto"/>
                <w:kern w:val="0"/>
              </w:rPr>
            </w:pPr>
            <w:r>
              <w:rPr>
                <w:b/>
                <w:bCs/>
                <w:color w:val="auto"/>
                <w:kern w:val="0"/>
              </w:rPr>
              <w:t>表</w:t>
            </w:r>
            <w:r>
              <w:rPr>
                <w:rFonts w:hint="eastAsia"/>
                <w:b/>
                <w:bCs/>
                <w:color w:val="auto"/>
                <w:kern w:val="0"/>
              </w:rPr>
              <w:t>3.3-1</w:t>
            </w:r>
            <w:r>
              <w:rPr>
                <w:b/>
                <w:bCs/>
                <w:color w:val="auto"/>
                <w:kern w:val="0"/>
              </w:rPr>
              <w:t>声环境</w:t>
            </w:r>
            <w:r>
              <w:rPr>
                <w:rFonts w:hint="eastAsia"/>
                <w:b/>
                <w:bCs/>
                <w:color w:val="auto"/>
                <w:kern w:val="0"/>
              </w:rPr>
              <w:t>质量标准</w:t>
            </w:r>
          </w:p>
          <w:tbl>
            <w:tblPr>
              <w:tblStyle w:val="32"/>
              <w:tblW w:w="8318" w:type="dxa"/>
              <w:tblInd w:w="5"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772"/>
              <w:gridCol w:w="2773"/>
              <w:gridCol w:w="2773"/>
            </w:tblGrid>
            <w:tr w14:paraId="0F5DFAB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772" w:type="dxa"/>
                  <w:vAlign w:val="center"/>
                </w:tcPr>
                <w:p w14:paraId="4ED0F9E5">
                  <w:pPr>
                    <w:adjustRightInd w:val="0"/>
                    <w:snapToGrid w:val="0"/>
                    <w:jc w:val="center"/>
                    <w:rPr>
                      <w:b/>
                      <w:bCs/>
                      <w:iCs/>
                      <w:color w:val="auto"/>
                      <w:kern w:val="0"/>
                      <w:szCs w:val="21"/>
                    </w:rPr>
                  </w:pPr>
                  <w:r>
                    <w:rPr>
                      <w:rFonts w:hint="eastAsia"/>
                      <w:b/>
                      <w:bCs/>
                      <w:iCs/>
                      <w:color w:val="auto"/>
                      <w:kern w:val="0"/>
                      <w:szCs w:val="21"/>
                    </w:rPr>
                    <w:t>类别</w:t>
                  </w:r>
                </w:p>
              </w:tc>
              <w:tc>
                <w:tcPr>
                  <w:tcW w:w="2773" w:type="dxa"/>
                  <w:vAlign w:val="center"/>
                </w:tcPr>
                <w:p w14:paraId="6CD10491">
                  <w:pPr>
                    <w:adjustRightInd w:val="0"/>
                    <w:snapToGrid w:val="0"/>
                    <w:jc w:val="center"/>
                    <w:rPr>
                      <w:b/>
                      <w:bCs/>
                      <w:iCs/>
                      <w:color w:val="auto"/>
                      <w:kern w:val="0"/>
                      <w:szCs w:val="21"/>
                    </w:rPr>
                  </w:pPr>
                  <w:r>
                    <w:rPr>
                      <w:rFonts w:hint="eastAsia"/>
                      <w:b/>
                      <w:bCs/>
                      <w:iCs/>
                      <w:color w:val="auto"/>
                      <w:kern w:val="0"/>
                      <w:szCs w:val="21"/>
                    </w:rPr>
                    <w:t>昼间</w:t>
                  </w:r>
                </w:p>
              </w:tc>
              <w:tc>
                <w:tcPr>
                  <w:tcW w:w="2773" w:type="dxa"/>
                  <w:vAlign w:val="center"/>
                </w:tcPr>
                <w:p w14:paraId="0657F18B">
                  <w:pPr>
                    <w:adjustRightInd w:val="0"/>
                    <w:snapToGrid w:val="0"/>
                    <w:jc w:val="center"/>
                    <w:rPr>
                      <w:b/>
                      <w:bCs/>
                      <w:iCs/>
                      <w:color w:val="auto"/>
                      <w:kern w:val="0"/>
                      <w:szCs w:val="21"/>
                    </w:rPr>
                  </w:pPr>
                  <w:r>
                    <w:rPr>
                      <w:rFonts w:hint="eastAsia"/>
                      <w:b/>
                      <w:bCs/>
                      <w:iCs/>
                      <w:color w:val="auto"/>
                      <w:kern w:val="0"/>
                      <w:szCs w:val="21"/>
                    </w:rPr>
                    <w:t>夜间</w:t>
                  </w:r>
                </w:p>
              </w:tc>
            </w:tr>
            <w:tr w14:paraId="552A3D2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772" w:type="dxa"/>
                  <w:vAlign w:val="center"/>
                </w:tcPr>
                <w:p w14:paraId="55D9F385">
                  <w:pPr>
                    <w:adjustRightInd w:val="0"/>
                    <w:snapToGrid w:val="0"/>
                    <w:jc w:val="center"/>
                    <w:rPr>
                      <w:iCs/>
                      <w:color w:val="auto"/>
                      <w:kern w:val="0"/>
                      <w:szCs w:val="21"/>
                    </w:rPr>
                  </w:pPr>
                  <w:r>
                    <w:rPr>
                      <w:rFonts w:hint="eastAsia"/>
                      <w:iCs/>
                      <w:color w:val="auto"/>
                      <w:kern w:val="0"/>
                      <w:szCs w:val="21"/>
                      <w:lang w:val="en-US" w:eastAsia="zh-CN"/>
                    </w:rPr>
                    <w:t>3</w:t>
                  </w:r>
                  <w:r>
                    <w:rPr>
                      <w:rFonts w:hint="eastAsia"/>
                      <w:iCs/>
                      <w:color w:val="auto"/>
                      <w:kern w:val="0"/>
                      <w:szCs w:val="21"/>
                    </w:rPr>
                    <w:t>类</w:t>
                  </w:r>
                </w:p>
              </w:tc>
              <w:tc>
                <w:tcPr>
                  <w:tcW w:w="2773" w:type="dxa"/>
                  <w:vAlign w:val="center"/>
                </w:tcPr>
                <w:p w14:paraId="6FF9C9C1">
                  <w:pPr>
                    <w:adjustRightInd w:val="0"/>
                    <w:snapToGrid w:val="0"/>
                    <w:jc w:val="center"/>
                    <w:rPr>
                      <w:iCs/>
                      <w:color w:val="auto"/>
                      <w:kern w:val="0"/>
                      <w:szCs w:val="21"/>
                    </w:rPr>
                  </w:pPr>
                  <w:r>
                    <w:rPr>
                      <w:rFonts w:hint="eastAsia"/>
                      <w:iCs/>
                      <w:color w:val="auto"/>
                      <w:kern w:val="0"/>
                      <w:szCs w:val="21"/>
                    </w:rPr>
                    <w:t>6</w:t>
                  </w:r>
                  <w:r>
                    <w:rPr>
                      <w:rFonts w:hint="eastAsia"/>
                      <w:iCs/>
                      <w:color w:val="auto"/>
                      <w:kern w:val="0"/>
                      <w:szCs w:val="21"/>
                      <w:lang w:val="en-US" w:eastAsia="zh-CN"/>
                    </w:rPr>
                    <w:t>5</w:t>
                  </w:r>
                  <w:r>
                    <w:rPr>
                      <w:rFonts w:hint="eastAsia"/>
                      <w:iCs/>
                      <w:color w:val="auto"/>
                      <w:kern w:val="0"/>
                      <w:szCs w:val="21"/>
                    </w:rPr>
                    <w:t>dB</w:t>
                  </w:r>
                  <w:r>
                    <w:rPr>
                      <w:rFonts w:hint="eastAsia"/>
                      <w:iCs/>
                      <w:color w:val="auto"/>
                      <w:kern w:val="0"/>
                      <w:szCs w:val="21"/>
                      <w:lang w:eastAsia="zh-CN"/>
                    </w:rPr>
                    <w:t>(</w:t>
                  </w:r>
                  <w:r>
                    <w:rPr>
                      <w:rFonts w:hint="eastAsia"/>
                      <w:iCs/>
                      <w:color w:val="auto"/>
                      <w:kern w:val="0"/>
                      <w:szCs w:val="21"/>
                    </w:rPr>
                    <w:t>A</w:t>
                  </w:r>
                  <w:r>
                    <w:rPr>
                      <w:rFonts w:hint="eastAsia"/>
                      <w:iCs/>
                      <w:color w:val="auto"/>
                      <w:kern w:val="0"/>
                      <w:szCs w:val="21"/>
                      <w:lang w:eastAsia="zh-CN"/>
                    </w:rPr>
                    <w:t>)</w:t>
                  </w:r>
                </w:p>
              </w:tc>
              <w:tc>
                <w:tcPr>
                  <w:tcW w:w="2773" w:type="dxa"/>
                  <w:vAlign w:val="center"/>
                </w:tcPr>
                <w:p w14:paraId="6EBDE2FF">
                  <w:pPr>
                    <w:adjustRightInd w:val="0"/>
                    <w:snapToGrid w:val="0"/>
                    <w:jc w:val="center"/>
                    <w:rPr>
                      <w:iCs/>
                      <w:color w:val="auto"/>
                      <w:kern w:val="0"/>
                      <w:szCs w:val="21"/>
                    </w:rPr>
                  </w:pPr>
                  <w:r>
                    <w:rPr>
                      <w:rFonts w:hint="eastAsia"/>
                      <w:iCs/>
                      <w:color w:val="auto"/>
                      <w:kern w:val="0"/>
                      <w:szCs w:val="21"/>
                    </w:rPr>
                    <w:t>5</w:t>
                  </w:r>
                  <w:r>
                    <w:rPr>
                      <w:rFonts w:hint="eastAsia"/>
                      <w:iCs/>
                      <w:color w:val="auto"/>
                      <w:kern w:val="0"/>
                      <w:szCs w:val="21"/>
                      <w:lang w:val="en-US" w:eastAsia="zh-CN"/>
                    </w:rPr>
                    <w:t>5</w:t>
                  </w:r>
                  <w:r>
                    <w:rPr>
                      <w:rFonts w:hint="eastAsia"/>
                      <w:iCs/>
                      <w:color w:val="auto"/>
                      <w:kern w:val="0"/>
                      <w:szCs w:val="21"/>
                    </w:rPr>
                    <w:t>dB</w:t>
                  </w:r>
                  <w:r>
                    <w:rPr>
                      <w:rFonts w:hint="eastAsia"/>
                      <w:iCs/>
                      <w:color w:val="auto"/>
                      <w:kern w:val="0"/>
                      <w:szCs w:val="21"/>
                      <w:lang w:eastAsia="zh-CN"/>
                    </w:rPr>
                    <w:t>(</w:t>
                  </w:r>
                  <w:r>
                    <w:rPr>
                      <w:rFonts w:hint="eastAsia"/>
                      <w:iCs/>
                      <w:color w:val="auto"/>
                      <w:kern w:val="0"/>
                      <w:szCs w:val="21"/>
                    </w:rPr>
                    <w:t>A</w:t>
                  </w:r>
                  <w:r>
                    <w:rPr>
                      <w:rFonts w:hint="eastAsia"/>
                      <w:iCs/>
                      <w:color w:val="auto"/>
                      <w:kern w:val="0"/>
                      <w:szCs w:val="21"/>
                      <w:lang w:eastAsia="zh-CN"/>
                    </w:rPr>
                    <w:t>)</w:t>
                  </w:r>
                </w:p>
              </w:tc>
            </w:tr>
          </w:tbl>
          <w:p w14:paraId="508B848A">
            <w:pPr>
              <w:keepNext w:val="0"/>
              <w:keepLines w:val="0"/>
              <w:pageBreakBefore w:val="0"/>
              <w:widowControl w:val="0"/>
              <w:kinsoku/>
              <w:wordWrap/>
              <w:overflowPunct/>
              <w:topLinePunct w:val="0"/>
              <w:autoSpaceDE/>
              <w:autoSpaceDN/>
              <w:bidi w:val="0"/>
              <w:adjustRightInd/>
              <w:snapToGrid/>
              <w:spacing w:before="120" w:beforeLines="50" w:line="360" w:lineRule="auto"/>
              <w:ind w:firstLine="241" w:firstLineChars="100"/>
              <w:textAlignment w:val="auto"/>
              <w:outlineLvl w:val="0"/>
              <w:rPr>
                <w:b/>
                <w:bCs/>
                <w:color w:val="auto"/>
                <w:sz w:val="24"/>
              </w:rPr>
            </w:pPr>
            <w:r>
              <w:rPr>
                <w:b/>
                <w:bCs/>
                <w:color w:val="auto"/>
                <w:sz w:val="24"/>
              </w:rPr>
              <w:t>3</w:t>
            </w:r>
            <w:r>
              <w:rPr>
                <w:rFonts w:hint="eastAsia"/>
                <w:b/>
                <w:bCs/>
                <w:color w:val="auto"/>
                <w:sz w:val="24"/>
              </w:rPr>
              <w:t>.3.2声环境质量现状</w:t>
            </w:r>
          </w:p>
          <w:p w14:paraId="626A1074">
            <w:pPr>
              <w:pStyle w:val="142"/>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both"/>
              <w:textAlignment w:val="auto"/>
              <w:rPr>
                <w:color w:val="auto"/>
              </w:rPr>
            </w:pPr>
            <w:r>
              <w:rPr>
                <w:bCs/>
                <w:color w:val="auto"/>
                <w:sz w:val="24"/>
              </w:rPr>
              <w:t>本项目位于</w:t>
            </w:r>
            <w:r>
              <w:rPr>
                <w:rFonts w:hint="eastAsia"/>
                <w:color w:val="auto"/>
                <w:sz w:val="24"/>
                <w:lang w:eastAsia="zh-CN"/>
              </w:rPr>
              <w:t>福建省福州市闽侯县竹岐乡</w:t>
            </w:r>
            <w:r>
              <w:rPr>
                <w:bCs/>
                <w:color w:val="auto"/>
                <w:sz w:val="24"/>
              </w:rPr>
              <w:t>，</w:t>
            </w:r>
            <w:r>
              <w:rPr>
                <w:color w:val="auto"/>
              </w:rPr>
              <w:t>项目</w:t>
            </w:r>
            <w:r>
              <w:rPr>
                <w:rFonts w:ascii="Times New Roman" w:hAnsi="Times New Roman" w:eastAsia="Times New Roman" w:cs="Times New Roman"/>
                <w:color w:val="auto"/>
              </w:rPr>
              <w:t>50m</w:t>
            </w:r>
            <w:r>
              <w:rPr>
                <w:color w:val="auto"/>
              </w:rPr>
              <w:t>内不涉及声环境敏感点</w:t>
            </w:r>
            <w:r>
              <w:rPr>
                <w:color w:val="auto"/>
                <w:spacing w:val="1"/>
              </w:rPr>
              <w:t>目标，根据污染影响类项目环评报告表</w:t>
            </w:r>
            <w:r>
              <w:rPr>
                <w:rFonts w:hint="eastAsia" w:ascii="Times New Roman" w:hAnsi="Times New Roman" w:eastAsia="宋体" w:cs="Times New Roman"/>
                <w:color w:val="auto"/>
                <w:spacing w:val="1"/>
                <w:lang w:eastAsia="zh-CN"/>
              </w:rPr>
              <w:t>（</w:t>
            </w:r>
            <w:r>
              <w:rPr>
                <w:rFonts w:ascii="Times New Roman" w:hAnsi="Times New Roman" w:eastAsia="Times New Roman" w:cs="Times New Roman"/>
                <w:color w:val="auto"/>
                <w:spacing w:val="1"/>
              </w:rPr>
              <w:t>2021</w:t>
            </w:r>
            <w:r>
              <w:rPr>
                <w:color w:val="auto"/>
                <w:spacing w:val="1"/>
              </w:rPr>
              <w:t>年版</w:t>
            </w:r>
            <w:r>
              <w:rPr>
                <w:rFonts w:hint="eastAsia" w:ascii="Times New Roman" w:hAnsi="Times New Roman" w:eastAsia="宋体" w:cs="Times New Roman"/>
                <w:color w:val="auto"/>
                <w:spacing w:val="1"/>
                <w:lang w:eastAsia="zh-CN"/>
              </w:rPr>
              <w:t>）</w:t>
            </w:r>
            <w:r>
              <w:rPr>
                <w:color w:val="auto"/>
                <w:spacing w:val="1"/>
              </w:rPr>
              <w:t>编制技术指</w:t>
            </w:r>
            <w:r>
              <w:rPr>
                <w:color w:val="auto"/>
              </w:rPr>
              <w:t>南，若项目厂界</w:t>
            </w:r>
            <w:r>
              <w:rPr>
                <w:color w:val="auto"/>
                <w:spacing w:val="-1"/>
              </w:rPr>
              <w:t>外周边</w:t>
            </w:r>
            <w:r>
              <w:rPr>
                <w:rFonts w:ascii="Times New Roman" w:hAnsi="Times New Roman" w:eastAsia="Times New Roman" w:cs="Times New Roman"/>
                <w:color w:val="auto"/>
                <w:spacing w:val="-1"/>
              </w:rPr>
              <w:t>50</w:t>
            </w:r>
            <w:r>
              <w:rPr>
                <w:color w:val="auto"/>
                <w:spacing w:val="-1"/>
              </w:rPr>
              <w:t>米范围内无敏感目标，则不需要进行</w:t>
            </w:r>
            <w:r>
              <w:rPr>
                <w:color w:val="auto"/>
                <w:spacing w:val="-2"/>
              </w:rPr>
              <w:t>保护目标声环境质量现状监测，</w:t>
            </w:r>
            <w:r>
              <w:rPr>
                <w:color w:val="auto"/>
                <w:spacing w:val="-1"/>
              </w:rPr>
              <w:t>因此项目不对厂界四周的声环境现状进行检测。</w:t>
            </w:r>
          </w:p>
          <w:p w14:paraId="219AE1B5">
            <w:pPr>
              <w:pStyle w:val="4"/>
              <w:ind w:firstLine="120"/>
              <w:rPr>
                <w:rFonts w:hint="default"/>
                <w:color w:val="auto"/>
                <w:lang w:val="en-GB"/>
              </w:rPr>
            </w:pPr>
            <w:r>
              <w:rPr>
                <w:color w:val="auto"/>
              </w:rPr>
              <w:t>3.4生态环境</w:t>
            </w:r>
          </w:p>
          <w:p w14:paraId="7DD478A0">
            <w:pPr>
              <w:pStyle w:val="142"/>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both"/>
              <w:textAlignment w:val="auto"/>
              <w:rPr>
                <w:rFonts w:ascii="宋体" w:hAnsi="宋体" w:eastAsia="宋体" w:cs="宋体"/>
                <w:bCs/>
                <w:color w:val="auto"/>
                <w:sz w:val="24"/>
              </w:rPr>
            </w:pPr>
            <w:r>
              <w:rPr>
                <w:rFonts w:hint="eastAsia" w:ascii="宋体" w:hAnsi="宋体" w:eastAsia="宋体" w:cs="宋体"/>
                <w:bCs/>
                <w:color w:val="auto"/>
                <w:sz w:val="24"/>
              </w:rPr>
              <w:t>本项目</w:t>
            </w:r>
            <w:r>
              <w:rPr>
                <w:rFonts w:hint="eastAsia" w:ascii="宋体" w:hAnsi="宋体" w:eastAsia="宋体" w:cs="宋体"/>
                <w:bCs/>
                <w:color w:val="auto"/>
                <w:sz w:val="24"/>
                <w:lang w:eastAsia="zh-CN"/>
              </w:rPr>
              <w:t>用地范围内无生态环境保护目标</w:t>
            </w:r>
            <w:r>
              <w:rPr>
                <w:rFonts w:hint="eastAsia" w:ascii="宋体" w:hAnsi="宋体" w:eastAsia="宋体" w:cs="宋体"/>
                <w:bCs/>
                <w:color w:val="auto"/>
                <w:sz w:val="24"/>
              </w:rPr>
              <w:t>。对照《建设项目环境影响报告表编制技术指南（污染影响类）（试行）》，本项目可不开展生态环境现状调查。</w:t>
            </w:r>
          </w:p>
          <w:p w14:paraId="0CD9D0EA">
            <w:pPr>
              <w:pStyle w:val="4"/>
              <w:ind w:firstLine="120"/>
              <w:rPr>
                <w:rFonts w:hint="default"/>
                <w:color w:val="auto"/>
              </w:rPr>
            </w:pPr>
            <w:r>
              <w:rPr>
                <w:rFonts w:hint="default"/>
                <w:color w:val="auto"/>
              </w:rPr>
              <w:t>3.5</w:t>
            </w:r>
            <w:r>
              <w:rPr>
                <w:color w:val="auto"/>
              </w:rPr>
              <w:t>地下水、土壤环境</w:t>
            </w:r>
          </w:p>
          <w:p w14:paraId="39374B07">
            <w:pPr>
              <w:spacing w:line="360" w:lineRule="auto"/>
              <w:ind w:firstLine="480" w:firstLineChars="200"/>
              <w:rPr>
                <w:rFonts w:hint="eastAsia"/>
                <w:color w:val="auto"/>
                <w:kern w:val="0"/>
                <w:sz w:val="24"/>
              </w:rPr>
            </w:pPr>
            <w:r>
              <w:rPr>
                <w:rFonts w:hint="eastAsia"/>
                <w:color w:val="auto"/>
                <w:kern w:val="0"/>
                <w:sz w:val="24"/>
              </w:rPr>
              <w:t>根据《建设项目环境影响报告表编制技术指南（污染影响类）（试行）》，原则上不开展地下水、土壤环境质量现状调查；建设项目存在土壤、地下水环境污染途径的，应结合污染源、保护目标分布情况开展现状调查以留作背景值。</w:t>
            </w:r>
          </w:p>
          <w:p w14:paraId="1F6157E3">
            <w:pPr>
              <w:spacing w:line="360" w:lineRule="auto"/>
              <w:ind w:firstLine="480" w:firstLineChars="200"/>
              <w:rPr>
                <w:color w:val="auto"/>
                <w:kern w:val="0"/>
                <w:sz w:val="24"/>
              </w:rPr>
            </w:pPr>
            <w:r>
              <w:rPr>
                <w:rFonts w:hint="eastAsia"/>
                <w:color w:val="auto"/>
                <w:kern w:val="0"/>
                <w:sz w:val="24"/>
              </w:rPr>
              <w:t>根据现场勘查，项目周边</w:t>
            </w:r>
            <w:r>
              <w:rPr>
                <w:rFonts w:hint="eastAsia"/>
                <w:color w:val="auto"/>
                <w:kern w:val="0"/>
                <w:sz w:val="24"/>
                <w:lang w:eastAsia="zh-CN"/>
              </w:rPr>
              <w:t>现状为空地；</w:t>
            </w:r>
            <w:r>
              <w:rPr>
                <w:rFonts w:hint="eastAsia"/>
                <w:color w:val="auto"/>
                <w:kern w:val="0"/>
                <w:sz w:val="24"/>
              </w:rPr>
              <w:t>周边地下水、土壤环境相对不敏感。采取有效的防渗措施后，</w:t>
            </w:r>
            <w:r>
              <w:rPr>
                <w:rFonts w:hint="eastAsia"/>
                <w:color w:val="auto"/>
                <w:kern w:val="0"/>
                <w:sz w:val="24"/>
                <w:lang w:eastAsia="zh-CN"/>
              </w:rPr>
              <w:t>拟建</w:t>
            </w:r>
            <w:r>
              <w:rPr>
                <w:rFonts w:hint="eastAsia"/>
                <w:color w:val="auto"/>
                <w:kern w:val="0"/>
                <w:sz w:val="24"/>
              </w:rPr>
              <w:t>项目对地下水、土壤环境影响很小，</w:t>
            </w:r>
            <w:r>
              <w:rPr>
                <w:rFonts w:hint="eastAsia"/>
                <w:color w:val="auto"/>
                <w:kern w:val="0"/>
                <w:sz w:val="24"/>
                <w:lang w:eastAsia="zh-CN"/>
              </w:rPr>
              <w:t>项目</w:t>
            </w:r>
            <w:r>
              <w:rPr>
                <w:rFonts w:hint="eastAsia"/>
                <w:color w:val="auto"/>
                <w:kern w:val="0"/>
                <w:sz w:val="24"/>
              </w:rPr>
              <w:t>正常运行</w:t>
            </w:r>
            <w:r>
              <w:rPr>
                <w:rFonts w:hint="eastAsia"/>
                <w:color w:val="auto"/>
                <w:kern w:val="0"/>
                <w:sz w:val="24"/>
                <w:lang w:eastAsia="zh-CN"/>
              </w:rPr>
              <w:t>基本</w:t>
            </w:r>
            <w:r>
              <w:rPr>
                <w:rFonts w:hint="eastAsia"/>
                <w:color w:val="auto"/>
                <w:kern w:val="0"/>
                <w:sz w:val="24"/>
              </w:rPr>
              <w:t>不存在土壤、地下水环境污染途径，故不开展地下水、土壤环境质量现状调查。</w:t>
            </w:r>
          </w:p>
          <w:p w14:paraId="704EB716">
            <w:pPr>
              <w:pStyle w:val="4"/>
              <w:ind w:firstLine="120"/>
              <w:rPr>
                <w:rFonts w:hint="default"/>
                <w:color w:val="auto"/>
              </w:rPr>
            </w:pPr>
            <w:r>
              <w:rPr>
                <w:rStyle w:val="49"/>
                <w:rFonts w:hint="default"/>
                <w:b/>
                <w:color w:val="auto"/>
              </w:rPr>
              <w:t>3.6</w:t>
            </w:r>
            <w:r>
              <w:rPr>
                <w:rStyle w:val="49"/>
                <w:b/>
                <w:color w:val="auto"/>
              </w:rPr>
              <w:t>电磁辐射</w:t>
            </w:r>
          </w:p>
          <w:p w14:paraId="224C0F6C">
            <w:pPr>
              <w:spacing w:line="360" w:lineRule="auto"/>
              <w:ind w:firstLine="480" w:firstLineChars="200"/>
              <w:rPr>
                <w:color w:val="auto"/>
              </w:rPr>
            </w:pPr>
            <w:r>
              <w:rPr>
                <w:rFonts w:hint="eastAsia"/>
                <w:color w:val="auto"/>
                <w:kern w:val="0"/>
                <w:sz w:val="24"/>
              </w:rPr>
              <w:t>本次项目评价不包含电磁辐射类，项目无需开展电磁辐射现状监测与评价。</w:t>
            </w:r>
          </w:p>
        </w:tc>
      </w:tr>
      <w:tr w14:paraId="26BC5B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800" w:type="dxa"/>
            <w:vAlign w:val="center"/>
          </w:tcPr>
          <w:p w14:paraId="191A9F0A">
            <w:pPr>
              <w:adjustRightInd w:val="0"/>
              <w:snapToGrid w:val="0"/>
              <w:jc w:val="center"/>
              <w:rPr>
                <w:color w:val="auto"/>
                <w:kern w:val="0"/>
                <w:sz w:val="24"/>
              </w:rPr>
            </w:pPr>
            <w:r>
              <w:rPr>
                <w:color w:val="auto"/>
                <w:kern w:val="0"/>
                <w:sz w:val="24"/>
              </w:rPr>
              <w:t>环境保护</w:t>
            </w:r>
          </w:p>
          <w:p w14:paraId="5A7A1EC0">
            <w:pPr>
              <w:adjustRightInd w:val="0"/>
              <w:snapToGrid w:val="0"/>
              <w:jc w:val="center"/>
              <w:rPr>
                <w:color w:val="auto"/>
                <w:kern w:val="0"/>
                <w:szCs w:val="21"/>
              </w:rPr>
            </w:pPr>
            <w:r>
              <w:rPr>
                <w:color w:val="auto"/>
                <w:kern w:val="0"/>
                <w:sz w:val="24"/>
              </w:rPr>
              <w:t>目标</w:t>
            </w:r>
          </w:p>
        </w:tc>
        <w:tc>
          <w:tcPr>
            <w:tcW w:w="8190" w:type="dxa"/>
            <w:vAlign w:val="center"/>
          </w:tcPr>
          <w:p w14:paraId="63DEF092">
            <w:pPr>
              <w:pStyle w:val="4"/>
              <w:ind w:firstLine="120"/>
              <w:rPr>
                <w:rFonts w:hint="default"/>
                <w:color w:val="auto"/>
              </w:rPr>
            </w:pPr>
            <w:r>
              <w:rPr>
                <w:color w:val="auto"/>
              </w:rPr>
              <w:t>3.7环境保护目标</w:t>
            </w:r>
          </w:p>
          <w:p w14:paraId="16E2D0A4">
            <w:pPr>
              <w:spacing w:line="360" w:lineRule="auto"/>
              <w:ind w:firstLine="480" w:firstLineChars="200"/>
              <w:rPr>
                <w:color w:val="auto"/>
                <w:kern w:val="0"/>
                <w:sz w:val="24"/>
              </w:rPr>
            </w:pPr>
            <w:r>
              <w:rPr>
                <w:rFonts w:hint="eastAsia"/>
                <w:color w:val="auto"/>
                <w:kern w:val="0"/>
                <w:sz w:val="24"/>
              </w:rPr>
              <w:t>本项目评价范围内无文物保护点、风景名胜区、水源地等敏感点。项目周边敏感目标详见表3.7-1，周边情况及主要环境保护目标详见附图</w:t>
            </w:r>
            <w:r>
              <w:rPr>
                <w:rFonts w:hint="eastAsia"/>
                <w:color w:val="auto"/>
                <w:kern w:val="0"/>
                <w:sz w:val="24"/>
                <w:lang w:val="en-US" w:eastAsia="zh-CN"/>
              </w:rPr>
              <w:t>3</w:t>
            </w:r>
            <w:r>
              <w:rPr>
                <w:rFonts w:hint="eastAsia"/>
                <w:color w:val="auto"/>
                <w:kern w:val="0"/>
                <w:sz w:val="24"/>
              </w:rPr>
              <w:t>。</w:t>
            </w:r>
          </w:p>
          <w:p w14:paraId="07F2321B">
            <w:pPr>
              <w:spacing w:line="360" w:lineRule="auto"/>
              <w:ind w:firstLine="480" w:firstLineChars="200"/>
              <w:rPr>
                <w:color w:val="auto"/>
                <w:kern w:val="0"/>
                <w:sz w:val="24"/>
              </w:rPr>
            </w:pPr>
            <w:r>
              <w:rPr>
                <w:rFonts w:hint="eastAsia"/>
                <w:color w:val="auto"/>
                <w:kern w:val="0"/>
                <w:sz w:val="24"/>
              </w:rPr>
              <w:t>（1）大气环境</w:t>
            </w:r>
          </w:p>
          <w:p w14:paraId="65E0D3EC">
            <w:pPr>
              <w:spacing w:line="360" w:lineRule="auto"/>
              <w:ind w:firstLine="480" w:firstLineChars="200"/>
              <w:rPr>
                <w:color w:val="auto"/>
                <w:kern w:val="0"/>
                <w:sz w:val="24"/>
                <w:szCs w:val="24"/>
              </w:rPr>
            </w:pPr>
            <w:r>
              <w:rPr>
                <w:rFonts w:hint="eastAsia"/>
                <w:color w:val="auto"/>
                <w:kern w:val="0"/>
                <w:sz w:val="24"/>
                <w:szCs w:val="24"/>
              </w:rPr>
              <w:t>本项目红线外500m范围内大气敏感目标为</w:t>
            </w:r>
            <w:r>
              <w:rPr>
                <w:rFonts w:hint="eastAsia"/>
                <w:bCs/>
                <w:color w:val="auto"/>
                <w:sz w:val="24"/>
                <w:szCs w:val="24"/>
                <w:lang w:eastAsia="zh-CN"/>
              </w:rPr>
              <w:t>春风村</w:t>
            </w:r>
            <w:r>
              <w:rPr>
                <w:rFonts w:hint="eastAsia"/>
                <w:color w:val="auto"/>
                <w:kern w:val="0"/>
                <w:sz w:val="24"/>
                <w:szCs w:val="24"/>
              </w:rPr>
              <w:t>、</w:t>
            </w:r>
            <w:r>
              <w:rPr>
                <w:rFonts w:hint="eastAsia"/>
                <w:bCs/>
                <w:color w:val="auto"/>
                <w:sz w:val="24"/>
                <w:szCs w:val="24"/>
                <w:lang w:val="en-US" w:eastAsia="zh-CN"/>
              </w:rPr>
              <w:t>春风及第小区、榕东村</w:t>
            </w:r>
            <w:r>
              <w:rPr>
                <w:rFonts w:hint="eastAsia"/>
                <w:color w:val="auto"/>
                <w:kern w:val="0"/>
                <w:sz w:val="24"/>
                <w:szCs w:val="24"/>
              </w:rPr>
              <w:t>。</w:t>
            </w:r>
          </w:p>
          <w:p w14:paraId="0B562770">
            <w:pPr>
              <w:spacing w:line="360" w:lineRule="auto"/>
              <w:ind w:firstLine="480" w:firstLineChars="200"/>
              <w:rPr>
                <w:color w:val="auto"/>
                <w:kern w:val="0"/>
                <w:sz w:val="24"/>
              </w:rPr>
            </w:pPr>
            <w:r>
              <w:rPr>
                <w:rFonts w:hint="eastAsia"/>
                <w:color w:val="auto"/>
                <w:kern w:val="0"/>
                <w:sz w:val="24"/>
              </w:rPr>
              <w:t>（2）声环境</w:t>
            </w:r>
          </w:p>
          <w:p w14:paraId="31206477">
            <w:pPr>
              <w:spacing w:line="360" w:lineRule="auto"/>
              <w:ind w:firstLine="480" w:firstLineChars="200"/>
              <w:rPr>
                <w:color w:val="auto"/>
                <w:kern w:val="0"/>
                <w:sz w:val="24"/>
              </w:rPr>
            </w:pPr>
            <w:r>
              <w:rPr>
                <w:rFonts w:hint="eastAsia"/>
                <w:color w:val="auto"/>
                <w:kern w:val="0"/>
                <w:sz w:val="24"/>
              </w:rPr>
              <w:t>本项目红线外50m范围内</w:t>
            </w:r>
            <w:r>
              <w:rPr>
                <w:rFonts w:hint="eastAsia"/>
                <w:color w:val="auto"/>
                <w:kern w:val="0"/>
                <w:sz w:val="24"/>
                <w:lang w:eastAsia="zh-CN"/>
              </w:rPr>
              <w:t>无</w:t>
            </w:r>
            <w:r>
              <w:rPr>
                <w:rFonts w:hint="eastAsia"/>
                <w:color w:val="auto"/>
                <w:kern w:val="0"/>
                <w:sz w:val="24"/>
              </w:rPr>
              <w:t>声环境保护目标。</w:t>
            </w:r>
          </w:p>
          <w:p w14:paraId="317E1033">
            <w:pPr>
              <w:spacing w:line="360" w:lineRule="auto"/>
              <w:ind w:firstLine="480" w:firstLineChars="200"/>
              <w:rPr>
                <w:color w:val="auto"/>
                <w:kern w:val="0"/>
                <w:sz w:val="24"/>
              </w:rPr>
            </w:pPr>
            <w:r>
              <w:rPr>
                <w:rFonts w:hint="eastAsia"/>
                <w:color w:val="auto"/>
                <w:kern w:val="0"/>
                <w:sz w:val="24"/>
              </w:rPr>
              <w:t>（3）地表水</w:t>
            </w:r>
          </w:p>
          <w:p w14:paraId="2DB93C58">
            <w:pPr>
              <w:spacing w:line="360" w:lineRule="auto"/>
              <w:ind w:firstLine="480" w:firstLineChars="200"/>
              <w:rPr>
                <w:rFonts w:hint="default" w:eastAsia="宋体"/>
                <w:color w:val="auto"/>
                <w:kern w:val="0"/>
                <w:sz w:val="24"/>
                <w:lang w:val="en-US" w:eastAsia="zh-CN"/>
              </w:rPr>
            </w:pPr>
            <w:r>
              <w:rPr>
                <w:rFonts w:hint="eastAsia"/>
                <w:color w:val="auto"/>
                <w:kern w:val="0"/>
                <w:sz w:val="24"/>
              </w:rPr>
              <w:t>本项目红线外</w:t>
            </w:r>
            <w:r>
              <w:rPr>
                <w:rFonts w:hint="eastAsia"/>
                <w:color w:val="auto"/>
                <w:kern w:val="0"/>
                <w:sz w:val="24"/>
                <w:lang w:val="en-US" w:eastAsia="zh-CN"/>
              </w:rPr>
              <w:t>5</w:t>
            </w:r>
            <w:r>
              <w:rPr>
                <w:rFonts w:hint="eastAsia"/>
                <w:color w:val="auto"/>
                <w:kern w:val="0"/>
                <w:sz w:val="24"/>
              </w:rPr>
              <w:t>00m范围</w:t>
            </w:r>
            <w:r>
              <w:rPr>
                <w:rFonts w:hint="eastAsia"/>
                <w:color w:val="auto"/>
                <w:kern w:val="0"/>
                <w:sz w:val="24"/>
                <w:lang w:eastAsia="zh-CN"/>
              </w:rPr>
              <w:t>内</w:t>
            </w:r>
            <w:r>
              <w:rPr>
                <w:rFonts w:hint="eastAsia"/>
                <w:color w:val="auto"/>
                <w:kern w:val="0"/>
                <w:sz w:val="24"/>
              </w:rPr>
              <w:t>地表水保护目标</w:t>
            </w:r>
            <w:r>
              <w:rPr>
                <w:rFonts w:hint="eastAsia"/>
                <w:color w:val="auto"/>
                <w:kern w:val="0"/>
                <w:sz w:val="24"/>
                <w:lang w:eastAsia="zh-CN"/>
              </w:rPr>
              <w:t>为项目东北侧</w:t>
            </w:r>
            <w:r>
              <w:rPr>
                <w:rFonts w:hint="eastAsia"/>
                <w:color w:val="auto"/>
                <w:kern w:val="0"/>
                <w:sz w:val="24"/>
                <w:lang w:val="en-US" w:eastAsia="zh-CN"/>
              </w:rPr>
              <w:t>10m处的</w:t>
            </w:r>
            <w:r>
              <w:rPr>
                <w:rFonts w:hint="eastAsia"/>
                <w:color w:val="auto"/>
                <w:kern w:val="0"/>
                <w:sz w:val="24"/>
                <w:lang w:eastAsia="zh-CN"/>
              </w:rPr>
              <w:t>高洲河</w:t>
            </w:r>
            <w:r>
              <w:rPr>
                <w:rFonts w:hint="eastAsia"/>
                <w:bCs/>
                <w:color w:val="auto"/>
                <w:sz w:val="24"/>
                <w:szCs w:val="24"/>
                <w:lang w:eastAsia="zh-CN"/>
              </w:rPr>
              <w:t>。</w:t>
            </w:r>
          </w:p>
          <w:p w14:paraId="1F0342C9">
            <w:pPr>
              <w:spacing w:line="360" w:lineRule="auto"/>
              <w:ind w:firstLine="480" w:firstLineChars="200"/>
              <w:rPr>
                <w:color w:val="auto"/>
                <w:kern w:val="0"/>
                <w:sz w:val="24"/>
              </w:rPr>
            </w:pPr>
            <w:r>
              <w:rPr>
                <w:rFonts w:hint="eastAsia"/>
                <w:color w:val="auto"/>
                <w:kern w:val="0"/>
                <w:sz w:val="24"/>
              </w:rPr>
              <w:t>（4）地下水</w:t>
            </w:r>
          </w:p>
          <w:p w14:paraId="166CA99C">
            <w:pPr>
              <w:spacing w:line="360" w:lineRule="auto"/>
              <w:ind w:firstLine="480" w:firstLineChars="200"/>
              <w:rPr>
                <w:color w:val="auto"/>
                <w:kern w:val="0"/>
                <w:sz w:val="24"/>
              </w:rPr>
            </w:pPr>
            <w:r>
              <w:rPr>
                <w:rFonts w:hint="eastAsia"/>
                <w:color w:val="auto"/>
                <w:kern w:val="0"/>
                <w:sz w:val="24"/>
              </w:rPr>
              <w:t>项目红线外500m范围无地下水集中式饮用水水源和热水、矿泉水、泉水等特殊地下水资源。</w:t>
            </w:r>
          </w:p>
          <w:p w14:paraId="52F6FD1A">
            <w:pPr>
              <w:spacing w:line="360" w:lineRule="auto"/>
              <w:ind w:firstLine="480" w:firstLineChars="200"/>
              <w:rPr>
                <w:color w:val="auto"/>
                <w:kern w:val="0"/>
                <w:sz w:val="24"/>
              </w:rPr>
            </w:pPr>
            <w:r>
              <w:rPr>
                <w:rFonts w:hint="eastAsia"/>
                <w:color w:val="auto"/>
                <w:kern w:val="0"/>
                <w:sz w:val="24"/>
              </w:rPr>
              <w:t>（5）生态环境</w:t>
            </w:r>
          </w:p>
          <w:p w14:paraId="1852DF75">
            <w:pPr>
              <w:spacing w:line="360" w:lineRule="auto"/>
              <w:ind w:firstLine="480" w:firstLineChars="200"/>
              <w:rPr>
                <w:color w:val="auto"/>
                <w:kern w:val="0"/>
                <w:sz w:val="24"/>
              </w:rPr>
            </w:pPr>
            <w:r>
              <w:rPr>
                <w:rFonts w:hint="eastAsia"/>
                <w:color w:val="auto"/>
                <w:kern w:val="0"/>
                <w:sz w:val="24"/>
              </w:rPr>
              <w:t>本项目不涉及新增用地指标，无生态环境保护目标。</w:t>
            </w:r>
          </w:p>
          <w:p w14:paraId="342EC852">
            <w:pPr>
              <w:jc w:val="center"/>
              <w:rPr>
                <w:b/>
                <w:bCs/>
                <w:color w:val="auto"/>
                <w:szCs w:val="21"/>
              </w:rPr>
            </w:pPr>
            <w:r>
              <w:rPr>
                <w:b/>
                <w:bCs/>
                <w:color w:val="auto"/>
                <w:szCs w:val="21"/>
              </w:rPr>
              <w:t>表3</w:t>
            </w:r>
            <w:r>
              <w:rPr>
                <w:rFonts w:hint="eastAsia"/>
                <w:b/>
                <w:bCs/>
                <w:color w:val="auto"/>
                <w:szCs w:val="21"/>
              </w:rPr>
              <w:t>.7-1</w:t>
            </w:r>
            <w:r>
              <w:rPr>
                <w:b/>
                <w:bCs/>
                <w:color w:val="auto"/>
                <w:szCs w:val="21"/>
              </w:rPr>
              <w:t>项目主要环境保护目标</w:t>
            </w:r>
          </w:p>
          <w:tbl>
            <w:tblPr>
              <w:tblStyle w:val="32"/>
              <w:tblW w:w="7936" w:type="dxa"/>
              <w:tblInd w:w="5"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49"/>
              <w:gridCol w:w="1397"/>
              <w:gridCol w:w="1603"/>
              <w:gridCol w:w="2687"/>
              <w:gridCol w:w="1200"/>
            </w:tblGrid>
            <w:tr w14:paraId="039479B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049" w:type="dxa"/>
                  <w:vMerge w:val="restart"/>
                  <w:tcMar>
                    <w:top w:w="0" w:type="dxa"/>
                    <w:left w:w="51" w:type="dxa"/>
                    <w:bottom w:w="0" w:type="dxa"/>
                    <w:right w:w="51" w:type="dxa"/>
                  </w:tcMar>
                  <w:vAlign w:val="center"/>
                </w:tcPr>
                <w:p w14:paraId="4500995E">
                  <w:pPr>
                    <w:jc w:val="center"/>
                    <w:rPr>
                      <w:b/>
                      <w:color w:val="auto"/>
                      <w:szCs w:val="21"/>
                    </w:rPr>
                  </w:pPr>
                  <w:r>
                    <w:rPr>
                      <w:b/>
                      <w:color w:val="auto"/>
                      <w:szCs w:val="21"/>
                    </w:rPr>
                    <w:t>名称</w:t>
                  </w:r>
                </w:p>
              </w:tc>
              <w:tc>
                <w:tcPr>
                  <w:tcW w:w="1397" w:type="dxa"/>
                  <w:vMerge w:val="restart"/>
                  <w:tcMar>
                    <w:top w:w="0" w:type="dxa"/>
                    <w:left w:w="51" w:type="dxa"/>
                    <w:bottom w:w="0" w:type="dxa"/>
                    <w:right w:w="51" w:type="dxa"/>
                  </w:tcMar>
                  <w:vAlign w:val="center"/>
                </w:tcPr>
                <w:p w14:paraId="2E076CD4">
                  <w:pPr>
                    <w:jc w:val="center"/>
                    <w:rPr>
                      <w:b/>
                      <w:color w:val="auto"/>
                      <w:szCs w:val="21"/>
                    </w:rPr>
                  </w:pPr>
                  <w:r>
                    <w:rPr>
                      <w:b/>
                      <w:color w:val="auto"/>
                      <w:szCs w:val="21"/>
                    </w:rPr>
                    <w:t>保护对象</w:t>
                  </w:r>
                </w:p>
              </w:tc>
              <w:tc>
                <w:tcPr>
                  <w:tcW w:w="1603" w:type="dxa"/>
                  <w:vMerge w:val="restart"/>
                  <w:tcMar>
                    <w:top w:w="0" w:type="dxa"/>
                    <w:left w:w="51" w:type="dxa"/>
                    <w:bottom w:w="0" w:type="dxa"/>
                    <w:right w:w="51" w:type="dxa"/>
                  </w:tcMar>
                  <w:vAlign w:val="center"/>
                </w:tcPr>
                <w:p w14:paraId="58FCEA9A">
                  <w:pPr>
                    <w:jc w:val="center"/>
                    <w:rPr>
                      <w:b/>
                      <w:color w:val="auto"/>
                      <w:szCs w:val="21"/>
                    </w:rPr>
                  </w:pPr>
                  <w:r>
                    <w:rPr>
                      <w:b/>
                      <w:color w:val="auto"/>
                      <w:szCs w:val="21"/>
                    </w:rPr>
                    <w:t>保护内容/规模</w:t>
                  </w:r>
                </w:p>
              </w:tc>
              <w:tc>
                <w:tcPr>
                  <w:tcW w:w="2687" w:type="dxa"/>
                  <w:vMerge w:val="restart"/>
                  <w:tcMar>
                    <w:top w:w="0" w:type="dxa"/>
                    <w:left w:w="51" w:type="dxa"/>
                    <w:bottom w:w="0" w:type="dxa"/>
                    <w:right w:w="51" w:type="dxa"/>
                  </w:tcMar>
                  <w:vAlign w:val="center"/>
                </w:tcPr>
                <w:p w14:paraId="449DD9E7">
                  <w:pPr>
                    <w:jc w:val="center"/>
                    <w:rPr>
                      <w:b/>
                      <w:color w:val="auto"/>
                      <w:szCs w:val="21"/>
                    </w:rPr>
                  </w:pPr>
                  <w:r>
                    <w:rPr>
                      <w:b/>
                      <w:color w:val="auto"/>
                      <w:szCs w:val="21"/>
                    </w:rPr>
                    <w:t>环境功能区</w:t>
                  </w:r>
                </w:p>
              </w:tc>
              <w:tc>
                <w:tcPr>
                  <w:tcW w:w="1200" w:type="dxa"/>
                  <w:vMerge w:val="restart"/>
                  <w:tcMar>
                    <w:top w:w="0" w:type="dxa"/>
                    <w:left w:w="51" w:type="dxa"/>
                    <w:bottom w:w="0" w:type="dxa"/>
                    <w:right w:w="51" w:type="dxa"/>
                  </w:tcMar>
                  <w:vAlign w:val="center"/>
                </w:tcPr>
                <w:p w14:paraId="34E6EC4C">
                  <w:pPr>
                    <w:jc w:val="center"/>
                    <w:rPr>
                      <w:b/>
                      <w:color w:val="auto"/>
                      <w:szCs w:val="21"/>
                    </w:rPr>
                  </w:pPr>
                  <w:r>
                    <w:rPr>
                      <w:rFonts w:hint="eastAsia"/>
                      <w:b/>
                      <w:color w:val="auto"/>
                      <w:szCs w:val="21"/>
                    </w:rPr>
                    <w:t>方位、相对</w:t>
                  </w:r>
                </w:p>
                <w:p w14:paraId="0410217C">
                  <w:pPr>
                    <w:jc w:val="center"/>
                    <w:rPr>
                      <w:b/>
                      <w:color w:val="auto"/>
                      <w:szCs w:val="21"/>
                    </w:rPr>
                  </w:pPr>
                  <w:r>
                    <w:rPr>
                      <w:rFonts w:hint="eastAsia"/>
                      <w:b/>
                      <w:color w:val="auto"/>
                      <w:szCs w:val="21"/>
                    </w:rPr>
                    <w:t>最近</w:t>
                  </w:r>
                  <w:r>
                    <w:rPr>
                      <w:b/>
                      <w:color w:val="auto"/>
                      <w:szCs w:val="21"/>
                    </w:rPr>
                    <w:t>距离</w:t>
                  </w:r>
                </w:p>
              </w:tc>
            </w:tr>
            <w:tr w14:paraId="3457B24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049" w:type="dxa"/>
                  <w:vMerge w:val="continue"/>
                  <w:tcMar>
                    <w:top w:w="0" w:type="dxa"/>
                    <w:left w:w="51" w:type="dxa"/>
                    <w:bottom w:w="0" w:type="dxa"/>
                    <w:right w:w="51" w:type="dxa"/>
                  </w:tcMar>
                  <w:vAlign w:val="center"/>
                </w:tcPr>
                <w:p w14:paraId="02479E50">
                  <w:pPr>
                    <w:jc w:val="center"/>
                    <w:rPr>
                      <w:b/>
                      <w:color w:val="auto"/>
                      <w:szCs w:val="21"/>
                    </w:rPr>
                  </w:pPr>
                </w:p>
              </w:tc>
              <w:tc>
                <w:tcPr>
                  <w:tcW w:w="1397" w:type="dxa"/>
                  <w:vMerge w:val="continue"/>
                  <w:tcMar>
                    <w:top w:w="0" w:type="dxa"/>
                    <w:left w:w="51" w:type="dxa"/>
                    <w:bottom w:w="0" w:type="dxa"/>
                    <w:right w:w="51" w:type="dxa"/>
                  </w:tcMar>
                  <w:vAlign w:val="center"/>
                </w:tcPr>
                <w:p w14:paraId="5AA87B10">
                  <w:pPr>
                    <w:jc w:val="center"/>
                    <w:rPr>
                      <w:b/>
                      <w:color w:val="auto"/>
                      <w:szCs w:val="21"/>
                    </w:rPr>
                  </w:pPr>
                </w:p>
              </w:tc>
              <w:tc>
                <w:tcPr>
                  <w:tcW w:w="1603" w:type="dxa"/>
                  <w:vMerge w:val="continue"/>
                  <w:tcMar>
                    <w:top w:w="0" w:type="dxa"/>
                    <w:left w:w="51" w:type="dxa"/>
                    <w:bottom w:w="0" w:type="dxa"/>
                    <w:right w:w="51" w:type="dxa"/>
                  </w:tcMar>
                  <w:vAlign w:val="center"/>
                </w:tcPr>
                <w:p w14:paraId="7806AACE">
                  <w:pPr>
                    <w:jc w:val="center"/>
                    <w:rPr>
                      <w:b/>
                      <w:color w:val="auto"/>
                      <w:szCs w:val="21"/>
                    </w:rPr>
                  </w:pPr>
                </w:p>
              </w:tc>
              <w:tc>
                <w:tcPr>
                  <w:tcW w:w="2687" w:type="dxa"/>
                  <w:vMerge w:val="continue"/>
                  <w:tcMar>
                    <w:top w:w="0" w:type="dxa"/>
                    <w:left w:w="51" w:type="dxa"/>
                    <w:bottom w:w="0" w:type="dxa"/>
                    <w:right w:w="51" w:type="dxa"/>
                  </w:tcMar>
                  <w:vAlign w:val="center"/>
                </w:tcPr>
                <w:p w14:paraId="72597403">
                  <w:pPr>
                    <w:jc w:val="center"/>
                    <w:rPr>
                      <w:b/>
                      <w:color w:val="auto"/>
                      <w:szCs w:val="21"/>
                    </w:rPr>
                  </w:pPr>
                </w:p>
              </w:tc>
              <w:tc>
                <w:tcPr>
                  <w:tcW w:w="1200" w:type="dxa"/>
                  <w:vMerge w:val="continue"/>
                  <w:tcMar>
                    <w:top w:w="0" w:type="dxa"/>
                    <w:left w:w="51" w:type="dxa"/>
                    <w:bottom w:w="0" w:type="dxa"/>
                    <w:right w:w="51" w:type="dxa"/>
                  </w:tcMar>
                  <w:vAlign w:val="center"/>
                </w:tcPr>
                <w:p w14:paraId="0BC750FA">
                  <w:pPr>
                    <w:jc w:val="center"/>
                    <w:rPr>
                      <w:b/>
                      <w:color w:val="auto"/>
                      <w:szCs w:val="21"/>
                    </w:rPr>
                  </w:pPr>
                </w:p>
              </w:tc>
            </w:tr>
            <w:tr w14:paraId="124D891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049" w:type="dxa"/>
                  <w:vMerge w:val="restart"/>
                  <w:tcMar>
                    <w:top w:w="0" w:type="dxa"/>
                    <w:left w:w="51" w:type="dxa"/>
                    <w:bottom w:w="0" w:type="dxa"/>
                    <w:right w:w="51" w:type="dxa"/>
                  </w:tcMar>
                  <w:vAlign w:val="center"/>
                </w:tcPr>
                <w:p w14:paraId="12F9F7B9">
                  <w:pPr>
                    <w:jc w:val="center"/>
                    <w:rPr>
                      <w:bCs/>
                      <w:color w:val="auto"/>
                      <w:szCs w:val="21"/>
                    </w:rPr>
                  </w:pPr>
                  <w:r>
                    <w:rPr>
                      <w:bCs/>
                      <w:color w:val="auto"/>
                      <w:szCs w:val="21"/>
                    </w:rPr>
                    <w:t>环境空气</w:t>
                  </w:r>
                </w:p>
              </w:tc>
              <w:tc>
                <w:tcPr>
                  <w:tcW w:w="1397" w:type="dxa"/>
                  <w:tcMar>
                    <w:top w:w="0" w:type="dxa"/>
                    <w:left w:w="51" w:type="dxa"/>
                    <w:bottom w:w="0" w:type="dxa"/>
                    <w:right w:w="51" w:type="dxa"/>
                  </w:tcMar>
                  <w:vAlign w:val="center"/>
                </w:tcPr>
                <w:p w14:paraId="5742C061">
                  <w:pPr>
                    <w:jc w:val="center"/>
                    <w:rPr>
                      <w:rFonts w:hint="eastAsia" w:eastAsia="宋体"/>
                      <w:bCs/>
                      <w:color w:val="auto"/>
                      <w:szCs w:val="21"/>
                      <w:lang w:eastAsia="zh-CN"/>
                    </w:rPr>
                  </w:pPr>
                  <w:r>
                    <w:rPr>
                      <w:rFonts w:hint="eastAsia" w:eastAsia="宋体"/>
                      <w:bCs/>
                      <w:color w:val="auto"/>
                      <w:szCs w:val="21"/>
                      <w:lang w:eastAsia="zh-CN"/>
                    </w:rPr>
                    <w:t>春风及第小区</w:t>
                  </w:r>
                </w:p>
              </w:tc>
              <w:tc>
                <w:tcPr>
                  <w:tcW w:w="1603" w:type="dxa"/>
                  <w:tcMar>
                    <w:top w:w="0" w:type="dxa"/>
                    <w:left w:w="51" w:type="dxa"/>
                    <w:bottom w:w="0" w:type="dxa"/>
                    <w:right w:w="51" w:type="dxa"/>
                  </w:tcMar>
                  <w:vAlign w:val="center"/>
                </w:tcPr>
                <w:p w14:paraId="4E30EBE2">
                  <w:pPr>
                    <w:jc w:val="center"/>
                    <w:rPr>
                      <w:bCs/>
                      <w:color w:val="auto"/>
                      <w:szCs w:val="21"/>
                    </w:rPr>
                  </w:pPr>
                  <w:r>
                    <w:rPr>
                      <w:rFonts w:hint="eastAsia"/>
                      <w:bCs/>
                      <w:color w:val="auto"/>
                      <w:szCs w:val="21"/>
                    </w:rPr>
                    <w:t>约</w:t>
                  </w:r>
                  <w:r>
                    <w:rPr>
                      <w:rFonts w:hint="eastAsia"/>
                      <w:bCs/>
                      <w:color w:val="auto"/>
                      <w:szCs w:val="21"/>
                      <w:lang w:val="en-US" w:eastAsia="zh-CN"/>
                    </w:rPr>
                    <w:t>720</w:t>
                  </w:r>
                  <w:r>
                    <w:rPr>
                      <w:rFonts w:hint="eastAsia"/>
                      <w:bCs/>
                      <w:color w:val="auto"/>
                      <w:szCs w:val="21"/>
                    </w:rPr>
                    <w:t>人</w:t>
                  </w:r>
                </w:p>
              </w:tc>
              <w:tc>
                <w:tcPr>
                  <w:tcW w:w="2687" w:type="dxa"/>
                  <w:vMerge w:val="restart"/>
                  <w:tcMar>
                    <w:top w:w="0" w:type="dxa"/>
                    <w:left w:w="51" w:type="dxa"/>
                    <w:bottom w:w="0" w:type="dxa"/>
                    <w:right w:w="51" w:type="dxa"/>
                  </w:tcMar>
                  <w:vAlign w:val="center"/>
                </w:tcPr>
                <w:p w14:paraId="1DA8B273">
                  <w:pPr>
                    <w:jc w:val="center"/>
                    <w:rPr>
                      <w:bCs/>
                      <w:color w:val="auto"/>
                      <w:szCs w:val="21"/>
                    </w:rPr>
                  </w:pPr>
                  <w:r>
                    <w:rPr>
                      <w:rFonts w:hint="eastAsia"/>
                      <w:bCs/>
                      <w:color w:val="auto"/>
                      <w:szCs w:val="21"/>
                    </w:rPr>
                    <w:t>国家环境空气质量标准（GB3095-2026）“过渡阶段浓度限值”二级标准</w:t>
                  </w:r>
                </w:p>
              </w:tc>
              <w:tc>
                <w:tcPr>
                  <w:tcW w:w="1200" w:type="dxa"/>
                  <w:tcMar>
                    <w:top w:w="0" w:type="dxa"/>
                    <w:left w:w="51" w:type="dxa"/>
                    <w:bottom w:w="0" w:type="dxa"/>
                    <w:right w:w="51" w:type="dxa"/>
                  </w:tcMar>
                  <w:vAlign w:val="center"/>
                </w:tcPr>
                <w:p w14:paraId="0066E573">
                  <w:pPr>
                    <w:jc w:val="center"/>
                    <w:rPr>
                      <w:bCs/>
                      <w:color w:val="auto"/>
                      <w:szCs w:val="21"/>
                    </w:rPr>
                  </w:pPr>
                  <w:r>
                    <w:rPr>
                      <w:rFonts w:hint="eastAsia"/>
                      <w:color w:val="auto"/>
                      <w:kern w:val="0"/>
                      <w:szCs w:val="21"/>
                      <w:lang w:val="en-US" w:eastAsia="zh-CN"/>
                    </w:rPr>
                    <w:t>EN,94</w:t>
                  </w:r>
                  <w:r>
                    <w:rPr>
                      <w:rFonts w:hint="eastAsia"/>
                      <w:color w:val="auto"/>
                      <w:kern w:val="0"/>
                      <w:szCs w:val="21"/>
                    </w:rPr>
                    <w:t>m</w:t>
                  </w:r>
                </w:p>
              </w:tc>
            </w:tr>
            <w:tr w14:paraId="4B78BE2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049" w:type="dxa"/>
                  <w:vMerge w:val="continue"/>
                  <w:tcMar>
                    <w:top w:w="0" w:type="dxa"/>
                    <w:left w:w="51" w:type="dxa"/>
                    <w:bottom w:w="0" w:type="dxa"/>
                    <w:right w:w="51" w:type="dxa"/>
                  </w:tcMar>
                  <w:vAlign w:val="center"/>
                </w:tcPr>
                <w:p w14:paraId="4FE2AC97">
                  <w:pPr>
                    <w:jc w:val="center"/>
                    <w:rPr>
                      <w:bCs/>
                      <w:color w:val="auto"/>
                      <w:szCs w:val="21"/>
                    </w:rPr>
                  </w:pPr>
                </w:p>
              </w:tc>
              <w:tc>
                <w:tcPr>
                  <w:tcW w:w="1397" w:type="dxa"/>
                  <w:tcMar>
                    <w:top w:w="0" w:type="dxa"/>
                    <w:left w:w="51" w:type="dxa"/>
                    <w:bottom w:w="0" w:type="dxa"/>
                    <w:right w:w="51" w:type="dxa"/>
                  </w:tcMar>
                  <w:vAlign w:val="center"/>
                </w:tcPr>
                <w:p w14:paraId="06152287">
                  <w:pPr>
                    <w:jc w:val="center"/>
                    <w:rPr>
                      <w:rFonts w:hint="default" w:eastAsia="宋体"/>
                      <w:bCs/>
                      <w:color w:val="auto"/>
                      <w:szCs w:val="21"/>
                      <w:lang w:val="en-US" w:eastAsia="zh-CN"/>
                    </w:rPr>
                  </w:pPr>
                  <w:r>
                    <w:rPr>
                      <w:rFonts w:hint="eastAsia"/>
                      <w:bCs/>
                      <w:color w:val="auto"/>
                      <w:szCs w:val="21"/>
                      <w:lang w:val="en-US" w:eastAsia="zh-CN"/>
                    </w:rPr>
                    <w:t>闽侯县竹岐高洲幼儿园</w:t>
                  </w:r>
                </w:p>
              </w:tc>
              <w:tc>
                <w:tcPr>
                  <w:tcW w:w="1603" w:type="dxa"/>
                  <w:tcMar>
                    <w:top w:w="0" w:type="dxa"/>
                    <w:left w:w="51" w:type="dxa"/>
                    <w:bottom w:w="0" w:type="dxa"/>
                    <w:right w:w="51" w:type="dxa"/>
                  </w:tcMar>
                  <w:vAlign w:val="center"/>
                </w:tcPr>
                <w:p w14:paraId="15870634">
                  <w:pPr>
                    <w:jc w:val="center"/>
                    <w:rPr>
                      <w:rFonts w:hint="eastAsia"/>
                      <w:bCs/>
                      <w:color w:val="auto"/>
                      <w:szCs w:val="21"/>
                    </w:rPr>
                  </w:pPr>
                  <w:r>
                    <w:rPr>
                      <w:rFonts w:hint="eastAsia"/>
                      <w:bCs/>
                      <w:color w:val="auto"/>
                      <w:szCs w:val="21"/>
                    </w:rPr>
                    <w:t>约</w:t>
                  </w:r>
                  <w:r>
                    <w:rPr>
                      <w:rFonts w:hint="eastAsia"/>
                      <w:bCs/>
                      <w:color w:val="auto"/>
                      <w:szCs w:val="21"/>
                      <w:lang w:val="en-US" w:eastAsia="zh-CN"/>
                    </w:rPr>
                    <w:t>400</w:t>
                  </w:r>
                  <w:r>
                    <w:rPr>
                      <w:rFonts w:hint="eastAsia"/>
                      <w:bCs/>
                      <w:color w:val="auto"/>
                      <w:szCs w:val="21"/>
                    </w:rPr>
                    <w:t>人</w:t>
                  </w:r>
                </w:p>
              </w:tc>
              <w:tc>
                <w:tcPr>
                  <w:tcW w:w="2687" w:type="dxa"/>
                  <w:vMerge w:val="continue"/>
                  <w:tcMar>
                    <w:top w:w="0" w:type="dxa"/>
                    <w:left w:w="51" w:type="dxa"/>
                    <w:bottom w:w="0" w:type="dxa"/>
                    <w:right w:w="51" w:type="dxa"/>
                  </w:tcMar>
                  <w:vAlign w:val="center"/>
                </w:tcPr>
                <w:p w14:paraId="19475726">
                  <w:pPr>
                    <w:jc w:val="center"/>
                    <w:rPr>
                      <w:color w:val="auto"/>
                      <w:kern w:val="0"/>
                      <w:szCs w:val="21"/>
                    </w:rPr>
                  </w:pPr>
                </w:p>
              </w:tc>
              <w:tc>
                <w:tcPr>
                  <w:tcW w:w="1200" w:type="dxa"/>
                  <w:tcMar>
                    <w:top w:w="0" w:type="dxa"/>
                    <w:left w:w="51" w:type="dxa"/>
                    <w:bottom w:w="0" w:type="dxa"/>
                    <w:right w:w="51" w:type="dxa"/>
                  </w:tcMar>
                  <w:vAlign w:val="center"/>
                </w:tcPr>
                <w:p w14:paraId="70A4C47F">
                  <w:pPr>
                    <w:jc w:val="center"/>
                    <w:rPr>
                      <w:rFonts w:hint="eastAsia"/>
                      <w:color w:val="auto"/>
                      <w:kern w:val="0"/>
                      <w:szCs w:val="21"/>
                      <w:lang w:val="en-US" w:eastAsia="zh-CN"/>
                    </w:rPr>
                  </w:pPr>
                  <w:r>
                    <w:rPr>
                      <w:rFonts w:hint="eastAsia"/>
                      <w:color w:val="auto"/>
                      <w:kern w:val="0"/>
                      <w:szCs w:val="21"/>
                      <w:lang w:val="en-US" w:eastAsia="zh-CN"/>
                    </w:rPr>
                    <w:t>EN,90</w:t>
                  </w:r>
                  <w:r>
                    <w:rPr>
                      <w:rFonts w:hint="eastAsia"/>
                      <w:color w:val="auto"/>
                      <w:kern w:val="0"/>
                      <w:szCs w:val="21"/>
                    </w:rPr>
                    <w:t>m</w:t>
                  </w:r>
                </w:p>
              </w:tc>
            </w:tr>
            <w:tr w14:paraId="43DE47A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049" w:type="dxa"/>
                  <w:vMerge w:val="continue"/>
                  <w:tcMar>
                    <w:top w:w="0" w:type="dxa"/>
                    <w:left w:w="51" w:type="dxa"/>
                    <w:bottom w:w="0" w:type="dxa"/>
                    <w:right w:w="51" w:type="dxa"/>
                  </w:tcMar>
                  <w:vAlign w:val="center"/>
                </w:tcPr>
                <w:p w14:paraId="07871318">
                  <w:pPr>
                    <w:jc w:val="center"/>
                    <w:rPr>
                      <w:bCs/>
                      <w:color w:val="auto"/>
                      <w:szCs w:val="21"/>
                    </w:rPr>
                  </w:pPr>
                </w:p>
              </w:tc>
              <w:tc>
                <w:tcPr>
                  <w:tcW w:w="1397" w:type="dxa"/>
                  <w:tcMar>
                    <w:top w:w="0" w:type="dxa"/>
                    <w:left w:w="51" w:type="dxa"/>
                    <w:bottom w:w="0" w:type="dxa"/>
                    <w:right w:w="51" w:type="dxa"/>
                  </w:tcMar>
                  <w:vAlign w:val="center"/>
                </w:tcPr>
                <w:p w14:paraId="54D3DDC0">
                  <w:pPr>
                    <w:jc w:val="center"/>
                    <w:rPr>
                      <w:rFonts w:hint="default" w:eastAsia="宋体"/>
                      <w:bCs/>
                      <w:color w:val="auto"/>
                      <w:szCs w:val="21"/>
                      <w:lang w:val="en-US" w:eastAsia="zh-CN"/>
                    </w:rPr>
                  </w:pPr>
                  <w:r>
                    <w:rPr>
                      <w:rFonts w:hint="default" w:eastAsia="宋体"/>
                      <w:bCs/>
                      <w:color w:val="auto"/>
                      <w:szCs w:val="21"/>
                      <w:lang w:val="en-US" w:eastAsia="zh-CN"/>
                    </w:rPr>
                    <w:t>春风村</w:t>
                  </w:r>
                </w:p>
              </w:tc>
              <w:tc>
                <w:tcPr>
                  <w:tcW w:w="1603" w:type="dxa"/>
                  <w:tcMar>
                    <w:top w:w="0" w:type="dxa"/>
                    <w:left w:w="51" w:type="dxa"/>
                    <w:bottom w:w="0" w:type="dxa"/>
                    <w:right w:w="51" w:type="dxa"/>
                  </w:tcMar>
                  <w:vAlign w:val="center"/>
                </w:tcPr>
                <w:p w14:paraId="0F48CB72">
                  <w:pPr>
                    <w:jc w:val="center"/>
                    <w:rPr>
                      <w:color w:val="auto"/>
                      <w:szCs w:val="21"/>
                    </w:rPr>
                  </w:pPr>
                  <w:r>
                    <w:rPr>
                      <w:rFonts w:hint="eastAsia"/>
                      <w:color w:val="auto"/>
                      <w:szCs w:val="21"/>
                    </w:rPr>
                    <w:t>约</w:t>
                  </w:r>
                  <w:r>
                    <w:rPr>
                      <w:rFonts w:hint="eastAsia"/>
                      <w:color w:val="auto"/>
                      <w:szCs w:val="21"/>
                      <w:lang w:val="en-US" w:eastAsia="zh-CN"/>
                    </w:rPr>
                    <w:t>110</w:t>
                  </w:r>
                  <w:r>
                    <w:rPr>
                      <w:rFonts w:hint="eastAsia"/>
                      <w:color w:val="auto"/>
                      <w:szCs w:val="21"/>
                    </w:rPr>
                    <w:t>0人</w:t>
                  </w:r>
                </w:p>
              </w:tc>
              <w:tc>
                <w:tcPr>
                  <w:tcW w:w="2687" w:type="dxa"/>
                  <w:vMerge w:val="continue"/>
                  <w:tcMar>
                    <w:top w:w="0" w:type="dxa"/>
                    <w:left w:w="51" w:type="dxa"/>
                    <w:bottom w:w="0" w:type="dxa"/>
                    <w:right w:w="51" w:type="dxa"/>
                  </w:tcMar>
                  <w:vAlign w:val="center"/>
                </w:tcPr>
                <w:p w14:paraId="1E992F40">
                  <w:pPr>
                    <w:jc w:val="center"/>
                    <w:rPr>
                      <w:color w:val="auto"/>
                      <w:kern w:val="0"/>
                      <w:szCs w:val="21"/>
                    </w:rPr>
                  </w:pPr>
                </w:p>
              </w:tc>
              <w:tc>
                <w:tcPr>
                  <w:tcW w:w="1200" w:type="dxa"/>
                  <w:tcMar>
                    <w:top w:w="0" w:type="dxa"/>
                    <w:left w:w="51" w:type="dxa"/>
                    <w:bottom w:w="0" w:type="dxa"/>
                    <w:right w:w="51" w:type="dxa"/>
                  </w:tcMar>
                  <w:vAlign w:val="center"/>
                </w:tcPr>
                <w:p w14:paraId="6DDAE480">
                  <w:pPr>
                    <w:jc w:val="center"/>
                    <w:rPr>
                      <w:color w:val="auto"/>
                      <w:kern w:val="0"/>
                      <w:szCs w:val="21"/>
                    </w:rPr>
                  </w:pPr>
                  <w:r>
                    <w:rPr>
                      <w:rFonts w:hint="eastAsia"/>
                      <w:color w:val="auto"/>
                      <w:kern w:val="0"/>
                      <w:szCs w:val="21"/>
                      <w:lang w:val="en-US" w:eastAsia="zh-CN"/>
                    </w:rPr>
                    <w:t>EN,193</w:t>
                  </w:r>
                  <w:r>
                    <w:rPr>
                      <w:rFonts w:hint="eastAsia"/>
                      <w:color w:val="auto"/>
                      <w:kern w:val="0"/>
                      <w:szCs w:val="21"/>
                    </w:rPr>
                    <w:t>m</w:t>
                  </w:r>
                </w:p>
              </w:tc>
            </w:tr>
            <w:tr w14:paraId="34279EC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049" w:type="dxa"/>
                  <w:vMerge w:val="continue"/>
                  <w:tcMar>
                    <w:top w:w="0" w:type="dxa"/>
                    <w:left w:w="51" w:type="dxa"/>
                    <w:bottom w:w="0" w:type="dxa"/>
                    <w:right w:w="51" w:type="dxa"/>
                  </w:tcMar>
                  <w:vAlign w:val="center"/>
                </w:tcPr>
                <w:p w14:paraId="5DD428F8">
                  <w:pPr>
                    <w:jc w:val="center"/>
                    <w:rPr>
                      <w:bCs/>
                      <w:color w:val="auto"/>
                      <w:szCs w:val="21"/>
                    </w:rPr>
                  </w:pPr>
                </w:p>
              </w:tc>
              <w:tc>
                <w:tcPr>
                  <w:tcW w:w="1397" w:type="dxa"/>
                  <w:tcMar>
                    <w:top w:w="0" w:type="dxa"/>
                    <w:left w:w="51" w:type="dxa"/>
                    <w:bottom w:w="0" w:type="dxa"/>
                    <w:right w:w="51" w:type="dxa"/>
                  </w:tcMar>
                  <w:vAlign w:val="center"/>
                </w:tcPr>
                <w:p w14:paraId="5F900F58">
                  <w:pPr>
                    <w:jc w:val="center"/>
                    <w:rPr>
                      <w:rFonts w:hint="default" w:eastAsia="宋体"/>
                      <w:bCs/>
                      <w:color w:val="auto"/>
                      <w:szCs w:val="21"/>
                      <w:lang w:val="en-US" w:eastAsia="zh-CN"/>
                    </w:rPr>
                  </w:pPr>
                  <w:r>
                    <w:rPr>
                      <w:rFonts w:hint="eastAsia"/>
                      <w:bCs/>
                      <w:color w:val="auto"/>
                      <w:szCs w:val="21"/>
                      <w:lang w:val="en-US" w:eastAsia="zh-CN"/>
                    </w:rPr>
                    <w:t>榕东村</w:t>
                  </w:r>
                </w:p>
              </w:tc>
              <w:tc>
                <w:tcPr>
                  <w:tcW w:w="1603" w:type="dxa"/>
                  <w:tcMar>
                    <w:top w:w="0" w:type="dxa"/>
                    <w:left w:w="51" w:type="dxa"/>
                    <w:bottom w:w="0" w:type="dxa"/>
                    <w:right w:w="51" w:type="dxa"/>
                  </w:tcMar>
                  <w:vAlign w:val="center"/>
                </w:tcPr>
                <w:p w14:paraId="0F059C14">
                  <w:pPr>
                    <w:jc w:val="center"/>
                    <w:rPr>
                      <w:rFonts w:hint="eastAsia"/>
                      <w:color w:val="auto"/>
                      <w:szCs w:val="21"/>
                    </w:rPr>
                  </w:pPr>
                  <w:r>
                    <w:rPr>
                      <w:rFonts w:hint="eastAsia"/>
                      <w:color w:val="auto"/>
                      <w:szCs w:val="21"/>
                      <w:lang w:eastAsia="zh-CN"/>
                    </w:rPr>
                    <w:t>约</w:t>
                  </w:r>
                  <w:r>
                    <w:rPr>
                      <w:rFonts w:hint="eastAsia"/>
                      <w:color w:val="auto"/>
                      <w:szCs w:val="21"/>
                      <w:lang w:val="en-US" w:eastAsia="zh-CN"/>
                    </w:rPr>
                    <w:t>1500人</w:t>
                  </w:r>
                </w:p>
              </w:tc>
              <w:tc>
                <w:tcPr>
                  <w:tcW w:w="2687" w:type="dxa"/>
                  <w:vMerge w:val="continue"/>
                  <w:tcMar>
                    <w:top w:w="0" w:type="dxa"/>
                    <w:left w:w="51" w:type="dxa"/>
                    <w:bottom w:w="0" w:type="dxa"/>
                    <w:right w:w="51" w:type="dxa"/>
                  </w:tcMar>
                  <w:vAlign w:val="center"/>
                </w:tcPr>
                <w:p w14:paraId="2522A858">
                  <w:pPr>
                    <w:jc w:val="center"/>
                    <w:rPr>
                      <w:color w:val="auto"/>
                      <w:kern w:val="0"/>
                      <w:szCs w:val="21"/>
                    </w:rPr>
                  </w:pPr>
                </w:p>
              </w:tc>
              <w:tc>
                <w:tcPr>
                  <w:tcW w:w="1200" w:type="dxa"/>
                  <w:tcMar>
                    <w:top w:w="0" w:type="dxa"/>
                    <w:left w:w="51" w:type="dxa"/>
                    <w:bottom w:w="0" w:type="dxa"/>
                    <w:right w:w="51" w:type="dxa"/>
                  </w:tcMar>
                  <w:vAlign w:val="center"/>
                </w:tcPr>
                <w:p w14:paraId="432BF7B8">
                  <w:pPr>
                    <w:jc w:val="center"/>
                    <w:rPr>
                      <w:rFonts w:hint="eastAsia"/>
                      <w:color w:val="auto"/>
                      <w:kern w:val="0"/>
                      <w:szCs w:val="21"/>
                      <w:lang w:val="en-US" w:eastAsia="zh-CN"/>
                    </w:rPr>
                  </w:pPr>
                  <w:r>
                    <w:rPr>
                      <w:rFonts w:hint="eastAsia"/>
                      <w:color w:val="auto"/>
                      <w:kern w:val="0"/>
                      <w:szCs w:val="21"/>
                      <w:lang w:val="en-US" w:eastAsia="zh-CN"/>
                    </w:rPr>
                    <w:t>N,343m</w:t>
                  </w:r>
                </w:p>
              </w:tc>
            </w:tr>
            <w:tr w14:paraId="0F5EB86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049" w:type="dxa"/>
                  <w:vMerge w:val="continue"/>
                  <w:tcMar>
                    <w:top w:w="0" w:type="dxa"/>
                    <w:left w:w="51" w:type="dxa"/>
                    <w:bottom w:w="0" w:type="dxa"/>
                    <w:right w:w="51" w:type="dxa"/>
                  </w:tcMar>
                  <w:vAlign w:val="center"/>
                </w:tcPr>
                <w:p w14:paraId="0713B840">
                  <w:pPr>
                    <w:jc w:val="center"/>
                    <w:rPr>
                      <w:bCs/>
                      <w:color w:val="auto"/>
                      <w:szCs w:val="21"/>
                    </w:rPr>
                  </w:pPr>
                </w:p>
              </w:tc>
              <w:tc>
                <w:tcPr>
                  <w:tcW w:w="1397" w:type="dxa"/>
                  <w:tcMar>
                    <w:top w:w="0" w:type="dxa"/>
                    <w:left w:w="51" w:type="dxa"/>
                    <w:bottom w:w="0" w:type="dxa"/>
                    <w:right w:w="51" w:type="dxa"/>
                  </w:tcMar>
                  <w:vAlign w:val="center"/>
                </w:tcPr>
                <w:p w14:paraId="08C95FE5">
                  <w:pPr>
                    <w:jc w:val="center"/>
                    <w:rPr>
                      <w:rFonts w:hint="default"/>
                      <w:bCs/>
                      <w:color w:val="auto"/>
                      <w:szCs w:val="21"/>
                      <w:lang w:val="en-US" w:eastAsia="zh-CN"/>
                    </w:rPr>
                  </w:pPr>
                  <w:r>
                    <w:rPr>
                      <w:rFonts w:hint="eastAsia"/>
                      <w:bCs/>
                      <w:color w:val="auto"/>
                      <w:szCs w:val="21"/>
                      <w:lang w:val="en-US" w:eastAsia="zh-CN"/>
                    </w:rPr>
                    <w:t>白龙村</w:t>
                  </w:r>
                </w:p>
              </w:tc>
              <w:tc>
                <w:tcPr>
                  <w:tcW w:w="1603" w:type="dxa"/>
                  <w:tcMar>
                    <w:top w:w="0" w:type="dxa"/>
                    <w:left w:w="51" w:type="dxa"/>
                    <w:bottom w:w="0" w:type="dxa"/>
                    <w:right w:w="51" w:type="dxa"/>
                  </w:tcMar>
                  <w:vAlign w:val="center"/>
                </w:tcPr>
                <w:p w14:paraId="290B5B60">
                  <w:pPr>
                    <w:jc w:val="center"/>
                    <w:rPr>
                      <w:rFonts w:hint="default" w:eastAsia="宋体"/>
                      <w:color w:val="auto"/>
                      <w:szCs w:val="21"/>
                      <w:lang w:val="en-US" w:eastAsia="zh-CN"/>
                    </w:rPr>
                  </w:pPr>
                  <w:r>
                    <w:rPr>
                      <w:rFonts w:hint="eastAsia"/>
                      <w:color w:val="auto"/>
                      <w:szCs w:val="21"/>
                      <w:lang w:eastAsia="zh-CN"/>
                    </w:rPr>
                    <w:t>约</w:t>
                  </w:r>
                  <w:r>
                    <w:rPr>
                      <w:rFonts w:hint="eastAsia"/>
                      <w:color w:val="auto"/>
                      <w:szCs w:val="21"/>
                      <w:lang w:val="en-US" w:eastAsia="zh-CN"/>
                    </w:rPr>
                    <w:t>2500人</w:t>
                  </w:r>
                </w:p>
              </w:tc>
              <w:tc>
                <w:tcPr>
                  <w:tcW w:w="2687" w:type="dxa"/>
                  <w:vMerge w:val="continue"/>
                  <w:tcMar>
                    <w:top w:w="0" w:type="dxa"/>
                    <w:left w:w="51" w:type="dxa"/>
                    <w:bottom w:w="0" w:type="dxa"/>
                    <w:right w:w="51" w:type="dxa"/>
                  </w:tcMar>
                  <w:vAlign w:val="center"/>
                </w:tcPr>
                <w:p w14:paraId="57D9244A">
                  <w:pPr>
                    <w:jc w:val="center"/>
                    <w:rPr>
                      <w:color w:val="auto"/>
                      <w:kern w:val="0"/>
                      <w:szCs w:val="21"/>
                    </w:rPr>
                  </w:pPr>
                </w:p>
              </w:tc>
              <w:tc>
                <w:tcPr>
                  <w:tcW w:w="1200" w:type="dxa"/>
                  <w:tcMar>
                    <w:top w:w="0" w:type="dxa"/>
                    <w:left w:w="51" w:type="dxa"/>
                    <w:bottom w:w="0" w:type="dxa"/>
                    <w:right w:w="51" w:type="dxa"/>
                  </w:tcMar>
                  <w:vAlign w:val="center"/>
                </w:tcPr>
                <w:p w14:paraId="40D997DE">
                  <w:pPr>
                    <w:jc w:val="center"/>
                    <w:rPr>
                      <w:rFonts w:hint="default" w:eastAsia="宋体"/>
                      <w:color w:val="auto"/>
                      <w:kern w:val="0"/>
                      <w:szCs w:val="21"/>
                      <w:lang w:val="en-US" w:eastAsia="zh-CN"/>
                    </w:rPr>
                  </w:pPr>
                  <w:r>
                    <w:rPr>
                      <w:rFonts w:hint="eastAsia"/>
                      <w:color w:val="auto"/>
                      <w:kern w:val="0"/>
                      <w:szCs w:val="21"/>
                      <w:lang w:val="en-US" w:eastAsia="zh-CN"/>
                    </w:rPr>
                    <w:t>E,370m</w:t>
                  </w:r>
                </w:p>
              </w:tc>
            </w:tr>
            <w:tr w14:paraId="654F4B0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049" w:type="dxa"/>
                  <w:tcMar>
                    <w:top w:w="0" w:type="dxa"/>
                    <w:left w:w="51" w:type="dxa"/>
                    <w:bottom w:w="0" w:type="dxa"/>
                    <w:right w:w="51" w:type="dxa"/>
                  </w:tcMar>
                  <w:vAlign w:val="center"/>
                </w:tcPr>
                <w:p w14:paraId="5036344A">
                  <w:pPr>
                    <w:jc w:val="center"/>
                    <w:rPr>
                      <w:rFonts w:hint="eastAsia" w:eastAsia="宋体"/>
                      <w:bCs/>
                      <w:color w:val="auto"/>
                      <w:szCs w:val="21"/>
                      <w:lang w:eastAsia="zh-CN"/>
                    </w:rPr>
                  </w:pPr>
                  <w:r>
                    <w:rPr>
                      <w:rFonts w:hint="eastAsia"/>
                      <w:bCs/>
                      <w:color w:val="auto"/>
                      <w:szCs w:val="21"/>
                      <w:lang w:eastAsia="zh-CN"/>
                    </w:rPr>
                    <w:t>声环境</w:t>
                  </w:r>
                </w:p>
              </w:tc>
              <w:tc>
                <w:tcPr>
                  <w:tcW w:w="6887" w:type="dxa"/>
                  <w:gridSpan w:val="4"/>
                  <w:tcMar>
                    <w:top w:w="0" w:type="dxa"/>
                    <w:left w:w="51" w:type="dxa"/>
                    <w:bottom w:w="0" w:type="dxa"/>
                    <w:right w:w="51" w:type="dxa"/>
                  </w:tcMar>
                  <w:vAlign w:val="center"/>
                </w:tcPr>
                <w:p w14:paraId="212190A9">
                  <w:pPr>
                    <w:jc w:val="center"/>
                    <w:rPr>
                      <w:rFonts w:hint="eastAsia" w:eastAsia="宋体"/>
                      <w:color w:val="auto"/>
                      <w:kern w:val="0"/>
                      <w:szCs w:val="21"/>
                      <w:lang w:val="en-US" w:eastAsia="zh-CN"/>
                    </w:rPr>
                  </w:pPr>
                  <w:r>
                    <w:rPr>
                      <w:rFonts w:hint="eastAsia"/>
                      <w:color w:val="auto"/>
                      <w:kern w:val="0"/>
                      <w:szCs w:val="21"/>
                    </w:rPr>
                    <w:t>本项目厂界50米范围内无</w:t>
                  </w:r>
                  <w:r>
                    <w:rPr>
                      <w:rFonts w:hint="eastAsia"/>
                      <w:color w:val="auto"/>
                      <w:kern w:val="0"/>
                      <w:szCs w:val="21"/>
                      <w:lang w:eastAsia="zh-CN"/>
                    </w:rPr>
                    <w:t>声环境保护目标</w:t>
                  </w:r>
                </w:p>
              </w:tc>
            </w:tr>
            <w:tr w14:paraId="25943BA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049" w:type="dxa"/>
                  <w:tcMar>
                    <w:top w:w="0" w:type="dxa"/>
                    <w:left w:w="51" w:type="dxa"/>
                    <w:bottom w:w="0" w:type="dxa"/>
                    <w:right w:w="51" w:type="dxa"/>
                  </w:tcMar>
                  <w:vAlign w:val="center"/>
                </w:tcPr>
                <w:p w14:paraId="684394B7">
                  <w:pPr>
                    <w:jc w:val="center"/>
                    <w:rPr>
                      <w:color w:val="auto"/>
                    </w:rPr>
                  </w:pPr>
                  <w:r>
                    <w:rPr>
                      <w:rFonts w:hint="eastAsia"/>
                      <w:color w:val="auto"/>
                    </w:rPr>
                    <w:t>水环境</w:t>
                  </w:r>
                </w:p>
              </w:tc>
              <w:tc>
                <w:tcPr>
                  <w:tcW w:w="1397" w:type="dxa"/>
                  <w:tcMar>
                    <w:top w:w="0" w:type="dxa"/>
                    <w:left w:w="51" w:type="dxa"/>
                    <w:bottom w:w="0" w:type="dxa"/>
                    <w:right w:w="51" w:type="dxa"/>
                  </w:tcMar>
                  <w:vAlign w:val="center"/>
                </w:tcPr>
                <w:p w14:paraId="04BB3770">
                  <w:pPr>
                    <w:jc w:val="center"/>
                    <w:rPr>
                      <w:rFonts w:hint="eastAsia" w:eastAsia="宋体"/>
                      <w:bCs/>
                      <w:color w:val="auto"/>
                      <w:szCs w:val="21"/>
                      <w:lang w:eastAsia="zh-CN"/>
                    </w:rPr>
                  </w:pPr>
                  <w:r>
                    <w:rPr>
                      <w:rFonts w:hint="eastAsia"/>
                      <w:bCs/>
                      <w:color w:val="auto"/>
                      <w:szCs w:val="21"/>
                      <w:lang w:eastAsia="zh-CN"/>
                    </w:rPr>
                    <w:t>高洲河</w:t>
                  </w:r>
                </w:p>
              </w:tc>
              <w:tc>
                <w:tcPr>
                  <w:tcW w:w="1603" w:type="dxa"/>
                  <w:tcMar>
                    <w:top w:w="0" w:type="dxa"/>
                    <w:left w:w="51" w:type="dxa"/>
                    <w:bottom w:w="0" w:type="dxa"/>
                    <w:right w:w="51" w:type="dxa"/>
                  </w:tcMar>
                  <w:vAlign w:val="center"/>
                </w:tcPr>
                <w:p w14:paraId="7DB817DB">
                  <w:pPr>
                    <w:jc w:val="center"/>
                    <w:rPr>
                      <w:bCs/>
                      <w:color w:val="auto"/>
                      <w:szCs w:val="21"/>
                    </w:rPr>
                  </w:pPr>
                  <w:r>
                    <w:rPr>
                      <w:rFonts w:hint="eastAsia"/>
                      <w:bCs/>
                      <w:color w:val="auto"/>
                      <w:szCs w:val="21"/>
                    </w:rPr>
                    <w:t>/</w:t>
                  </w:r>
                </w:p>
              </w:tc>
              <w:tc>
                <w:tcPr>
                  <w:tcW w:w="2687" w:type="dxa"/>
                  <w:tcMar>
                    <w:top w:w="0" w:type="dxa"/>
                    <w:left w:w="51" w:type="dxa"/>
                    <w:bottom w:w="0" w:type="dxa"/>
                    <w:right w:w="51" w:type="dxa"/>
                  </w:tcMar>
                  <w:vAlign w:val="center"/>
                </w:tcPr>
                <w:p w14:paraId="68B72A02">
                  <w:pPr>
                    <w:jc w:val="center"/>
                    <w:rPr>
                      <w:color w:val="auto"/>
                      <w:kern w:val="0"/>
                      <w:szCs w:val="21"/>
                    </w:rPr>
                  </w:pPr>
                  <w:r>
                    <w:rPr>
                      <w:rFonts w:hint="eastAsia"/>
                      <w:color w:val="auto"/>
                      <w:kern w:val="0"/>
                      <w:szCs w:val="21"/>
                    </w:rPr>
                    <w:t>GB3838-2002中</w:t>
                  </w:r>
                  <w:r>
                    <w:rPr>
                      <w:rFonts w:hint="eastAsia"/>
                      <w:color w:val="auto"/>
                      <w:kern w:val="0"/>
                      <w:szCs w:val="21"/>
                      <w:lang w:eastAsia="zh-CN"/>
                    </w:rPr>
                    <w:t>Ⅲ类</w:t>
                  </w:r>
                  <w:r>
                    <w:rPr>
                      <w:rFonts w:hint="eastAsia"/>
                      <w:color w:val="auto"/>
                      <w:kern w:val="0"/>
                      <w:szCs w:val="21"/>
                    </w:rPr>
                    <w:t>标准</w:t>
                  </w:r>
                </w:p>
              </w:tc>
              <w:tc>
                <w:tcPr>
                  <w:tcW w:w="1200" w:type="dxa"/>
                  <w:tcMar>
                    <w:top w:w="0" w:type="dxa"/>
                    <w:left w:w="51" w:type="dxa"/>
                    <w:bottom w:w="0" w:type="dxa"/>
                    <w:right w:w="51" w:type="dxa"/>
                  </w:tcMar>
                  <w:vAlign w:val="center"/>
                </w:tcPr>
                <w:p w14:paraId="6C340C12">
                  <w:pPr>
                    <w:jc w:val="center"/>
                    <w:rPr>
                      <w:color w:val="auto"/>
                      <w:kern w:val="0"/>
                      <w:szCs w:val="21"/>
                    </w:rPr>
                  </w:pPr>
                  <w:r>
                    <w:rPr>
                      <w:rFonts w:hint="eastAsia"/>
                      <w:color w:val="auto"/>
                      <w:kern w:val="0"/>
                      <w:szCs w:val="21"/>
                      <w:lang w:val="en-US" w:eastAsia="zh-CN"/>
                    </w:rPr>
                    <w:t>相邻</w:t>
                  </w:r>
                </w:p>
              </w:tc>
            </w:tr>
            <w:tr w14:paraId="0FE6456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049" w:type="dxa"/>
                  <w:tcMar>
                    <w:top w:w="0" w:type="dxa"/>
                    <w:left w:w="51" w:type="dxa"/>
                    <w:bottom w:w="0" w:type="dxa"/>
                    <w:right w:w="51" w:type="dxa"/>
                  </w:tcMar>
                  <w:vAlign w:val="center"/>
                </w:tcPr>
                <w:p w14:paraId="4CBE07E9">
                  <w:pPr>
                    <w:jc w:val="center"/>
                    <w:rPr>
                      <w:color w:val="auto"/>
                    </w:rPr>
                  </w:pPr>
                  <w:r>
                    <w:rPr>
                      <w:rFonts w:hint="eastAsia"/>
                      <w:color w:val="auto"/>
                    </w:rPr>
                    <w:t>地下水</w:t>
                  </w:r>
                </w:p>
              </w:tc>
              <w:tc>
                <w:tcPr>
                  <w:tcW w:w="6887" w:type="dxa"/>
                  <w:gridSpan w:val="4"/>
                  <w:tcMar>
                    <w:top w:w="0" w:type="dxa"/>
                    <w:left w:w="51" w:type="dxa"/>
                    <w:bottom w:w="0" w:type="dxa"/>
                    <w:right w:w="51" w:type="dxa"/>
                  </w:tcMar>
                  <w:vAlign w:val="center"/>
                </w:tcPr>
                <w:p w14:paraId="0DFB83F9">
                  <w:pPr>
                    <w:jc w:val="center"/>
                    <w:rPr>
                      <w:color w:val="auto"/>
                      <w:kern w:val="0"/>
                      <w:szCs w:val="21"/>
                    </w:rPr>
                  </w:pPr>
                  <w:r>
                    <w:rPr>
                      <w:rFonts w:hint="eastAsia"/>
                      <w:color w:val="auto"/>
                      <w:kern w:val="0"/>
                      <w:szCs w:val="21"/>
                    </w:rPr>
                    <w:t>本项目厂界500米范围内无地下水集中式饮用水水源和热水、矿泉水、温泉等特殊地下水资源</w:t>
                  </w:r>
                </w:p>
              </w:tc>
            </w:tr>
            <w:tr w14:paraId="06F44E1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049" w:type="dxa"/>
                  <w:tcMar>
                    <w:top w:w="0" w:type="dxa"/>
                    <w:left w:w="51" w:type="dxa"/>
                    <w:bottom w:w="0" w:type="dxa"/>
                    <w:right w:w="51" w:type="dxa"/>
                  </w:tcMar>
                  <w:vAlign w:val="center"/>
                </w:tcPr>
                <w:p w14:paraId="591B79AD">
                  <w:pPr>
                    <w:jc w:val="center"/>
                    <w:rPr>
                      <w:color w:val="auto"/>
                    </w:rPr>
                  </w:pPr>
                  <w:r>
                    <w:rPr>
                      <w:rFonts w:hint="eastAsia"/>
                      <w:color w:val="auto"/>
                    </w:rPr>
                    <w:t>生态环境</w:t>
                  </w:r>
                </w:p>
              </w:tc>
              <w:tc>
                <w:tcPr>
                  <w:tcW w:w="6887" w:type="dxa"/>
                  <w:gridSpan w:val="4"/>
                  <w:tcMar>
                    <w:top w:w="0" w:type="dxa"/>
                    <w:left w:w="51" w:type="dxa"/>
                    <w:bottom w:w="0" w:type="dxa"/>
                    <w:right w:w="51" w:type="dxa"/>
                  </w:tcMar>
                  <w:vAlign w:val="center"/>
                </w:tcPr>
                <w:p w14:paraId="1A29304E">
                  <w:pPr>
                    <w:jc w:val="center"/>
                    <w:rPr>
                      <w:color w:val="auto"/>
                      <w:kern w:val="0"/>
                      <w:szCs w:val="21"/>
                    </w:rPr>
                  </w:pPr>
                  <w:r>
                    <w:rPr>
                      <w:rFonts w:hint="eastAsia"/>
                      <w:color w:val="auto"/>
                      <w:kern w:val="0"/>
                      <w:szCs w:val="21"/>
                    </w:rPr>
                    <w:t>本项目不涉及新增用地指标，无生态保护目标。</w:t>
                  </w:r>
                </w:p>
              </w:tc>
            </w:tr>
          </w:tbl>
          <w:p w14:paraId="61D8063D">
            <w:pPr>
              <w:pStyle w:val="44"/>
              <w:spacing w:line="360" w:lineRule="auto"/>
              <w:rPr>
                <w:rFonts w:hAnsi="Times New Roman" w:cs="Times New Roman"/>
                <w:color w:val="auto"/>
              </w:rPr>
            </w:pPr>
          </w:p>
        </w:tc>
      </w:tr>
      <w:tr w14:paraId="037090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0" w:type="dxa"/>
            <w:tcMar>
              <w:left w:w="28" w:type="dxa"/>
              <w:right w:w="28" w:type="dxa"/>
            </w:tcMar>
            <w:vAlign w:val="center"/>
          </w:tcPr>
          <w:p w14:paraId="004A1ED8">
            <w:pPr>
              <w:adjustRightInd w:val="0"/>
              <w:snapToGrid w:val="0"/>
              <w:jc w:val="center"/>
              <w:rPr>
                <w:color w:val="auto"/>
                <w:kern w:val="0"/>
                <w:sz w:val="24"/>
                <w:szCs w:val="24"/>
              </w:rPr>
            </w:pPr>
            <w:r>
              <w:rPr>
                <w:color w:val="auto"/>
                <w:kern w:val="0"/>
                <w:sz w:val="24"/>
                <w:szCs w:val="24"/>
              </w:rPr>
              <w:t>污染物排放控</w:t>
            </w:r>
          </w:p>
          <w:p w14:paraId="21115DBA">
            <w:pPr>
              <w:adjustRightInd w:val="0"/>
              <w:snapToGrid w:val="0"/>
              <w:jc w:val="center"/>
              <w:rPr>
                <w:color w:val="auto"/>
                <w:kern w:val="0"/>
                <w:szCs w:val="21"/>
              </w:rPr>
            </w:pPr>
            <w:r>
              <w:rPr>
                <w:color w:val="auto"/>
                <w:kern w:val="0"/>
                <w:sz w:val="24"/>
                <w:szCs w:val="24"/>
              </w:rPr>
              <w:t>制标准</w:t>
            </w:r>
          </w:p>
        </w:tc>
        <w:tc>
          <w:tcPr>
            <w:tcW w:w="8190" w:type="dxa"/>
            <w:vAlign w:val="center"/>
          </w:tcPr>
          <w:p w14:paraId="11E4D589">
            <w:pPr>
              <w:pStyle w:val="4"/>
              <w:ind w:firstLine="120"/>
              <w:rPr>
                <w:rFonts w:hint="default"/>
                <w:color w:val="auto"/>
              </w:rPr>
            </w:pPr>
            <w:r>
              <w:rPr>
                <w:color w:val="auto"/>
              </w:rPr>
              <w:t>3.8废水排放标准</w:t>
            </w:r>
          </w:p>
          <w:p w14:paraId="05B63AF4">
            <w:pPr>
              <w:numPr>
                <w:ilvl w:val="0"/>
                <w:numId w:val="0"/>
              </w:numPr>
              <w:spacing w:line="360" w:lineRule="auto"/>
              <w:ind w:firstLine="456" w:firstLineChars="200"/>
              <w:rPr>
                <w:color w:val="auto"/>
                <w:spacing w:val="-6"/>
                <w:sz w:val="24"/>
              </w:rPr>
            </w:pPr>
            <w:r>
              <w:rPr>
                <w:rFonts w:ascii="Times New Roman" w:hAnsi="Times New Roman" w:eastAsia="宋体" w:cs="Times New Roman"/>
                <w:color w:val="auto"/>
                <w:spacing w:val="-6"/>
                <w:kern w:val="2"/>
                <w:sz w:val="24"/>
                <w:szCs w:val="24"/>
                <w:lang w:val="en-US" w:eastAsia="zh-CN" w:bidi="ar-SA"/>
              </w:rPr>
              <w:t>（1）</w:t>
            </w:r>
            <w:r>
              <w:rPr>
                <w:color w:val="auto"/>
                <w:spacing w:val="-6"/>
                <w:sz w:val="24"/>
              </w:rPr>
              <w:t>施工期</w:t>
            </w:r>
          </w:p>
          <w:p w14:paraId="6EF475C7">
            <w:pPr>
              <w:pStyle w:val="138"/>
              <w:adjustRightInd w:val="0"/>
              <w:snapToGrid w:val="0"/>
              <w:ind w:firstLine="480"/>
              <w:rPr>
                <w:color w:val="auto"/>
              </w:rPr>
            </w:pPr>
            <w:r>
              <w:rPr>
                <w:rFonts w:hint="default" w:ascii="Times New Roman" w:hAnsi="Times New Roman" w:eastAsia="宋体" w:cs="Times New Roman"/>
                <w:color w:val="auto"/>
              </w:rPr>
              <w:t>项目施工期产生的废水经隔油沉淀池处理后，回用于施工场地的洒水抑尘、运输车辆冲洗等，不外排；生活污水依托周边现有的污水处理系统处理，不单独外排</w:t>
            </w:r>
            <w:r>
              <w:rPr>
                <w:rFonts w:hint="eastAsia"/>
                <w:color w:val="auto"/>
              </w:rPr>
              <w:t>。</w:t>
            </w:r>
          </w:p>
          <w:p w14:paraId="52EB97E8">
            <w:pPr>
              <w:spacing w:line="360" w:lineRule="auto"/>
              <w:ind w:firstLine="456" w:firstLineChars="200"/>
              <w:rPr>
                <w:rFonts w:hint="eastAsia" w:ascii="Times New Roman" w:hAnsi="Times New Roman" w:eastAsia="宋体" w:cs="Times New Roman"/>
                <w:color w:val="auto"/>
                <w:spacing w:val="-6"/>
                <w:sz w:val="24"/>
              </w:rPr>
            </w:pPr>
            <w:r>
              <w:rPr>
                <w:rFonts w:hint="eastAsia" w:ascii="Times New Roman" w:hAnsi="Times New Roman" w:eastAsia="宋体" w:cs="Times New Roman"/>
                <w:color w:val="auto"/>
                <w:spacing w:val="-6"/>
                <w:sz w:val="24"/>
              </w:rPr>
              <w:t>（2）运营期</w:t>
            </w:r>
          </w:p>
          <w:p w14:paraId="59CFB1B9">
            <w:pPr>
              <w:spacing w:line="360" w:lineRule="auto"/>
              <w:ind w:firstLine="360" w:firstLineChars="150"/>
              <w:rPr>
                <w:color w:val="auto"/>
                <w:sz w:val="24"/>
                <w:highlight w:val="none"/>
              </w:rPr>
            </w:pPr>
            <w:r>
              <w:rPr>
                <w:rFonts w:hint="eastAsia"/>
                <w:color w:val="auto"/>
                <w:sz w:val="24"/>
                <w:highlight w:val="none"/>
              </w:rPr>
              <w:t>本项目运营期产生的生活污水排入</w:t>
            </w:r>
            <w:r>
              <w:rPr>
                <w:rFonts w:hint="eastAsia"/>
                <w:color w:val="auto"/>
                <w:sz w:val="24"/>
                <w:highlight w:val="none"/>
                <w:lang w:eastAsia="zh-CN"/>
              </w:rPr>
              <w:t>化粪池</w:t>
            </w:r>
            <w:r>
              <w:rPr>
                <w:rFonts w:hint="eastAsia"/>
                <w:color w:val="auto"/>
                <w:sz w:val="24"/>
                <w:highlight w:val="none"/>
              </w:rPr>
              <w:t>处理</w:t>
            </w:r>
            <w:r>
              <w:rPr>
                <w:rFonts w:hint="eastAsia"/>
                <w:color w:val="auto"/>
                <w:sz w:val="24"/>
                <w:highlight w:val="none"/>
                <w:lang w:eastAsia="zh-CN"/>
              </w:rPr>
              <w:t>并接入市政污水管网，最终</w:t>
            </w:r>
            <w:r>
              <w:rPr>
                <w:rFonts w:hint="eastAsia"/>
                <w:color w:val="auto"/>
                <w:sz w:val="24"/>
                <w:highlight w:val="none"/>
              </w:rPr>
              <w:t>纳入</w:t>
            </w:r>
            <w:r>
              <w:rPr>
                <w:rFonts w:hint="eastAsia"/>
                <w:color w:val="auto"/>
                <w:sz w:val="24"/>
                <w:highlight w:val="none"/>
                <w:lang w:eastAsia="zh-CN"/>
              </w:rPr>
              <w:t>竹岐乡污水处理厂</w:t>
            </w:r>
            <w:r>
              <w:rPr>
                <w:rFonts w:hint="eastAsia"/>
                <w:color w:val="auto"/>
                <w:sz w:val="24"/>
                <w:highlight w:val="none"/>
              </w:rPr>
              <w:t>进一步处理</w:t>
            </w:r>
            <w:r>
              <w:rPr>
                <w:rFonts w:hint="eastAsia"/>
                <w:color w:val="auto"/>
                <w:sz w:val="24"/>
                <w:highlight w:val="none"/>
                <w:lang w:eastAsia="zh-CN"/>
              </w:rPr>
              <w:t>。</w:t>
            </w:r>
            <w:r>
              <w:rPr>
                <w:rFonts w:hint="eastAsia"/>
                <w:color w:val="auto"/>
                <w:sz w:val="24"/>
                <w:highlight w:val="none"/>
              </w:rPr>
              <w:t>项目</w:t>
            </w:r>
            <w:r>
              <w:rPr>
                <w:rFonts w:hint="eastAsia"/>
                <w:color w:val="auto"/>
                <w:sz w:val="24"/>
                <w:highlight w:val="none"/>
                <w:lang w:eastAsia="zh-CN"/>
              </w:rPr>
              <w:t>生活污水</w:t>
            </w:r>
            <w:r>
              <w:rPr>
                <w:rFonts w:hint="eastAsia"/>
                <w:color w:val="auto"/>
                <w:sz w:val="24"/>
                <w:highlight w:val="none"/>
              </w:rPr>
              <w:t>执行《污水综合排放标准》</w:t>
            </w:r>
            <w:r>
              <w:rPr>
                <w:rFonts w:hint="eastAsia"/>
                <w:color w:val="auto"/>
                <w:sz w:val="24"/>
                <w:highlight w:val="none"/>
                <w:lang w:eastAsia="zh-CN"/>
              </w:rPr>
              <w:t>（</w:t>
            </w:r>
            <w:r>
              <w:rPr>
                <w:rFonts w:hint="eastAsia"/>
                <w:color w:val="auto"/>
                <w:sz w:val="24"/>
                <w:highlight w:val="none"/>
              </w:rPr>
              <w:t>GB8978-1996</w:t>
            </w:r>
            <w:r>
              <w:rPr>
                <w:rFonts w:hint="eastAsia"/>
                <w:color w:val="auto"/>
                <w:sz w:val="24"/>
                <w:highlight w:val="none"/>
                <w:lang w:eastAsia="zh-CN"/>
              </w:rPr>
              <w:t>）</w:t>
            </w:r>
            <w:r>
              <w:rPr>
                <w:rFonts w:hint="eastAsia"/>
                <w:color w:val="auto"/>
                <w:sz w:val="24"/>
                <w:highlight w:val="none"/>
              </w:rPr>
              <w:t>表4三级标准</w:t>
            </w:r>
            <w:r>
              <w:rPr>
                <w:rFonts w:hint="eastAsia"/>
                <w:color w:val="auto"/>
                <w:sz w:val="24"/>
                <w:highlight w:val="none"/>
                <w:lang w:eastAsia="zh-CN"/>
              </w:rPr>
              <w:t>其中氨氮参照执行</w:t>
            </w:r>
            <w:r>
              <w:rPr>
                <w:rFonts w:hint="eastAsia"/>
                <w:color w:val="auto"/>
                <w:sz w:val="24"/>
                <w:highlight w:val="none"/>
              </w:rPr>
              <w:t>《污水排入城镇下水道水质标准》</w:t>
            </w:r>
            <w:r>
              <w:rPr>
                <w:rFonts w:hint="eastAsia"/>
                <w:color w:val="auto"/>
                <w:sz w:val="24"/>
                <w:highlight w:val="none"/>
                <w:lang w:eastAsia="zh-CN"/>
              </w:rPr>
              <w:t>（</w:t>
            </w:r>
            <w:r>
              <w:rPr>
                <w:rFonts w:hint="eastAsia"/>
                <w:color w:val="auto"/>
                <w:sz w:val="24"/>
                <w:highlight w:val="none"/>
              </w:rPr>
              <w:t>GB/T31962-2015</w:t>
            </w:r>
            <w:r>
              <w:rPr>
                <w:rFonts w:hint="eastAsia"/>
                <w:color w:val="auto"/>
                <w:sz w:val="24"/>
                <w:highlight w:val="none"/>
                <w:lang w:eastAsia="zh-CN"/>
              </w:rPr>
              <w:t>）</w:t>
            </w:r>
            <w:r>
              <w:rPr>
                <w:rFonts w:hint="eastAsia"/>
                <w:color w:val="auto"/>
                <w:sz w:val="24"/>
                <w:highlight w:val="none"/>
              </w:rPr>
              <w:t>B级标准</w:t>
            </w:r>
            <w:r>
              <w:rPr>
                <w:rFonts w:hint="eastAsia"/>
                <w:color w:val="auto"/>
                <w:sz w:val="24"/>
                <w:highlight w:val="none"/>
                <w:lang w:eastAsia="zh-CN"/>
              </w:rPr>
              <w:t>，</w:t>
            </w:r>
            <w:r>
              <w:rPr>
                <w:rFonts w:ascii="宋体" w:hAnsi="宋体" w:eastAsia="宋体" w:cs="宋体"/>
                <w:color w:val="auto"/>
                <w:sz w:val="24"/>
                <w:szCs w:val="24"/>
              </w:rPr>
              <w:t>污水处理厂尾水执</w:t>
            </w:r>
            <w:r>
              <w:rPr>
                <w:rFonts w:hint="eastAsia" w:ascii="Times New Roman" w:hAnsi="Times New Roman" w:eastAsia="宋体" w:cs="Times New Roman"/>
                <w:color w:val="auto"/>
                <w:sz w:val="24"/>
                <w:highlight w:val="none"/>
              </w:rPr>
              <w:t>行《城镇污水处理厂污染物排放标准》（GB 18918－2002）表</w:t>
            </w:r>
            <w:r>
              <w:rPr>
                <w:rFonts w:hint="eastAsia" w:cs="Times New Roman"/>
                <w:color w:val="auto"/>
                <w:sz w:val="24"/>
                <w:highlight w:val="none"/>
                <w:lang w:val="en-US" w:eastAsia="zh-CN"/>
              </w:rPr>
              <w:t>1</w:t>
            </w:r>
            <w:r>
              <w:rPr>
                <w:rFonts w:hint="eastAsia" w:ascii="Times New Roman" w:hAnsi="Times New Roman" w:eastAsia="宋体" w:cs="Times New Roman"/>
                <w:color w:val="auto"/>
                <w:sz w:val="24"/>
                <w:highlight w:val="none"/>
              </w:rPr>
              <w:t>一级</w:t>
            </w:r>
            <w:r>
              <w:rPr>
                <w:rFonts w:hint="eastAsia" w:cs="Times New Roman"/>
                <w:color w:val="auto"/>
                <w:sz w:val="24"/>
                <w:highlight w:val="none"/>
                <w:lang w:val="en-US" w:eastAsia="zh-CN"/>
              </w:rPr>
              <w:t>A</w:t>
            </w:r>
            <w:r>
              <w:rPr>
                <w:rFonts w:hint="eastAsia" w:ascii="Times New Roman" w:hAnsi="Times New Roman" w:eastAsia="宋体" w:cs="Times New Roman"/>
                <w:color w:val="auto"/>
                <w:sz w:val="24"/>
                <w:highlight w:val="none"/>
              </w:rPr>
              <w:t>标准</w:t>
            </w:r>
            <w:r>
              <w:rPr>
                <w:rFonts w:hint="eastAsia"/>
                <w:color w:val="auto"/>
                <w:sz w:val="24"/>
                <w:highlight w:val="none"/>
              </w:rPr>
              <w:t>排放标准见表3.8-1</w:t>
            </w:r>
            <w:r>
              <w:rPr>
                <w:rFonts w:hint="eastAsia" w:ascii="Times New Roman" w:hAnsi="Times New Roman" w:eastAsia="宋体" w:cs="Times New Roman"/>
                <w:color w:val="auto"/>
                <w:sz w:val="24"/>
                <w:highlight w:val="none"/>
              </w:rPr>
              <w:t>。</w:t>
            </w:r>
          </w:p>
          <w:p w14:paraId="0B3C730C">
            <w:pPr>
              <w:jc w:val="center"/>
              <w:rPr>
                <w:b/>
                <w:bCs/>
                <w:color w:val="auto"/>
                <w:szCs w:val="21"/>
              </w:rPr>
            </w:pPr>
            <w:r>
              <w:rPr>
                <w:rFonts w:hint="eastAsia"/>
                <w:b/>
                <w:bCs/>
                <w:color w:val="auto"/>
                <w:szCs w:val="21"/>
              </w:rPr>
              <w:t>表3.8-1</w:t>
            </w:r>
            <w:r>
              <w:rPr>
                <w:rFonts w:hint="eastAsia"/>
                <w:b/>
                <w:bCs/>
                <w:color w:val="auto"/>
                <w:szCs w:val="21"/>
                <w:lang w:eastAsia="zh-CN"/>
              </w:rPr>
              <w:t>污水排放标准</w:t>
            </w:r>
            <w:r>
              <w:rPr>
                <w:rFonts w:hint="eastAsia"/>
                <w:b/>
                <w:bCs/>
                <w:color w:val="auto"/>
                <w:szCs w:val="21"/>
              </w:rPr>
              <w:t>摘录</w:t>
            </w:r>
          </w:p>
          <w:tbl>
            <w:tblPr>
              <w:tblStyle w:val="32"/>
              <w:tblW w:w="7917"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619"/>
              <w:gridCol w:w="1048"/>
              <w:gridCol w:w="2684"/>
              <w:gridCol w:w="2566"/>
            </w:tblGrid>
            <w:tr w14:paraId="1E4102E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9" w:type="dxa"/>
                  <w:tcBorders>
                    <w:top w:val="single" w:color="auto" w:sz="12" w:space="0"/>
                    <w:right w:val="single" w:color="auto" w:sz="4" w:space="0"/>
                  </w:tcBorders>
                  <w:vAlign w:val="center"/>
                </w:tcPr>
                <w:p w14:paraId="74786C15">
                  <w:pPr>
                    <w:jc w:val="center"/>
                    <w:rPr>
                      <w:b/>
                      <w:bCs/>
                      <w:color w:val="auto"/>
                      <w:sz w:val="21"/>
                      <w:szCs w:val="21"/>
                    </w:rPr>
                  </w:pPr>
                  <w:r>
                    <w:rPr>
                      <w:rFonts w:hint="eastAsia"/>
                      <w:b/>
                      <w:bCs/>
                      <w:color w:val="auto"/>
                      <w:sz w:val="21"/>
                      <w:szCs w:val="21"/>
                    </w:rPr>
                    <w:t>控制项目</w:t>
                  </w:r>
                </w:p>
              </w:tc>
              <w:tc>
                <w:tcPr>
                  <w:tcW w:w="1048" w:type="dxa"/>
                  <w:tcBorders>
                    <w:top w:val="single" w:color="auto" w:sz="12" w:space="0"/>
                    <w:left w:val="single" w:color="auto" w:sz="4" w:space="0"/>
                  </w:tcBorders>
                  <w:vAlign w:val="center"/>
                </w:tcPr>
                <w:p w14:paraId="11D87AC8">
                  <w:pPr>
                    <w:jc w:val="center"/>
                    <w:rPr>
                      <w:b/>
                      <w:bCs/>
                      <w:color w:val="auto"/>
                      <w:sz w:val="21"/>
                      <w:szCs w:val="21"/>
                    </w:rPr>
                  </w:pPr>
                  <w:r>
                    <w:rPr>
                      <w:rFonts w:hint="eastAsia"/>
                      <w:b/>
                      <w:bCs/>
                      <w:color w:val="auto"/>
                      <w:sz w:val="21"/>
                      <w:szCs w:val="21"/>
                    </w:rPr>
                    <w:t>单位</w:t>
                  </w:r>
                </w:p>
              </w:tc>
              <w:tc>
                <w:tcPr>
                  <w:tcW w:w="2684" w:type="dxa"/>
                  <w:tcBorders>
                    <w:top w:val="single" w:color="auto" w:sz="12" w:space="0"/>
                  </w:tcBorders>
                  <w:vAlign w:val="center"/>
                </w:tcPr>
                <w:p w14:paraId="38CA170B">
                  <w:pPr>
                    <w:jc w:val="center"/>
                    <w:rPr>
                      <w:b/>
                      <w:bCs/>
                      <w:color w:val="auto"/>
                      <w:sz w:val="21"/>
                      <w:szCs w:val="21"/>
                    </w:rPr>
                  </w:pPr>
                  <w:r>
                    <w:rPr>
                      <w:rFonts w:hint="eastAsia"/>
                      <w:b/>
                      <w:bCs/>
                      <w:color w:val="auto"/>
                      <w:sz w:val="21"/>
                      <w:szCs w:val="21"/>
                    </w:rPr>
                    <w:t>《污水综合排放标准》</w:t>
                  </w:r>
                  <w:r>
                    <w:rPr>
                      <w:rFonts w:hint="eastAsia"/>
                      <w:b/>
                      <w:bCs/>
                      <w:color w:val="auto"/>
                      <w:sz w:val="21"/>
                      <w:szCs w:val="21"/>
                      <w:lang w:eastAsia="zh-CN"/>
                    </w:rPr>
                    <w:t>（</w:t>
                  </w:r>
                  <w:r>
                    <w:rPr>
                      <w:rFonts w:hint="eastAsia"/>
                      <w:b/>
                      <w:bCs/>
                      <w:color w:val="auto"/>
                      <w:sz w:val="21"/>
                      <w:szCs w:val="21"/>
                    </w:rPr>
                    <w:t>GB8978-1996</w:t>
                  </w:r>
                  <w:r>
                    <w:rPr>
                      <w:rFonts w:hint="eastAsia"/>
                      <w:b/>
                      <w:bCs/>
                      <w:color w:val="auto"/>
                      <w:sz w:val="21"/>
                      <w:szCs w:val="21"/>
                      <w:lang w:eastAsia="zh-CN"/>
                    </w:rPr>
                    <w:t>）</w:t>
                  </w:r>
                  <w:r>
                    <w:rPr>
                      <w:rFonts w:hint="eastAsia"/>
                      <w:b/>
                      <w:bCs/>
                      <w:color w:val="auto"/>
                      <w:sz w:val="21"/>
                      <w:szCs w:val="21"/>
                      <w:highlight w:val="none"/>
                    </w:rPr>
                    <w:t>表4三级标准</w:t>
                  </w:r>
                </w:p>
              </w:tc>
              <w:tc>
                <w:tcPr>
                  <w:tcW w:w="2566" w:type="dxa"/>
                  <w:tcBorders>
                    <w:top w:val="single" w:color="auto" w:sz="12" w:space="0"/>
                  </w:tcBorders>
                  <w:vAlign w:val="center"/>
                </w:tcPr>
                <w:p w14:paraId="33D9BD15">
                  <w:pPr>
                    <w:jc w:val="center"/>
                    <w:rPr>
                      <w:rFonts w:hint="eastAsia"/>
                      <w:b/>
                      <w:bCs/>
                      <w:color w:val="auto"/>
                      <w:sz w:val="21"/>
                      <w:szCs w:val="21"/>
                    </w:rPr>
                  </w:pPr>
                  <w:r>
                    <w:rPr>
                      <w:rFonts w:hint="eastAsia" w:ascii="Times New Roman" w:hAnsi="Times New Roman" w:eastAsia="宋体" w:cs="Times New Roman"/>
                      <w:b/>
                      <w:bCs/>
                      <w:color w:val="auto"/>
                      <w:sz w:val="21"/>
                      <w:szCs w:val="21"/>
                      <w:highlight w:val="none"/>
                    </w:rPr>
                    <w:t>《城镇污水处理厂污染物排放标准》（GB 18918</w:t>
                  </w:r>
                  <w:r>
                    <w:rPr>
                      <w:rFonts w:hint="eastAsia" w:cs="Times New Roman"/>
                      <w:b/>
                      <w:bCs/>
                      <w:color w:val="auto"/>
                      <w:sz w:val="21"/>
                      <w:szCs w:val="21"/>
                      <w:highlight w:val="none"/>
                      <w:lang w:val="en-US" w:eastAsia="zh-CN"/>
                    </w:rPr>
                    <w:t>-</w:t>
                  </w:r>
                  <w:r>
                    <w:rPr>
                      <w:rFonts w:hint="eastAsia" w:ascii="Times New Roman" w:hAnsi="Times New Roman" w:eastAsia="宋体" w:cs="Times New Roman"/>
                      <w:b/>
                      <w:bCs/>
                      <w:color w:val="auto"/>
                      <w:sz w:val="21"/>
                      <w:szCs w:val="21"/>
                      <w:highlight w:val="none"/>
                    </w:rPr>
                    <w:t>2002）表1一级A</w:t>
                  </w:r>
                </w:p>
              </w:tc>
            </w:tr>
            <w:tr w14:paraId="784BFB3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9" w:type="dxa"/>
                  <w:tcBorders>
                    <w:right w:val="single" w:color="auto" w:sz="4" w:space="0"/>
                  </w:tcBorders>
                  <w:vAlign w:val="center"/>
                </w:tcPr>
                <w:p w14:paraId="5C807FF5">
                  <w:pPr>
                    <w:pStyle w:val="89"/>
                    <w:adjustRightInd w:val="0"/>
                    <w:snapToGrid w:val="0"/>
                    <w:spacing w:line="320" w:lineRule="exact"/>
                    <w:jc w:val="center"/>
                    <w:rPr>
                      <w:rFonts w:hint="default" w:eastAsia="宋体"/>
                      <w:iCs/>
                      <w:color w:val="auto"/>
                      <w:kern w:val="0"/>
                      <w:sz w:val="21"/>
                      <w:szCs w:val="21"/>
                      <w:lang w:val="en-US" w:eastAsia="zh-CN"/>
                    </w:rPr>
                  </w:pPr>
                  <w:r>
                    <w:rPr>
                      <w:rFonts w:hint="default" w:ascii="Times New Roman" w:hAnsi="Times New Roman" w:cs="Times New Roman"/>
                      <w:bCs/>
                      <w:color w:val="auto"/>
                      <w:sz w:val="21"/>
                      <w:szCs w:val="21"/>
                      <w:highlight w:val="none"/>
                      <w:lang w:eastAsia="zh-CN"/>
                    </w:rPr>
                    <w:t>PH</w:t>
                  </w:r>
                </w:p>
              </w:tc>
              <w:tc>
                <w:tcPr>
                  <w:tcW w:w="1048" w:type="dxa"/>
                  <w:tcBorders>
                    <w:left w:val="single" w:color="auto" w:sz="4" w:space="0"/>
                  </w:tcBorders>
                  <w:vAlign w:val="center"/>
                </w:tcPr>
                <w:p w14:paraId="7B9F3D9E">
                  <w:pPr>
                    <w:adjustRightInd w:val="0"/>
                    <w:snapToGrid w:val="0"/>
                    <w:jc w:val="center"/>
                    <w:rPr>
                      <w:iCs/>
                      <w:color w:val="auto"/>
                      <w:kern w:val="0"/>
                      <w:sz w:val="21"/>
                      <w:szCs w:val="21"/>
                    </w:rPr>
                  </w:pPr>
                  <w:r>
                    <w:rPr>
                      <w:rFonts w:ascii="Times New Roman"/>
                      <w:color w:val="auto"/>
                      <w:sz w:val="21"/>
                      <w:szCs w:val="21"/>
                    </w:rPr>
                    <w:t>无量纲</w:t>
                  </w:r>
                </w:p>
              </w:tc>
              <w:tc>
                <w:tcPr>
                  <w:tcW w:w="2684" w:type="dxa"/>
                  <w:vAlign w:val="center"/>
                </w:tcPr>
                <w:p w14:paraId="265AD272">
                  <w:pPr>
                    <w:pStyle w:val="89"/>
                    <w:adjustRightInd w:val="0"/>
                    <w:snapToGrid w:val="0"/>
                    <w:spacing w:line="320" w:lineRule="exact"/>
                    <w:jc w:val="center"/>
                    <w:rPr>
                      <w:iCs/>
                      <w:color w:val="auto"/>
                      <w:kern w:val="0"/>
                      <w:sz w:val="21"/>
                      <w:szCs w:val="21"/>
                    </w:rPr>
                  </w:pPr>
                  <w:r>
                    <w:rPr>
                      <w:rFonts w:hint="default" w:ascii="Times New Roman" w:hAnsi="Times New Roman" w:cs="Times New Roman"/>
                      <w:bCs/>
                      <w:color w:val="auto"/>
                      <w:sz w:val="21"/>
                      <w:szCs w:val="21"/>
                      <w:highlight w:val="none"/>
                      <w:lang w:eastAsia="zh-CN"/>
                    </w:rPr>
                    <w:t>6</w:t>
                  </w:r>
                  <w:r>
                    <w:rPr>
                      <w:rFonts w:hint="eastAsia" w:cs="Times New Roman"/>
                      <w:bCs/>
                      <w:color w:val="auto"/>
                      <w:sz w:val="21"/>
                      <w:szCs w:val="21"/>
                      <w:highlight w:val="none"/>
                      <w:lang w:eastAsia="zh-CN"/>
                    </w:rPr>
                    <w:t>~</w:t>
                  </w:r>
                  <w:r>
                    <w:rPr>
                      <w:rFonts w:hint="default" w:ascii="Times New Roman" w:hAnsi="Times New Roman" w:cs="Times New Roman"/>
                      <w:bCs/>
                      <w:color w:val="auto"/>
                      <w:sz w:val="21"/>
                      <w:szCs w:val="21"/>
                      <w:highlight w:val="none"/>
                      <w:lang w:eastAsia="zh-CN"/>
                    </w:rPr>
                    <w:t>9</w:t>
                  </w:r>
                </w:p>
              </w:tc>
              <w:tc>
                <w:tcPr>
                  <w:tcW w:w="2566" w:type="dxa"/>
                  <w:vAlign w:val="center"/>
                </w:tcPr>
                <w:p w14:paraId="0197DECE">
                  <w:pPr>
                    <w:pStyle w:val="89"/>
                    <w:adjustRightInd w:val="0"/>
                    <w:snapToGrid w:val="0"/>
                    <w:spacing w:line="320" w:lineRule="exact"/>
                    <w:jc w:val="center"/>
                    <w:rPr>
                      <w:rFonts w:hint="default" w:ascii="Times New Roman" w:hAnsi="Times New Roman" w:cs="Times New Roman"/>
                      <w:bCs/>
                      <w:color w:val="auto"/>
                      <w:sz w:val="21"/>
                      <w:szCs w:val="21"/>
                      <w:highlight w:val="none"/>
                      <w:lang w:eastAsia="zh-CN"/>
                    </w:rPr>
                  </w:pPr>
                  <w:r>
                    <w:rPr>
                      <w:rFonts w:hint="default" w:ascii="Times New Roman" w:hAnsi="Times New Roman" w:cs="Times New Roman"/>
                      <w:bCs/>
                      <w:color w:val="auto"/>
                      <w:sz w:val="21"/>
                      <w:szCs w:val="21"/>
                      <w:highlight w:val="none"/>
                      <w:lang w:eastAsia="zh-CN"/>
                    </w:rPr>
                    <w:t>6</w:t>
                  </w:r>
                  <w:r>
                    <w:rPr>
                      <w:rFonts w:hint="eastAsia" w:cs="Times New Roman"/>
                      <w:bCs/>
                      <w:color w:val="auto"/>
                      <w:sz w:val="21"/>
                      <w:szCs w:val="21"/>
                      <w:highlight w:val="none"/>
                      <w:lang w:eastAsia="zh-CN"/>
                    </w:rPr>
                    <w:t>~</w:t>
                  </w:r>
                  <w:r>
                    <w:rPr>
                      <w:rFonts w:hint="default" w:ascii="Times New Roman" w:hAnsi="Times New Roman" w:cs="Times New Roman"/>
                      <w:bCs/>
                      <w:color w:val="auto"/>
                      <w:sz w:val="21"/>
                      <w:szCs w:val="21"/>
                      <w:highlight w:val="none"/>
                      <w:lang w:eastAsia="zh-CN"/>
                    </w:rPr>
                    <w:t>9</w:t>
                  </w:r>
                </w:p>
              </w:tc>
            </w:tr>
            <w:tr w14:paraId="69B97AB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9" w:type="dxa"/>
                  <w:tcBorders>
                    <w:right w:val="single" w:color="auto" w:sz="4" w:space="0"/>
                  </w:tcBorders>
                  <w:vAlign w:val="center"/>
                </w:tcPr>
                <w:p w14:paraId="5FD6AEC4">
                  <w:pPr>
                    <w:pStyle w:val="89"/>
                    <w:adjustRightInd w:val="0"/>
                    <w:snapToGrid w:val="0"/>
                    <w:spacing w:line="320" w:lineRule="exact"/>
                    <w:jc w:val="center"/>
                    <w:rPr>
                      <w:rFonts w:hint="default" w:eastAsia="宋体"/>
                      <w:iCs/>
                      <w:color w:val="auto"/>
                      <w:kern w:val="0"/>
                      <w:sz w:val="21"/>
                      <w:szCs w:val="21"/>
                      <w:lang w:val="en-US" w:eastAsia="zh-CN"/>
                    </w:rPr>
                  </w:pPr>
                  <w:r>
                    <w:rPr>
                      <w:rFonts w:hint="default" w:ascii="Times New Roman" w:hAnsi="Times New Roman" w:cs="Times New Roman"/>
                      <w:bCs/>
                      <w:color w:val="auto"/>
                      <w:sz w:val="21"/>
                      <w:szCs w:val="21"/>
                      <w:highlight w:val="none"/>
                      <w:lang w:eastAsia="zh-CN"/>
                    </w:rPr>
                    <w:t>悬浮物（SS）</w:t>
                  </w:r>
                </w:p>
              </w:tc>
              <w:tc>
                <w:tcPr>
                  <w:tcW w:w="1048" w:type="dxa"/>
                  <w:tcBorders>
                    <w:left w:val="single" w:color="auto" w:sz="4" w:space="0"/>
                  </w:tcBorders>
                  <w:vAlign w:val="center"/>
                </w:tcPr>
                <w:p w14:paraId="1281C2B0">
                  <w:pPr>
                    <w:adjustRightInd w:val="0"/>
                    <w:snapToGrid w:val="0"/>
                    <w:jc w:val="center"/>
                    <w:rPr>
                      <w:iCs/>
                      <w:color w:val="auto"/>
                      <w:kern w:val="0"/>
                      <w:sz w:val="21"/>
                      <w:szCs w:val="21"/>
                    </w:rPr>
                  </w:pPr>
                  <w:r>
                    <w:rPr>
                      <w:rFonts w:hint="eastAsia"/>
                      <w:iCs/>
                      <w:color w:val="auto"/>
                      <w:kern w:val="0"/>
                      <w:sz w:val="21"/>
                      <w:szCs w:val="21"/>
                    </w:rPr>
                    <w:t>mg/L</w:t>
                  </w:r>
                </w:p>
              </w:tc>
              <w:tc>
                <w:tcPr>
                  <w:tcW w:w="2684" w:type="dxa"/>
                  <w:vAlign w:val="center"/>
                </w:tcPr>
                <w:p w14:paraId="10EB8290">
                  <w:pPr>
                    <w:pStyle w:val="89"/>
                    <w:adjustRightInd w:val="0"/>
                    <w:snapToGrid w:val="0"/>
                    <w:spacing w:line="320" w:lineRule="exact"/>
                    <w:jc w:val="center"/>
                    <w:rPr>
                      <w:iCs/>
                      <w:color w:val="auto"/>
                      <w:kern w:val="0"/>
                      <w:sz w:val="21"/>
                      <w:szCs w:val="21"/>
                    </w:rPr>
                  </w:pPr>
                  <w:r>
                    <w:rPr>
                      <w:rFonts w:hint="default" w:ascii="Times New Roman" w:hAnsi="Times New Roman" w:cs="Times New Roman"/>
                      <w:bCs/>
                      <w:color w:val="auto"/>
                      <w:sz w:val="21"/>
                      <w:szCs w:val="21"/>
                      <w:highlight w:val="none"/>
                      <w:lang w:eastAsia="zh-CN"/>
                    </w:rPr>
                    <w:t>400</w:t>
                  </w:r>
                </w:p>
              </w:tc>
              <w:tc>
                <w:tcPr>
                  <w:tcW w:w="2566" w:type="dxa"/>
                  <w:vAlign w:val="center"/>
                </w:tcPr>
                <w:p w14:paraId="0F89BB8B">
                  <w:pPr>
                    <w:pStyle w:val="89"/>
                    <w:adjustRightInd w:val="0"/>
                    <w:snapToGrid w:val="0"/>
                    <w:spacing w:line="320" w:lineRule="exact"/>
                    <w:jc w:val="center"/>
                    <w:rPr>
                      <w:rFonts w:hint="default" w:ascii="Times New Roman" w:hAnsi="Times New Roman" w:cs="Times New Roman"/>
                      <w:bCs/>
                      <w:color w:val="auto"/>
                      <w:sz w:val="21"/>
                      <w:szCs w:val="21"/>
                      <w:highlight w:val="none"/>
                      <w:lang w:val="en-US" w:eastAsia="zh-CN"/>
                    </w:rPr>
                  </w:pPr>
                  <w:r>
                    <w:rPr>
                      <w:rFonts w:hint="eastAsia" w:cs="Times New Roman"/>
                      <w:bCs/>
                      <w:color w:val="auto"/>
                      <w:sz w:val="21"/>
                      <w:szCs w:val="21"/>
                      <w:highlight w:val="none"/>
                      <w:lang w:val="en-US" w:eastAsia="zh-CN"/>
                    </w:rPr>
                    <w:t>1</w:t>
                  </w:r>
                  <w:r>
                    <w:rPr>
                      <w:rFonts w:hint="eastAsia" w:ascii="Times New Roman" w:hAnsi="Times New Roman" w:cs="Times New Roman"/>
                      <w:bCs/>
                      <w:color w:val="auto"/>
                      <w:sz w:val="21"/>
                      <w:szCs w:val="21"/>
                      <w:highlight w:val="none"/>
                      <w:lang w:val="en-US" w:eastAsia="zh-CN"/>
                    </w:rPr>
                    <w:t>0</w:t>
                  </w:r>
                </w:p>
              </w:tc>
            </w:tr>
            <w:tr w14:paraId="69E767A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9" w:type="dxa"/>
                  <w:tcBorders>
                    <w:right w:val="single" w:color="auto" w:sz="4" w:space="0"/>
                  </w:tcBorders>
                  <w:vAlign w:val="center"/>
                </w:tcPr>
                <w:p w14:paraId="2093BA15">
                  <w:pPr>
                    <w:pStyle w:val="89"/>
                    <w:adjustRightInd w:val="0"/>
                    <w:snapToGrid w:val="0"/>
                    <w:spacing w:line="320" w:lineRule="exact"/>
                    <w:jc w:val="center"/>
                    <w:rPr>
                      <w:rFonts w:hint="default" w:eastAsia="宋体"/>
                      <w:iCs/>
                      <w:color w:val="auto"/>
                      <w:kern w:val="0"/>
                      <w:sz w:val="21"/>
                      <w:szCs w:val="21"/>
                      <w:lang w:val="en-US" w:eastAsia="zh-CN"/>
                    </w:rPr>
                  </w:pPr>
                  <w:r>
                    <w:rPr>
                      <w:rFonts w:hint="default" w:ascii="Times New Roman" w:hAnsi="Times New Roman" w:cs="Times New Roman"/>
                      <w:bCs/>
                      <w:color w:val="auto"/>
                      <w:sz w:val="21"/>
                      <w:szCs w:val="21"/>
                      <w:highlight w:val="none"/>
                      <w:lang w:eastAsia="zh-CN"/>
                    </w:rPr>
                    <w:t>五日生化需氧量（BOD</w:t>
                  </w:r>
                  <w:r>
                    <w:rPr>
                      <w:rFonts w:hint="default" w:ascii="Times New Roman" w:hAnsi="Times New Roman" w:cs="Times New Roman"/>
                      <w:bCs/>
                      <w:color w:val="auto"/>
                      <w:sz w:val="21"/>
                      <w:szCs w:val="21"/>
                      <w:highlight w:val="none"/>
                      <w:vertAlign w:val="subscript"/>
                      <w:lang w:eastAsia="zh-CN"/>
                    </w:rPr>
                    <w:t>5</w:t>
                  </w:r>
                  <w:r>
                    <w:rPr>
                      <w:rFonts w:hint="default" w:ascii="Times New Roman" w:hAnsi="Times New Roman" w:cs="Times New Roman"/>
                      <w:bCs/>
                      <w:color w:val="auto"/>
                      <w:sz w:val="21"/>
                      <w:szCs w:val="21"/>
                      <w:highlight w:val="none"/>
                      <w:lang w:eastAsia="zh-CN"/>
                    </w:rPr>
                    <w:t>）</w:t>
                  </w:r>
                </w:p>
              </w:tc>
              <w:tc>
                <w:tcPr>
                  <w:tcW w:w="1048" w:type="dxa"/>
                  <w:tcBorders>
                    <w:left w:val="single" w:color="auto" w:sz="4" w:space="0"/>
                  </w:tcBorders>
                  <w:vAlign w:val="center"/>
                </w:tcPr>
                <w:p w14:paraId="474D428B">
                  <w:pPr>
                    <w:adjustRightInd w:val="0"/>
                    <w:snapToGrid w:val="0"/>
                    <w:jc w:val="center"/>
                    <w:rPr>
                      <w:iCs/>
                      <w:color w:val="auto"/>
                      <w:kern w:val="0"/>
                      <w:sz w:val="21"/>
                      <w:szCs w:val="21"/>
                    </w:rPr>
                  </w:pPr>
                  <w:r>
                    <w:rPr>
                      <w:rFonts w:hint="eastAsia"/>
                      <w:iCs/>
                      <w:color w:val="auto"/>
                      <w:kern w:val="0"/>
                      <w:sz w:val="21"/>
                      <w:szCs w:val="21"/>
                    </w:rPr>
                    <w:t>mg/L</w:t>
                  </w:r>
                </w:p>
              </w:tc>
              <w:tc>
                <w:tcPr>
                  <w:tcW w:w="2684" w:type="dxa"/>
                  <w:vAlign w:val="center"/>
                </w:tcPr>
                <w:p w14:paraId="67351883">
                  <w:pPr>
                    <w:pStyle w:val="89"/>
                    <w:adjustRightInd w:val="0"/>
                    <w:snapToGrid w:val="0"/>
                    <w:spacing w:line="320" w:lineRule="exact"/>
                    <w:jc w:val="center"/>
                    <w:rPr>
                      <w:iCs/>
                      <w:color w:val="auto"/>
                      <w:kern w:val="0"/>
                      <w:sz w:val="21"/>
                      <w:szCs w:val="21"/>
                    </w:rPr>
                  </w:pPr>
                  <w:r>
                    <w:rPr>
                      <w:rFonts w:hint="default" w:ascii="Times New Roman" w:hAnsi="Times New Roman" w:cs="Times New Roman"/>
                      <w:bCs/>
                      <w:color w:val="auto"/>
                      <w:sz w:val="21"/>
                      <w:szCs w:val="21"/>
                      <w:highlight w:val="none"/>
                      <w:lang w:eastAsia="zh-CN"/>
                    </w:rPr>
                    <w:t>300</w:t>
                  </w:r>
                </w:p>
              </w:tc>
              <w:tc>
                <w:tcPr>
                  <w:tcW w:w="2566" w:type="dxa"/>
                  <w:vAlign w:val="center"/>
                </w:tcPr>
                <w:p w14:paraId="3A104075">
                  <w:pPr>
                    <w:pStyle w:val="89"/>
                    <w:adjustRightInd w:val="0"/>
                    <w:snapToGrid w:val="0"/>
                    <w:spacing w:line="320" w:lineRule="exact"/>
                    <w:jc w:val="center"/>
                    <w:rPr>
                      <w:rFonts w:hint="default" w:ascii="Times New Roman" w:hAnsi="Times New Roman" w:cs="Times New Roman"/>
                      <w:bCs/>
                      <w:color w:val="auto"/>
                      <w:sz w:val="21"/>
                      <w:szCs w:val="21"/>
                      <w:highlight w:val="none"/>
                      <w:lang w:val="en-US" w:eastAsia="zh-CN"/>
                    </w:rPr>
                  </w:pPr>
                  <w:r>
                    <w:rPr>
                      <w:rFonts w:hint="eastAsia" w:cs="Times New Roman"/>
                      <w:bCs/>
                      <w:color w:val="auto"/>
                      <w:sz w:val="21"/>
                      <w:szCs w:val="21"/>
                      <w:highlight w:val="none"/>
                      <w:lang w:val="en-US" w:eastAsia="zh-CN"/>
                    </w:rPr>
                    <w:t>1</w:t>
                  </w:r>
                  <w:r>
                    <w:rPr>
                      <w:rFonts w:hint="eastAsia" w:ascii="Times New Roman" w:hAnsi="Times New Roman" w:cs="Times New Roman"/>
                      <w:bCs/>
                      <w:color w:val="auto"/>
                      <w:sz w:val="21"/>
                      <w:szCs w:val="21"/>
                      <w:highlight w:val="none"/>
                      <w:lang w:val="en-US" w:eastAsia="zh-CN"/>
                    </w:rPr>
                    <w:t>0</w:t>
                  </w:r>
                </w:p>
              </w:tc>
            </w:tr>
            <w:tr w14:paraId="624B293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9" w:type="dxa"/>
                  <w:tcBorders>
                    <w:right w:val="single" w:color="auto" w:sz="4" w:space="0"/>
                  </w:tcBorders>
                  <w:vAlign w:val="center"/>
                </w:tcPr>
                <w:p w14:paraId="6296F126">
                  <w:pPr>
                    <w:pStyle w:val="89"/>
                    <w:adjustRightInd w:val="0"/>
                    <w:snapToGrid w:val="0"/>
                    <w:spacing w:line="320" w:lineRule="exact"/>
                    <w:jc w:val="center"/>
                    <w:rPr>
                      <w:rFonts w:hint="eastAsia" w:eastAsia="宋体"/>
                      <w:iCs/>
                      <w:color w:val="auto"/>
                      <w:kern w:val="0"/>
                      <w:sz w:val="21"/>
                      <w:szCs w:val="21"/>
                      <w:lang w:eastAsia="zh-CN"/>
                    </w:rPr>
                  </w:pPr>
                  <w:r>
                    <w:rPr>
                      <w:rFonts w:hint="default" w:ascii="Times New Roman" w:hAnsi="Times New Roman" w:cs="Times New Roman"/>
                      <w:bCs/>
                      <w:color w:val="auto"/>
                      <w:sz w:val="21"/>
                      <w:szCs w:val="21"/>
                      <w:highlight w:val="none"/>
                      <w:lang w:eastAsia="zh-CN"/>
                    </w:rPr>
                    <w:t>化学需氧量（COD）</w:t>
                  </w:r>
                </w:p>
              </w:tc>
              <w:tc>
                <w:tcPr>
                  <w:tcW w:w="1048" w:type="dxa"/>
                  <w:tcBorders>
                    <w:left w:val="single" w:color="auto" w:sz="4" w:space="0"/>
                  </w:tcBorders>
                  <w:vAlign w:val="center"/>
                </w:tcPr>
                <w:p w14:paraId="52E72FEB">
                  <w:pPr>
                    <w:adjustRightInd w:val="0"/>
                    <w:snapToGrid w:val="0"/>
                    <w:jc w:val="center"/>
                    <w:rPr>
                      <w:iCs/>
                      <w:color w:val="auto"/>
                      <w:kern w:val="0"/>
                      <w:sz w:val="21"/>
                      <w:szCs w:val="21"/>
                    </w:rPr>
                  </w:pPr>
                  <w:r>
                    <w:rPr>
                      <w:rFonts w:hint="eastAsia"/>
                      <w:iCs/>
                      <w:color w:val="auto"/>
                      <w:kern w:val="0"/>
                      <w:sz w:val="21"/>
                      <w:szCs w:val="21"/>
                    </w:rPr>
                    <w:t>mg/L</w:t>
                  </w:r>
                </w:p>
              </w:tc>
              <w:tc>
                <w:tcPr>
                  <w:tcW w:w="2684" w:type="dxa"/>
                  <w:vAlign w:val="center"/>
                </w:tcPr>
                <w:p w14:paraId="5E36E8BD">
                  <w:pPr>
                    <w:pStyle w:val="89"/>
                    <w:adjustRightInd w:val="0"/>
                    <w:snapToGrid w:val="0"/>
                    <w:spacing w:line="320" w:lineRule="exact"/>
                    <w:jc w:val="center"/>
                    <w:rPr>
                      <w:iCs/>
                      <w:color w:val="auto"/>
                      <w:kern w:val="0"/>
                      <w:sz w:val="21"/>
                      <w:szCs w:val="21"/>
                    </w:rPr>
                  </w:pPr>
                  <w:r>
                    <w:rPr>
                      <w:rFonts w:hint="default" w:ascii="Times New Roman" w:hAnsi="Times New Roman" w:cs="Times New Roman"/>
                      <w:bCs/>
                      <w:color w:val="auto"/>
                      <w:sz w:val="21"/>
                      <w:szCs w:val="21"/>
                      <w:highlight w:val="none"/>
                      <w:lang w:eastAsia="zh-CN"/>
                    </w:rPr>
                    <w:t>500</w:t>
                  </w:r>
                </w:p>
              </w:tc>
              <w:tc>
                <w:tcPr>
                  <w:tcW w:w="2566" w:type="dxa"/>
                  <w:vAlign w:val="center"/>
                </w:tcPr>
                <w:p w14:paraId="4AE3A80A">
                  <w:pPr>
                    <w:pStyle w:val="89"/>
                    <w:adjustRightInd w:val="0"/>
                    <w:snapToGrid w:val="0"/>
                    <w:spacing w:line="320" w:lineRule="exact"/>
                    <w:jc w:val="center"/>
                    <w:rPr>
                      <w:rFonts w:hint="default" w:ascii="Times New Roman" w:hAnsi="Times New Roman" w:cs="Times New Roman"/>
                      <w:bCs/>
                      <w:color w:val="auto"/>
                      <w:sz w:val="21"/>
                      <w:szCs w:val="21"/>
                      <w:highlight w:val="none"/>
                      <w:lang w:val="en-US" w:eastAsia="zh-CN"/>
                    </w:rPr>
                  </w:pPr>
                  <w:r>
                    <w:rPr>
                      <w:rFonts w:hint="eastAsia" w:cs="Times New Roman"/>
                      <w:bCs/>
                      <w:color w:val="auto"/>
                      <w:sz w:val="21"/>
                      <w:szCs w:val="21"/>
                      <w:highlight w:val="none"/>
                      <w:lang w:val="en-US" w:eastAsia="zh-CN"/>
                    </w:rPr>
                    <w:t>50</w:t>
                  </w:r>
                </w:p>
              </w:tc>
            </w:tr>
            <w:tr w14:paraId="3FECD5A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9" w:type="dxa"/>
                  <w:tcBorders>
                    <w:right w:val="single" w:color="auto" w:sz="4" w:space="0"/>
                  </w:tcBorders>
                  <w:vAlign w:val="center"/>
                </w:tcPr>
                <w:p w14:paraId="1116A2A9">
                  <w:pPr>
                    <w:pStyle w:val="89"/>
                    <w:adjustRightInd w:val="0"/>
                    <w:snapToGrid w:val="0"/>
                    <w:spacing w:line="320" w:lineRule="exact"/>
                    <w:jc w:val="center"/>
                    <w:rPr>
                      <w:rFonts w:hint="eastAsia" w:eastAsia="宋体"/>
                      <w:iCs/>
                      <w:color w:val="auto"/>
                      <w:kern w:val="0"/>
                      <w:sz w:val="21"/>
                      <w:szCs w:val="21"/>
                      <w:lang w:eastAsia="zh-CN"/>
                    </w:rPr>
                  </w:pPr>
                  <w:r>
                    <w:rPr>
                      <w:rFonts w:hint="default" w:ascii="Times New Roman" w:hAnsi="Times New Roman" w:cs="Times New Roman"/>
                      <w:bCs/>
                      <w:color w:val="auto"/>
                      <w:sz w:val="21"/>
                      <w:szCs w:val="21"/>
                      <w:highlight w:val="none"/>
                      <w:lang w:eastAsia="zh-CN"/>
                    </w:rPr>
                    <w:t>氨氮</w:t>
                  </w:r>
                  <w:r>
                    <w:rPr>
                      <w:rFonts w:hint="default" w:ascii="Times New Roman" w:hAnsi="Times New Roman" w:cs="Times New Roman"/>
                      <w:bCs/>
                      <w:color w:val="auto"/>
                      <w:sz w:val="21"/>
                      <w:szCs w:val="21"/>
                      <w:highlight w:val="none"/>
                      <w:lang w:val="en-US" w:eastAsia="zh-CN"/>
                    </w:rPr>
                    <w:t>*</w:t>
                  </w:r>
                  <w:r>
                    <w:rPr>
                      <w:rFonts w:hint="default" w:ascii="Times New Roman" w:hAnsi="Times New Roman" w:cs="Times New Roman"/>
                      <w:bCs/>
                      <w:color w:val="auto"/>
                      <w:sz w:val="21"/>
                      <w:szCs w:val="21"/>
                      <w:highlight w:val="none"/>
                      <w:lang w:eastAsia="zh-CN"/>
                    </w:rPr>
                    <w:t>（NH</w:t>
                  </w:r>
                  <w:r>
                    <w:rPr>
                      <w:rFonts w:hint="default" w:ascii="Times New Roman" w:hAnsi="Times New Roman" w:cs="Times New Roman"/>
                      <w:bCs/>
                      <w:color w:val="auto"/>
                      <w:sz w:val="21"/>
                      <w:szCs w:val="21"/>
                      <w:highlight w:val="none"/>
                      <w:vertAlign w:val="subscript"/>
                      <w:lang w:eastAsia="zh-CN"/>
                    </w:rPr>
                    <w:t>3</w:t>
                  </w:r>
                  <w:r>
                    <w:rPr>
                      <w:rFonts w:hint="default" w:ascii="Times New Roman" w:hAnsi="Times New Roman" w:cs="Times New Roman"/>
                      <w:bCs/>
                      <w:color w:val="auto"/>
                      <w:sz w:val="21"/>
                      <w:szCs w:val="21"/>
                      <w:highlight w:val="none"/>
                      <w:lang w:eastAsia="zh-CN"/>
                    </w:rPr>
                    <w:t>-N）</w:t>
                  </w:r>
                </w:p>
              </w:tc>
              <w:tc>
                <w:tcPr>
                  <w:tcW w:w="1048" w:type="dxa"/>
                  <w:tcBorders>
                    <w:left w:val="single" w:color="auto" w:sz="4" w:space="0"/>
                  </w:tcBorders>
                  <w:vAlign w:val="center"/>
                </w:tcPr>
                <w:p w14:paraId="38B45C03">
                  <w:pPr>
                    <w:adjustRightInd w:val="0"/>
                    <w:snapToGrid w:val="0"/>
                    <w:jc w:val="center"/>
                    <w:rPr>
                      <w:iCs/>
                      <w:color w:val="auto"/>
                      <w:kern w:val="0"/>
                      <w:sz w:val="21"/>
                      <w:szCs w:val="21"/>
                    </w:rPr>
                  </w:pPr>
                  <w:r>
                    <w:rPr>
                      <w:rFonts w:hint="eastAsia"/>
                      <w:iCs/>
                      <w:color w:val="auto"/>
                      <w:kern w:val="0"/>
                      <w:sz w:val="21"/>
                      <w:szCs w:val="21"/>
                    </w:rPr>
                    <w:t>mg/L</w:t>
                  </w:r>
                </w:p>
              </w:tc>
              <w:tc>
                <w:tcPr>
                  <w:tcW w:w="2684" w:type="dxa"/>
                  <w:vAlign w:val="center"/>
                </w:tcPr>
                <w:p w14:paraId="1599BF42">
                  <w:pPr>
                    <w:pStyle w:val="89"/>
                    <w:adjustRightInd w:val="0"/>
                    <w:snapToGrid w:val="0"/>
                    <w:spacing w:line="320" w:lineRule="exact"/>
                    <w:jc w:val="center"/>
                    <w:rPr>
                      <w:iCs/>
                      <w:color w:val="auto"/>
                      <w:kern w:val="0"/>
                      <w:sz w:val="21"/>
                      <w:szCs w:val="21"/>
                    </w:rPr>
                  </w:pPr>
                  <w:r>
                    <w:rPr>
                      <w:rFonts w:hint="default" w:ascii="Times New Roman" w:hAnsi="Times New Roman" w:cs="Times New Roman"/>
                      <w:bCs/>
                      <w:color w:val="auto"/>
                      <w:sz w:val="21"/>
                      <w:szCs w:val="21"/>
                      <w:highlight w:val="none"/>
                      <w:lang w:eastAsia="zh-CN"/>
                    </w:rPr>
                    <w:t>45</w:t>
                  </w:r>
                  <w:r>
                    <w:rPr>
                      <w:rFonts w:hint="default" w:ascii="Times New Roman" w:hAnsi="Times New Roman" w:cs="Times New Roman"/>
                      <w:bCs/>
                      <w:color w:val="auto"/>
                      <w:sz w:val="21"/>
                      <w:szCs w:val="21"/>
                      <w:highlight w:val="none"/>
                      <w:lang w:val="en-US" w:eastAsia="zh-CN"/>
                    </w:rPr>
                    <w:t>*</w:t>
                  </w:r>
                </w:p>
              </w:tc>
              <w:tc>
                <w:tcPr>
                  <w:tcW w:w="2566" w:type="dxa"/>
                  <w:vAlign w:val="center"/>
                </w:tcPr>
                <w:p w14:paraId="445516A0">
                  <w:pPr>
                    <w:pStyle w:val="89"/>
                    <w:adjustRightInd w:val="0"/>
                    <w:snapToGrid w:val="0"/>
                    <w:spacing w:line="320" w:lineRule="exact"/>
                    <w:jc w:val="center"/>
                    <w:rPr>
                      <w:rFonts w:hint="default" w:ascii="Times New Roman" w:hAnsi="Times New Roman" w:cs="Times New Roman"/>
                      <w:bCs/>
                      <w:color w:val="auto"/>
                      <w:sz w:val="21"/>
                      <w:szCs w:val="21"/>
                      <w:highlight w:val="none"/>
                      <w:lang w:val="en-US" w:eastAsia="zh-CN"/>
                    </w:rPr>
                  </w:pPr>
                  <w:r>
                    <w:rPr>
                      <w:rFonts w:hint="eastAsia" w:cs="Times New Roman"/>
                      <w:bCs/>
                      <w:color w:val="auto"/>
                      <w:sz w:val="21"/>
                      <w:szCs w:val="21"/>
                      <w:highlight w:val="none"/>
                      <w:lang w:val="en-US" w:eastAsia="zh-CN"/>
                    </w:rPr>
                    <w:t>5(8)</w:t>
                  </w:r>
                </w:p>
              </w:tc>
            </w:tr>
            <w:tr w14:paraId="44AD0AF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9" w:type="dxa"/>
                  <w:tcBorders>
                    <w:right w:val="single" w:color="auto" w:sz="4" w:space="0"/>
                  </w:tcBorders>
                  <w:vAlign w:val="center"/>
                </w:tcPr>
                <w:p w14:paraId="36325990">
                  <w:pPr>
                    <w:pStyle w:val="89"/>
                    <w:adjustRightInd w:val="0"/>
                    <w:snapToGrid w:val="0"/>
                    <w:spacing w:line="320" w:lineRule="exact"/>
                    <w:jc w:val="center"/>
                    <w:rPr>
                      <w:rFonts w:hint="default" w:ascii="Times New Roman" w:hAnsi="Times New Roman" w:cs="Times New Roman"/>
                      <w:bCs/>
                      <w:color w:val="auto"/>
                      <w:sz w:val="21"/>
                      <w:szCs w:val="21"/>
                      <w:highlight w:val="none"/>
                      <w:lang w:eastAsia="zh-CN"/>
                    </w:rPr>
                  </w:pPr>
                  <w:r>
                    <w:rPr>
                      <w:rFonts w:hint="eastAsia" w:cs="Times New Roman"/>
                      <w:bCs/>
                      <w:color w:val="auto"/>
                      <w:sz w:val="21"/>
                      <w:szCs w:val="21"/>
                      <w:highlight w:val="none"/>
                      <w:lang w:eastAsia="zh-CN"/>
                    </w:rPr>
                    <w:t>石油类</w:t>
                  </w:r>
                </w:p>
              </w:tc>
              <w:tc>
                <w:tcPr>
                  <w:tcW w:w="1048" w:type="dxa"/>
                  <w:tcBorders>
                    <w:left w:val="single" w:color="auto" w:sz="4" w:space="0"/>
                  </w:tcBorders>
                  <w:vAlign w:val="center"/>
                </w:tcPr>
                <w:p w14:paraId="2757E00D">
                  <w:pPr>
                    <w:adjustRightInd w:val="0"/>
                    <w:snapToGrid w:val="0"/>
                    <w:jc w:val="center"/>
                    <w:rPr>
                      <w:rFonts w:hint="eastAsia"/>
                      <w:iCs/>
                      <w:color w:val="auto"/>
                      <w:kern w:val="0"/>
                      <w:sz w:val="21"/>
                      <w:szCs w:val="21"/>
                    </w:rPr>
                  </w:pPr>
                  <w:r>
                    <w:rPr>
                      <w:rFonts w:hint="eastAsia"/>
                      <w:iCs/>
                      <w:color w:val="auto"/>
                      <w:kern w:val="0"/>
                      <w:sz w:val="21"/>
                      <w:szCs w:val="21"/>
                    </w:rPr>
                    <w:t>mg/L</w:t>
                  </w:r>
                </w:p>
              </w:tc>
              <w:tc>
                <w:tcPr>
                  <w:tcW w:w="2684" w:type="dxa"/>
                  <w:vAlign w:val="center"/>
                </w:tcPr>
                <w:p w14:paraId="5AA1AE7F">
                  <w:pPr>
                    <w:pStyle w:val="89"/>
                    <w:adjustRightInd w:val="0"/>
                    <w:snapToGrid w:val="0"/>
                    <w:spacing w:line="320" w:lineRule="exact"/>
                    <w:jc w:val="center"/>
                    <w:rPr>
                      <w:rFonts w:hint="default" w:ascii="Times New Roman" w:hAnsi="Times New Roman" w:cs="Times New Roman"/>
                      <w:bCs/>
                      <w:color w:val="auto"/>
                      <w:sz w:val="21"/>
                      <w:szCs w:val="21"/>
                      <w:highlight w:val="none"/>
                      <w:lang w:val="en-US" w:eastAsia="zh-CN"/>
                    </w:rPr>
                  </w:pPr>
                  <w:r>
                    <w:rPr>
                      <w:rFonts w:hint="eastAsia" w:cs="Times New Roman"/>
                      <w:bCs/>
                      <w:color w:val="auto"/>
                      <w:sz w:val="21"/>
                      <w:szCs w:val="21"/>
                      <w:highlight w:val="none"/>
                      <w:lang w:val="en-US" w:eastAsia="zh-CN"/>
                    </w:rPr>
                    <w:t>20</w:t>
                  </w:r>
                </w:p>
              </w:tc>
              <w:tc>
                <w:tcPr>
                  <w:tcW w:w="2566" w:type="dxa"/>
                  <w:vAlign w:val="center"/>
                </w:tcPr>
                <w:p w14:paraId="79FE8312">
                  <w:pPr>
                    <w:pStyle w:val="89"/>
                    <w:adjustRightInd w:val="0"/>
                    <w:snapToGrid w:val="0"/>
                    <w:spacing w:line="320" w:lineRule="exact"/>
                    <w:jc w:val="center"/>
                    <w:rPr>
                      <w:rFonts w:hint="default" w:ascii="Times New Roman" w:hAnsi="Times New Roman" w:cs="Times New Roman"/>
                      <w:bCs/>
                      <w:color w:val="auto"/>
                      <w:sz w:val="21"/>
                      <w:szCs w:val="21"/>
                      <w:highlight w:val="none"/>
                      <w:lang w:val="en-US" w:eastAsia="zh-CN"/>
                    </w:rPr>
                  </w:pPr>
                  <w:r>
                    <w:rPr>
                      <w:rFonts w:hint="eastAsia" w:cs="Times New Roman"/>
                      <w:bCs/>
                      <w:color w:val="auto"/>
                      <w:sz w:val="21"/>
                      <w:szCs w:val="21"/>
                      <w:highlight w:val="none"/>
                      <w:lang w:val="en-US" w:eastAsia="zh-CN"/>
                    </w:rPr>
                    <w:t>1</w:t>
                  </w:r>
                </w:p>
              </w:tc>
            </w:tr>
            <w:tr w14:paraId="5D2E503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17" w:type="dxa"/>
                  <w:gridSpan w:val="4"/>
                  <w:vAlign w:val="center"/>
                </w:tcPr>
                <w:p w14:paraId="740906BB">
                  <w:pPr>
                    <w:pStyle w:val="89"/>
                    <w:adjustRightInd w:val="0"/>
                    <w:snapToGrid w:val="0"/>
                    <w:spacing w:line="320" w:lineRule="exact"/>
                    <w:jc w:val="both"/>
                    <w:rPr>
                      <w:rFonts w:hint="eastAsia"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注：</w:t>
                  </w:r>
                  <w:r>
                    <w:rPr>
                      <w:rFonts w:hint="eastAsia"/>
                      <w:color w:val="auto"/>
                      <w:sz w:val="21"/>
                      <w:szCs w:val="21"/>
                      <w:highlight w:val="none"/>
                      <w:lang w:eastAsia="zh-CN"/>
                    </w:rPr>
                    <w:t>氨氮参照执行</w:t>
                  </w:r>
                  <w:r>
                    <w:rPr>
                      <w:rFonts w:hint="eastAsia"/>
                      <w:color w:val="auto"/>
                      <w:sz w:val="21"/>
                      <w:szCs w:val="21"/>
                      <w:highlight w:val="none"/>
                    </w:rPr>
                    <w:t>《污水排入城镇下水道水质标准》</w:t>
                  </w:r>
                  <w:r>
                    <w:rPr>
                      <w:rFonts w:hint="eastAsia" w:eastAsia="宋体"/>
                      <w:color w:val="auto"/>
                      <w:sz w:val="21"/>
                      <w:szCs w:val="21"/>
                      <w:highlight w:val="none"/>
                      <w:lang w:eastAsia="zh-CN"/>
                    </w:rPr>
                    <w:t>（</w:t>
                  </w:r>
                  <w:r>
                    <w:rPr>
                      <w:rFonts w:hint="eastAsia"/>
                      <w:color w:val="auto"/>
                      <w:sz w:val="21"/>
                      <w:szCs w:val="21"/>
                      <w:highlight w:val="none"/>
                    </w:rPr>
                    <w:t>GB/T31962-2015</w:t>
                  </w:r>
                  <w:r>
                    <w:rPr>
                      <w:rFonts w:hint="eastAsia" w:eastAsia="宋体"/>
                      <w:color w:val="auto"/>
                      <w:sz w:val="21"/>
                      <w:szCs w:val="21"/>
                      <w:highlight w:val="none"/>
                      <w:lang w:eastAsia="zh-CN"/>
                    </w:rPr>
                    <w:t>）</w:t>
                  </w:r>
                  <w:r>
                    <w:rPr>
                      <w:rFonts w:hint="eastAsia"/>
                      <w:color w:val="auto"/>
                      <w:sz w:val="21"/>
                      <w:szCs w:val="21"/>
                      <w:highlight w:val="none"/>
                    </w:rPr>
                    <w:t>B级标准</w:t>
                  </w:r>
                  <w:r>
                    <w:rPr>
                      <w:rFonts w:hint="eastAsia" w:eastAsia="宋体"/>
                      <w:color w:val="auto"/>
                      <w:sz w:val="21"/>
                      <w:szCs w:val="21"/>
                      <w:highlight w:val="none"/>
                      <w:lang w:eastAsia="zh-CN"/>
                    </w:rPr>
                    <w:t>。</w:t>
                  </w:r>
                </w:p>
              </w:tc>
            </w:tr>
          </w:tbl>
          <w:p w14:paraId="0B1CF403">
            <w:pPr>
              <w:pStyle w:val="4"/>
              <w:spacing w:before="120" w:beforeLines="50"/>
              <w:ind w:firstLine="120"/>
              <w:rPr>
                <w:rFonts w:hint="default"/>
                <w:color w:val="auto"/>
              </w:rPr>
            </w:pPr>
            <w:r>
              <w:rPr>
                <w:color w:val="auto"/>
              </w:rPr>
              <w:t>3.9废气排放标准</w:t>
            </w:r>
          </w:p>
          <w:p w14:paraId="779486DB">
            <w:pPr>
              <w:spacing w:line="360" w:lineRule="auto"/>
              <w:ind w:firstLine="456" w:firstLineChars="200"/>
              <w:rPr>
                <w:color w:val="auto"/>
                <w:spacing w:val="-6"/>
                <w:sz w:val="24"/>
              </w:rPr>
            </w:pPr>
            <w:r>
              <w:rPr>
                <w:color w:val="auto"/>
                <w:spacing w:val="-6"/>
                <w:sz w:val="24"/>
              </w:rPr>
              <w:t>（1）施工期</w:t>
            </w:r>
          </w:p>
          <w:p w14:paraId="79DC67E3">
            <w:pPr>
              <w:pStyle w:val="9"/>
              <w:spacing w:line="360" w:lineRule="auto"/>
              <w:ind w:firstLine="456" w:firstLineChars="200"/>
              <w:rPr>
                <w:rFonts w:ascii="Times New Roman" w:hAnsi="Times New Roman"/>
                <w:color w:val="auto"/>
                <w:spacing w:val="-6"/>
                <w:sz w:val="24"/>
                <w:szCs w:val="24"/>
              </w:rPr>
            </w:pPr>
            <w:r>
              <w:rPr>
                <w:rFonts w:ascii="Times New Roman" w:hAnsi="Times New Roman"/>
                <w:color w:val="auto"/>
                <w:spacing w:val="-6"/>
                <w:sz w:val="24"/>
                <w:szCs w:val="24"/>
              </w:rPr>
              <w:t>施工期产生的废气主要为施工扬尘，排放执行《大气污染物综合排放标准》</w:t>
            </w:r>
          </w:p>
          <w:p w14:paraId="1E1B58F1">
            <w:pPr>
              <w:pStyle w:val="9"/>
              <w:spacing w:line="360" w:lineRule="auto"/>
              <w:ind w:firstLine="0"/>
              <w:rPr>
                <w:rFonts w:ascii="Times New Roman" w:hAnsi="Times New Roman"/>
                <w:color w:val="auto"/>
                <w:spacing w:val="-6"/>
                <w:sz w:val="24"/>
                <w:szCs w:val="24"/>
              </w:rPr>
            </w:pPr>
            <w:r>
              <w:rPr>
                <w:rFonts w:ascii="Times New Roman" w:hAnsi="Times New Roman"/>
                <w:color w:val="auto"/>
                <w:spacing w:val="-6"/>
                <w:sz w:val="24"/>
                <w:szCs w:val="24"/>
              </w:rPr>
              <w:t>（GB16297-1996）表2中</w:t>
            </w:r>
            <w:r>
              <w:rPr>
                <w:rFonts w:hint="eastAsia" w:ascii="Times New Roman" w:hAnsi="Times New Roman"/>
                <w:color w:val="auto"/>
                <w:spacing w:val="-6"/>
                <w:sz w:val="24"/>
                <w:szCs w:val="24"/>
                <w:lang w:eastAsia="zh-CN"/>
              </w:rPr>
              <w:t>“</w:t>
            </w:r>
            <w:r>
              <w:rPr>
                <w:rFonts w:ascii="Times New Roman" w:hAnsi="Times New Roman"/>
                <w:color w:val="auto"/>
                <w:spacing w:val="-6"/>
                <w:sz w:val="24"/>
                <w:szCs w:val="24"/>
              </w:rPr>
              <w:t>无组织排放监控浓度限值</w:t>
            </w:r>
            <w:r>
              <w:rPr>
                <w:rFonts w:hint="eastAsia" w:ascii="Times New Roman" w:hAnsi="Times New Roman"/>
                <w:color w:val="auto"/>
                <w:spacing w:val="-6"/>
                <w:sz w:val="24"/>
                <w:szCs w:val="24"/>
                <w:lang w:eastAsia="zh-CN"/>
              </w:rPr>
              <w:t>”</w:t>
            </w:r>
            <w:r>
              <w:rPr>
                <w:rFonts w:ascii="Times New Roman" w:hAnsi="Times New Roman"/>
                <w:color w:val="auto"/>
                <w:spacing w:val="-6"/>
                <w:sz w:val="24"/>
                <w:szCs w:val="24"/>
              </w:rPr>
              <w:t>，</w:t>
            </w:r>
            <w:r>
              <w:rPr>
                <w:rFonts w:hint="eastAsia" w:ascii="Times New Roman" w:hAnsi="Times New Roman"/>
                <w:color w:val="auto"/>
                <w:spacing w:val="-6"/>
                <w:sz w:val="24"/>
                <w:szCs w:val="24"/>
              </w:rPr>
              <w:t>详见表3.9-1。</w:t>
            </w:r>
          </w:p>
          <w:p w14:paraId="22EDF61D">
            <w:pPr>
              <w:jc w:val="center"/>
              <w:rPr>
                <w:b/>
                <w:color w:val="auto"/>
                <w:szCs w:val="21"/>
                <w:lang w:val="en-GB"/>
              </w:rPr>
            </w:pPr>
            <w:r>
              <w:rPr>
                <w:b/>
                <w:color w:val="auto"/>
                <w:szCs w:val="21"/>
                <w:lang w:val="en-GB"/>
              </w:rPr>
              <w:t>表</w:t>
            </w:r>
            <w:r>
              <w:rPr>
                <w:rFonts w:hint="eastAsia"/>
                <w:b/>
                <w:color w:val="auto"/>
                <w:szCs w:val="21"/>
              </w:rPr>
              <w:t>3.9-1项目施工期废气排放标准</w:t>
            </w:r>
          </w:p>
          <w:tbl>
            <w:tblPr>
              <w:tblStyle w:val="31"/>
              <w:tblW w:w="8099"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706"/>
              <w:gridCol w:w="2946"/>
              <w:gridCol w:w="2447"/>
            </w:tblGrid>
            <w:tr w14:paraId="40AC565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2706" w:type="dxa"/>
                  <w:vMerge w:val="restart"/>
                  <w:vAlign w:val="center"/>
                </w:tcPr>
                <w:p w14:paraId="254B3C85">
                  <w:pPr>
                    <w:jc w:val="center"/>
                    <w:rPr>
                      <w:b/>
                      <w:bCs/>
                      <w:color w:val="auto"/>
                      <w:szCs w:val="21"/>
                    </w:rPr>
                  </w:pPr>
                  <w:r>
                    <w:rPr>
                      <w:rFonts w:hint="eastAsia" w:hAnsi="宋体"/>
                      <w:b/>
                      <w:bCs/>
                      <w:color w:val="auto"/>
                      <w:szCs w:val="21"/>
                    </w:rPr>
                    <w:t>污染物</w:t>
                  </w:r>
                </w:p>
              </w:tc>
              <w:tc>
                <w:tcPr>
                  <w:tcW w:w="5393" w:type="dxa"/>
                  <w:gridSpan w:val="2"/>
                  <w:vAlign w:val="center"/>
                </w:tcPr>
                <w:p w14:paraId="0197CD66">
                  <w:pPr>
                    <w:jc w:val="center"/>
                    <w:rPr>
                      <w:rFonts w:hint="eastAsia" w:hAnsi="宋体"/>
                      <w:b/>
                      <w:bCs/>
                      <w:color w:val="auto"/>
                      <w:szCs w:val="21"/>
                    </w:rPr>
                  </w:pPr>
                  <w:r>
                    <w:rPr>
                      <w:rFonts w:hint="eastAsia" w:hAnsi="宋体"/>
                      <w:b/>
                      <w:bCs/>
                      <w:color w:val="auto"/>
                      <w:szCs w:val="21"/>
                    </w:rPr>
                    <w:t>无组织排放监控浓度限值</w:t>
                  </w:r>
                </w:p>
              </w:tc>
            </w:tr>
            <w:tr w14:paraId="4FDCBBD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2706" w:type="dxa"/>
                  <w:vMerge w:val="continue"/>
                  <w:vAlign w:val="center"/>
                </w:tcPr>
                <w:p w14:paraId="7D8C5FA2">
                  <w:pPr>
                    <w:jc w:val="center"/>
                    <w:rPr>
                      <w:color w:val="auto"/>
                      <w:szCs w:val="21"/>
                    </w:rPr>
                  </w:pPr>
                </w:p>
              </w:tc>
              <w:tc>
                <w:tcPr>
                  <w:tcW w:w="2946" w:type="dxa"/>
                  <w:vAlign w:val="center"/>
                </w:tcPr>
                <w:p w14:paraId="4DD21B07">
                  <w:pPr>
                    <w:jc w:val="center"/>
                    <w:rPr>
                      <w:color w:val="auto"/>
                      <w:szCs w:val="21"/>
                    </w:rPr>
                  </w:pPr>
                  <w:r>
                    <w:rPr>
                      <w:rFonts w:hint="eastAsia"/>
                      <w:color w:val="auto"/>
                      <w:szCs w:val="21"/>
                    </w:rPr>
                    <w:t>监控点</w:t>
                  </w:r>
                </w:p>
              </w:tc>
              <w:tc>
                <w:tcPr>
                  <w:tcW w:w="2447" w:type="dxa"/>
                  <w:vAlign w:val="center"/>
                </w:tcPr>
                <w:p w14:paraId="3F0E3627">
                  <w:pPr>
                    <w:jc w:val="center"/>
                    <w:rPr>
                      <w:color w:val="auto"/>
                      <w:szCs w:val="21"/>
                    </w:rPr>
                  </w:pPr>
                  <w:r>
                    <w:rPr>
                      <w:rFonts w:hint="eastAsia"/>
                      <w:color w:val="auto"/>
                      <w:szCs w:val="21"/>
                    </w:rPr>
                    <w:t>浓度（mg/m</w:t>
                  </w:r>
                  <w:r>
                    <w:rPr>
                      <w:rFonts w:hint="eastAsia"/>
                      <w:color w:val="auto"/>
                      <w:szCs w:val="21"/>
                      <w:vertAlign w:val="superscript"/>
                    </w:rPr>
                    <w:t>3</w:t>
                  </w:r>
                  <w:r>
                    <w:rPr>
                      <w:rFonts w:hint="eastAsia"/>
                      <w:color w:val="auto"/>
                      <w:szCs w:val="21"/>
                    </w:rPr>
                    <w:t>）</w:t>
                  </w:r>
                </w:p>
              </w:tc>
            </w:tr>
            <w:tr w14:paraId="348ACB4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2706" w:type="dxa"/>
                  <w:vAlign w:val="center"/>
                </w:tcPr>
                <w:p w14:paraId="026454F4">
                  <w:pPr>
                    <w:jc w:val="center"/>
                    <w:rPr>
                      <w:color w:val="auto"/>
                      <w:szCs w:val="21"/>
                    </w:rPr>
                  </w:pPr>
                  <w:r>
                    <w:rPr>
                      <w:rFonts w:hint="eastAsia"/>
                      <w:color w:val="auto"/>
                      <w:szCs w:val="21"/>
                    </w:rPr>
                    <w:t>颗粒物</w:t>
                  </w:r>
                </w:p>
              </w:tc>
              <w:tc>
                <w:tcPr>
                  <w:tcW w:w="2946" w:type="dxa"/>
                  <w:vAlign w:val="center"/>
                </w:tcPr>
                <w:p w14:paraId="336F168B">
                  <w:pPr>
                    <w:jc w:val="center"/>
                    <w:rPr>
                      <w:color w:val="auto"/>
                      <w:szCs w:val="21"/>
                    </w:rPr>
                  </w:pPr>
                  <w:r>
                    <w:rPr>
                      <w:rFonts w:hint="eastAsia"/>
                      <w:color w:val="auto"/>
                      <w:szCs w:val="21"/>
                    </w:rPr>
                    <w:t>周界外浓度最高点</w:t>
                  </w:r>
                </w:p>
              </w:tc>
              <w:tc>
                <w:tcPr>
                  <w:tcW w:w="2447" w:type="dxa"/>
                  <w:vAlign w:val="center"/>
                </w:tcPr>
                <w:p w14:paraId="1A7D8976">
                  <w:pPr>
                    <w:jc w:val="center"/>
                    <w:rPr>
                      <w:color w:val="auto"/>
                      <w:szCs w:val="21"/>
                    </w:rPr>
                  </w:pPr>
                  <w:r>
                    <w:rPr>
                      <w:rFonts w:hint="eastAsia"/>
                      <w:color w:val="auto"/>
                      <w:szCs w:val="21"/>
                    </w:rPr>
                    <w:t>1.0</w:t>
                  </w:r>
                </w:p>
              </w:tc>
            </w:tr>
          </w:tbl>
          <w:p w14:paraId="31249245">
            <w:pPr>
              <w:pStyle w:val="9"/>
              <w:ind w:firstLine="0"/>
              <w:rPr>
                <w:color w:val="auto"/>
              </w:rPr>
            </w:pPr>
          </w:p>
          <w:p w14:paraId="5F5BB643">
            <w:pPr>
              <w:spacing w:line="360" w:lineRule="auto"/>
              <w:ind w:firstLine="456" w:firstLineChars="200"/>
              <w:rPr>
                <w:rFonts w:hint="eastAsia" w:ascii="宋体" w:hAnsi="宋体"/>
                <w:color w:val="auto"/>
                <w:spacing w:val="-6"/>
                <w:sz w:val="24"/>
              </w:rPr>
            </w:pPr>
            <w:r>
              <w:rPr>
                <w:rFonts w:hint="eastAsia" w:ascii="宋体" w:hAnsi="宋体"/>
                <w:color w:val="auto"/>
                <w:spacing w:val="-6"/>
                <w:sz w:val="24"/>
              </w:rPr>
              <w:t>（2）运营期</w:t>
            </w:r>
          </w:p>
          <w:p w14:paraId="70327362">
            <w:pPr>
              <w:spacing w:line="360" w:lineRule="auto"/>
              <w:ind w:firstLine="456" w:firstLineChars="200"/>
              <w:rPr>
                <w:rFonts w:hint="default" w:ascii="Times New Roman" w:hAnsi="Times New Roman" w:eastAsia="宋体" w:cs="Times New Roman"/>
                <w:color w:val="auto"/>
                <w:spacing w:val="-6"/>
                <w:sz w:val="24"/>
                <w:szCs w:val="24"/>
                <w:lang w:val="en-US" w:eastAsia="zh-CN"/>
              </w:rPr>
            </w:pPr>
            <w:r>
              <w:rPr>
                <w:rFonts w:hint="eastAsia" w:ascii="宋体" w:hAnsi="宋体"/>
                <w:color w:val="auto"/>
                <w:spacing w:val="-6"/>
                <w:sz w:val="24"/>
                <w:lang w:eastAsia="zh-CN"/>
              </w:rPr>
              <w:t>本</w:t>
            </w:r>
            <w:r>
              <w:rPr>
                <w:rFonts w:hint="eastAsia" w:ascii="宋体" w:hAnsi="宋体"/>
                <w:color w:val="auto"/>
                <w:spacing w:val="-6"/>
                <w:sz w:val="24"/>
              </w:rPr>
              <w:t>项目</w:t>
            </w:r>
            <w:r>
              <w:rPr>
                <w:rFonts w:hint="eastAsia" w:ascii="宋体" w:hAnsi="宋体"/>
                <w:color w:val="auto"/>
                <w:spacing w:val="-6"/>
                <w:sz w:val="24"/>
                <w:lang w:eastAsia="zh-CN"/>
              </w:rPr>
              <w:t>生产过程中产生的废气主要为配件钣金工艺过程中切割、打磨、抛丸等工序产生的颗粒物，焊接工序产生的焊接烟尘以及装配工艺过程中测试工序产生的测试废气</w:t>
            </w:r>
            <w:r>
              <w:rPr>
                <w:rFonts w:hint="default" w:ascii="Times New Roman" w:hAnsi="Times New Roman" w:cs="Times New Roman"/>
                <w:color w:val="auto"/>
                <w:spacing w:val="-6"/>
                <w:sz w:val="24"/>
                <w:szCs w:val="24"/>
                <w:lang w:eastAsia="zh-CN"/>
              </w:rPr>
              <w:t>。</w:t>
            </w:r>
            <w:r>
              <w:rPr>
                <w:rFonts w:hint="eastAsia" w:ascii="Times New Roman" w:hAnsi="Times New Roman" w:eastAsia="宋体" w:cs="Times New Roman"/>
                <w:color w:val="auto"/>
                <w:spacing w:val="-6"/>
                <w:sz w:val="24"/>
                <w:szCs w:val="24"/>
                <w:lang w:val="en-US" w:eastAsia="zh-CN"/>
              </w:rPr>
              <w:t>详见表</w:t>
            </w:r>
            <w:r>
              <w:rPr>
                <w:rFonts w:hint="default" w:ascii="Times New Roman" w:hAnsi="Times New Roman" w:eastAsia="宋体" w:cs="Times New Roman"/>
                <w:color w:val="auto"/>
                <w:spacing w:val="-6"/>
                <w:sz w:val="24"/>
                <w:szCs w:val="24"/>
                <w:lang w:val="en-US" w:eastAsia="zh-CN"/>
              </w:rPr>
              <w:t>3.</w:t>
            </w:r>
            <w:r>
              <w:rPr>
                <w:rFonts w:hint="eastAsia" w:ascii="Times New Roman" w:hAnsi="Times New Roman" w:eastAsia="宋体" w:cs="Times New Roman"/>
                <w:color w:val="auto"/>
                <w:spacing w:val="-6"/>
                <w:sz w:val="24"/>
                <w:szCs w:val="24"/>
                <w:lang w:val="en-US" w:eastAsia="zh-CN"/>
              </w:rPr>
              <w:t>9</w:t>
            </w:r>
            <w:r>
              <w:rPr>
                <w:rFonts w:hint="default" w:ascii="Times New Roman" w:hAnsi="Times New Roman" w:eastAsia="宋体" w:cs="Times New Roman"/>
                <w:color w:val="auto"/>
                <w:spacing w:val="-6"/>
                <w:sz w:val="24"/>
                <w:szCs w:val="24"/>
                <w:lang w:val="en-US" w:eastAsia="zh-CN"/>
              </w:rPr>
              <w:t>-</w:t>
            </w:r>
            <w:r>
              <w:rPr>
                <w:rFonts w:hint="eastAsia" w:ascii="Times New Roman" w:hAnsi="Times New Roman" w:eastAsia="宋体" w:cs="Times New Roman"/>
                <w:color w:val="auto"/>
                <w:spacing w:val="-6"/>
                <w:sz w:val="24"/>
                <w:szCs w:val="24"/>
                <w:lang w:val="en-US" w:eastAsia="zh-CN"/>
              </w:rPr>
              <w:t>2。</w:t>
            </w:r>
          </w:p>
          <w:p w14:paraId="30199C4D">
            <w:pPr>
              <w:keepNext w:val="0"/>
              <w:keepLines w:val="0"/>
              <w:pageBreakBefore w:val="0"/>
              <w:widowControl w:val="0"/>
              <w:kinsoku/>
              <w:wordWrap w:val="0"/>
              <w:overflowPunct/>
              <w:topLinePunct w:val="0"/>
              <w:autoSpaceDE/>
              <w:autoSpaceDN/>
              <w:bidi w:val="0"/>
              <w:adjustRightInd/>
              <w:snapToGrid/>
              <w:spacing w:line="240" w:lineRule="auto"/>
              <w:ind w:right="363" w:firstLine="0" w:firstLineChars="0"/>
              <w:jc w:val="center"/>
              <w:textAlignment w:val="auto"/>
              <w:rPr>
                <w:rFonts w:hint="eastAsia" w:ascii="Times New Roman" w:hAnsi="Times New Roman" w:eastAsia="宋体" w:cs="Times New Roman"/>
                <w:b/>
                <w:bCs/>
                <w:color w:val="auto"/>
                <w:highlight w:val="none"/>
              </w:rPr>
            </w:pPr>
            <w:r>
              <w:rPr>
                <w:b/>
                <w:bCs/>
                <w:color w:val="auto"/>
                <w:highlight w:val="none"/>
              </w:rPr>
              <w:t>表</w:t>
            </w:r>
            <w:r>
              <w:rPr>
                <w:rFonts w:ascii="Times New Roman" w:hAnsi="Times New Roman" w:eastAsia="宋体" w:cs="Times New Roman"/>
                <w:b/>
                <w:bCs/>
                <w:color w:val="auto"/>
                <w:highlight w:val="none"/>
              </w:rPr>
              <w:t>3.</w:t>
            </w:r>
            <w:r>
              <w:rPr>
                <w:rFonts w:hint="eastAsia" w:ascii="Times New Roman" w:hAnsi="Times New Roman" w:eastAsia="宋体" w:cs="Times New Roman"/>
                <w:b/>
                <w:bCs/>
                <w:color w:val="auto"/>
                <w:highlight w:val="none"/>
                <w:lang w:val="en-US" w:eastAsia="zh-CN"/>
              </w:rPr>
              <w:t>9</w:t>
            </w:r>
            <w:r>
              <w:rPr>
                <w:rFonts w:hint="eastAsia" w:ascii="Times New Roman" w:hAnsi="Times New Roman" w:eastAsia="宋体" w:cs="Times New Roman"/>
                <w:b/>
                <w:bCs/>
                <w:color w:val="auto"/>
                <w:highlight w:val="none"/>
              </w:rPr>
              <w:t>-</w:t>
            </w:r>
            <w:r>
              <w:rPr>
                <w:rFonts w:hint="eastAsia" w:cs="Times New Roman"/>
                <w:b/>
                <w:bCs/>
                <w:color w:val="auto"/>
                <w:highlight w:val="none"/>
                <w:lang w:val="en-US" w:eastAsia="zh-CN"/>
              </w:rPr>
              <w:t>2</w:t>
            </w:r>
            <w:r>
              <w:rPr>
                <w:rFonts w:hint="eastAsia" w:ascii="Times New Roman" w:hAnsi="Times New Roman" w:eastAsia="宋体" w:cs="Times New Roman"/>
                <w:b/>
                <w:bCs/>
                <w:color w:val="auto"/>
                <w:highlight w:val="none"/>
              </w:rPr>
              <w:t>废气排放标准</w:t>
            </w:r>
          </w:p>
          <w:tbl>
            <w:tblPr>
              <w:tblStyle w:val="31"/>
              <w:tblW w:w="797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56"/>
              <w:gridCol w:w="1353"/>
              <w:gridCol w:w="2353"/>
              <w:gridCol w:w="3016"/>
            </w:tblGrid>
            <w:tr w14:paraId="7EC4BA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1256" w:type="dxa"/>
                  <w:tcBorders>
                    <w:tl2br w:val="nil"/>
                    <w:tr2bl w:val="nil"/>
                  </w:tcBorders>
                  <w:vAlign w:val="center"/>
                </w:tcPr>
                <w:p w14:paraId="55F6C40E">
                  <w:pPr>
                    <w:pStyle w:val="89"/>
                    <w:adjustRightInd w:val="0"/>
                    <w:snapToGrid w:val="0"/>
                    <w:spacing w:line="320" w:lineRule="exact"/>
                    <w:jc w:val="center"/>
                    <w:rPr>
                      <w:rFonts w:ascii="Times New Roman" w:hAnsi="Times New Roman" w:cs="Times New Roman"/>
                      <w:b/>
                      <w:color w:val="auto"/>
                      <w:szCs w:val="21"/>
                      <w:highlight w:val="none"/>
                      <w:lang w:eastAsia="zh-CN"/>
                    </w:rPr>
                  </w:pPr>
                  <w:r>
                    <w:rPr>
                      <w:rFonts w:hint="eastAsia" w:ascii="Times New Roman" w:hAnsi="Times New Roman" w:cs="Times New Roman"/>
                      <w:b/>
                      <w:color w:val="auto"/>
                      <w:szCs w:val="21"/>
                      <w:highlight w:val="none"/>
                      <w:lang w:eastAsia="zh-CN"/>
                    </w:rPr>
                    <w:t>位置</w:t>
                  </w:r>
                </w:p>
              </w:tc>
              <w:tc>
                <w:tcPr>
                  <w:tcW w:w="1353" w:type="dxa"/>
                  <w:tcBorders>
                    <w:tl2br w:val="nil"/>
                    <w:tr2bl w:val="nil"/>
                  </w:tcBorders>
                  <w:vAlign w:val="center"/>
                </w:tcPr>
                <w:p w14:paraId="2FD76069">
                  <w:pPr>
                    <w:pStyle w:val="89"/>
                    <w:adjustRightInd w:val="0"/>
                    <w:snapToGrid w:val="0"/>
                    <w:spacing w:line="320" w:lineRule="exact"/>
                    <w:jc w:val="center"/>
                    <w:rPr>
                      <w:rFonts w:ascii="Times New Roman" w:hAnsi="Times New Roman" w:cs="Times New Roman"/>
                      <w:b/>
                      <w:color w:val="auto"/>
                      <w:szCs w:val="21"/>
                      <w:highlight w:val="none"/>
                      <w:lang w:eastAsia="zh-CN"/>
                    </w:rPr>
                  </w:pPr>
                  <w:r>
                    <w:rPr>
                      <w:rFonts w:ascii="Times New Roman" w:hAnsi="Times New Roman" w:cs="Times New Roman"/>
                      <w:b/>
                      <w:color w:val="auto"/>
                      <w:szCs w:val="21"/>
                      <w:highlight w:val="none"/>
                      <w:lang w:eastAsia="zh-CN"/>
                    </w:rPr>
                    <w:t>污染物名称</w:t>
                  </w:r>
                </w:p>
              </w:tc>
              <w:tc>
                <w:tcPr>
                  <w:tcW w:w="2353" w:type="dxa"/>
                  <w:tcBorders>
                    <w:tl2br w:val="nil"/>
                    <w:tr2bl w:val="nil"/>
                  </w:tcBorders>
                  <w:vAlign w:val="center"/>
                </w:tcPr>
                <w:p w14:paraId="48538B17">
                  <w:pPr>
                    <w:pStyle w:val="89"/>
                    <w:adjustRightInd w:val="0"/>
                    <w:snapToGrid w:val="0"/>
                    <w:spacing w:line="320" w:lineRule="exact"/>
                    <w:jc w:val="center"/>
                    <w:rPr>
                      <w:rFonts w:hint="eastAsia" w:ascii="Times New Roman" w:hAnsi="Times New Roman" w:cs="Times New Roman"/>
                      <w:b/>
                      <w:color w:val="auto"/>
                      <w:szCs w:val="21"/>
                      <w:highlight w:val="none"/>
                      <w:lang w:eastAsia="zh-CN"/>
                    </w:rPr>
                  </w:pPr>
                  <w:r>
                    <w:rPr>
                      <w:rFonts w:hint="eastAsia" w:ascii="Times New Roman" w:hAnsi="Times New Roman" w:cs="Times New Roman"/>
                      <w:b/>
                      <w:color w:val="auto"/>
                      <w:szCs w:val="21"/>
                      <w:highlight w:val="none"/>
                      <w:lang w:eastAsia="zh-CN"/>
                    </w:rPr>
                    <w:t>排放限值</w:t>
                  </w:r>
                </w:p>
              </w:tc>
              <w:tc>
                <w:tcPr>
                  <w:tcW w:w="3016" w:type="dxa"/>
                  <w:tcBorders>
                    <w:tl2br w:val="nil"/>
                    <w:tr2bl w:val="nil"/>
                  </w:tcBorders>
                  <w:vAlign w:val="center"/>
                </w:tcPr>
                <w:p w14:paraId="11E2AF70">
                  <w:pPr>
                    <w:pStyle w:val="89"/>
                    <w:adjustRightInd w:val="0"/>
                    <w:snapToGrid w:val="0"/>
                    <w:spacing w:line="320" w:lineRule="exact"/>
                    <w:jc w:val="center"/>
                    <w:rPr>
                      <w:rFonts w:ascii="Times New Roman" w:hAnsi="Times New Roman" w:cs="Times New Roman"/>
                      <w:b/>
                      <w:color w:val="auto"/>
                      <w:szCs w:val="21"/>
                      <w:highlight w:val="none"/>
                      <w:lang w:eastAsia="zh-CN"/>
                    </w:rPr>
                  </w:pPr>
                  <w:r>
                    <w:rPr>
                      <w:rFonts w:hint="eastAsia" w:ascii="Times New Roman" w:hAnsi="Times New Roman" w:cs="Times New Roman"/>
                      <w:b/>
                      <w:color w:val="auto"/>
                      <w:szCs w:val="21"/>
                      <w:highlight w:val="none"/>
                      <w:lang w:eastAsia="zh-CN"/>
                    </w:rPr>
                    <w:t>标准</w:t>
                  </w:r>
                </w:p>
              </w:tc>
            </w:tr>
            <w:tr w14:paraId="5F8914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1256" w:type="dxa"/>
                  <w:tcBorders>
                    <w:tl2br w:val="nil"/>
                    <w:tr2bl w:val="nil"/>
                  </w:tcBorders>
                  <w:vAlign w:val="center"/>
                </w:tcPr>
                <w:p w14:paraId="7BC487E2">
                  <w:pPr>
                    <w:pStyle w:val="89"/>
                    <w:adjustRightInd w:val="0"/>
                    <w:snapToGrid w:val="0"/>
                    <w:spacing w:line="320" w:lineRule="exact"/>
                    <w:jc w:val="center"/>
                    <w:rPr>
                      <w:rFonts w:hint="default" w:ascii="Times New Roman" w:hAnsi="Times New Roman" w:cs="Times New Roman"/>
                      <w:b w:val="0"/>
                      <w:bCs/>
                      <w:color w:val="auto"/>
                      <w:szCs w:val="21"/>
                      <w:highlight w:val="none"/>
                      <w:lang w:val="en-US" w:eastAsia="zh-CN"/>
                    </w:rPr>
                  </w:pPr>
                  <w:r>
                    <w:rPr>
                      <w:rFonts w:hint="eastAsia" w:cs="Times New Roman"/>
                      <w:b w:val="0"/>
                      <w:bCs/>
                      <w:color w:val="auto"/>
                      <w:szCs w:val="21"/>
                      <w:highlight w:val="none"/>
                      <w:lang w:val="en-US" w:eastAsia="zh-CN"/>
                    </w:rPr>
                    <w:t>DA001切割废气排气筒</w:t>
                  </w:r>
                </w:p>
              </w:tc>
              <w:tc>
                <w:tcPr>
                  <w:tcW w:w="1353" w:type="dxa"/>
                  <w:tcBorders>
                    <w:tl2br w:val="nil"/>
                    <w:tr2bl w:val="nil"/>
                  </w:tcBorders>
                  <w:vAlign w:val="center"/>
                </w:tcPr>
                <w:p w14:paraId="690C8F70">
                  <w:pPr>
                    <w:pStyle w:val="89"/>
                    <w:adjustRightInd w:val="0"/>
                    <w:snapToGrid w:val="0"/>
                    <w:spacing w:line="320" w:lineRule="exact"/>
                    <w:jc w:val="center"/>
                    <w:rPr>
                      <w:rFonts w:hint="default" w:ascii="Times New Roman" w:hAnsi="Times New Roman" w:cs="Times New Roman"/>
                      <w:b w:val="0"/>
                      <w:bCs/>
                      <w:color w:val="auto"/>
                      <w:szCs w:val="21"/>
                      <w:highlight w:val="none"/>
                      <w:lang w:val="en-US" w:eastAsia="zh-CN"/>
                    </w:rPr>
                  </w:pPr>
                  <w:r>
                    <w:rPr>
                      <w:rFonts w:hint="eastAsia" w:cs="Times New Roman"/>
                      <w:b w:val="0"/>
                      <w:bCs/>
                      <w:color w:val="auto"/>
                      <w:szCs w:val="21"/>
                      <w:highlight w:val="none"/>
                      <w:lang w:val="en-US" w:eastAsia="zh-CN"/>
                    </w:rPr>
                    <w:t>颗粒物</w:t>
                  </w:r>
                </w:p>
              </w:tc>
              <w:tc>
                <w:tcPr>
                  <w:tcW w:w="2353" w:type="dxa"/>
                  <w:tcBorders>
                    <w:tl2br w:val="nil"/>
                    <w:tr2bl w:val="nil"/>
                  </w:tcBorders>
                  <w:vAlign w:val="center"/>
                </w:tcPr>
                <w:p w14:paraId="42529D77">
                  <w:pPr>
                    <w:pStyle w:val="89"/>
                    <w:adjustRightInd w:val="0"/>
                    <w:snapToGrid w:val="0"/>
                    <w:spacing w:line="320" w:lineRule="exact"/>
                    <w:jc w:val="center"/>
                    <w:rPr>
                      <w:rFonts w:hint="eastAsia" w:ascii="Times New Roman" w:hAnsi="Times New Roman" w:cs="Times New Roman"/>
                      <w:b w:val="0"/>
                      <w:bCs/>
                      <w:color w:val="auto"/>
                      <w:szCs w:val="21"/>
                      <w:highlight w:val="none"/>
                      <w:lang w:eastAsia="zh-CN"/>
                    </w:rPr>
                  </w:pPr>
                  <w:r>
                    <w:rPr>
                      <w:rFonts w:hint="eastAsia" w:cs="Times New Roman"/>
                      <w:bCs/>
                      <w:color w:val="auto"/>
                      <w:szCs w:val="21"/>
                      <w:highlight w:val="none"/>
                      <w:lang w:val="en-US" w:eastAsia="zh-CN"/>
                    </w:rPr>
                    <w:t>120mg/m</w:t>
                  </w:r>
                  <w:r>
                    <w:rPr>
                      <w:rFonts w:hint="eastAsia" w:cs="Times New Roman"/>
                      <w:bCs/>
                      <w:color w:val="auto"/>
                      <w:szCs w:val="21"/>
                      <w:highlight w:val="none"/>
                      <w:vertAlign w:val="superscript"/>
                      <w:lang w:val="en-US" w:eastAsia="zh-CN"/>
                    </w:rPr>
                    <w:t>3</w:t>
                  </w:r>
                  <w:r>
                    <w:rPr>
                      <w:rFonts w:hint="eastAsia" w:cs="Times New Roman"/>
                      <w:bCs/>
                      <w:color w:val="auto"/>
                      <w:szCs w:val="21"/>
                      <w:highlight w:val="none"/>
                      <w:vertAlign w:val="baseline"/>
                      <w:lang w:val="en-US" w:eastAsia="zh-CN"/>
                    </w:rPr>
                    <w:t>；</w:t>
                  </w:r>
                  <w:r>
                    <w:rPr>
                      <w:rFonts w:hint="eastAsia" w:cs="Times New Roman"/>
                      <w:bCs/>
                      <w:color w:val="auto"/>
                      <w:szCs w:val="21"/>
                      <w:highlight w:val="none"/>
                      <w:lang w:val="en-US" w:eastAsia="zh-CN"/>
                    </w:rPr>
                    <w:t>7.225kg/h</w:t>
                  </w:r>
                </w:p>
              </w:tc>
              <w:tc>
                <w:tcPr>
                  <w:tcW w:w="3016" w:type="dxa"/>
                  <w:tcBorders>
                    <w:tl2br w:val="nil"/>
                    <w:tr2bl w:val="nil"/>
                  </w:tcBorders>
                  <w:vAlign w:val="center"/>
                </w:tcPr>
                <w:p w14:paraId="194A4AFA">
                  <w:pPr>
                    <w:pStyle w:val="89"/>
                    <w:adjustRightInd w:val="0"/>
                    <w:snapToGrid w:val="0"/>
                    <w:spacing w:line="320" w:lineRule="exact"/>
                    <w:jc w:val="center"/>
                    <w:rPr>
                      <w:rFonts w:hint="eastAsia" w:ascii="Times New Roman" w:hAnsi="Times New Roman" w:cs="Times New Roman"/>
                      <w:b w:val="0"/>
                      <w:bCs/>
                      <w:color w:val="auto"/>
                      <w:szCs w:val="21"/>
                      <w:highlight w:val="none"/>
                      <w:lang w:eastAsia="zh-CN"/>
                    </w:rPr>
                  </w:pPr>
                  <w:r>
                    <w:rPr>
                      <w:rFonts w:hint="eastAsia" w:cs="Times New Roman"/>
                      <w:b w:val="0"/>
                      <w:bCs/>
                      <w:color w:val="auto"/>
                      <w:szCs w:val="21"/>
                      <w:highlight w:val="none"/>
                      <w:lang w:eastAsia="zh-CN"/>
                    </w:rPr>
                    <w:t>《</w:t>
                  </w:r>
                  <w:r>
                    <w:rPr>
                      <w:rFonts w:hint="eastAsia" w:ascii="Times New Roman" w:hAnsi="Times New Roman" w:cs="Times New Roman"/>
                      <w:b w:val="0"/>
                      <w:bCs/>
                      <w:color w:val="auto"/>
                      <w:szCs w:val="21"/>
                      <w:highlight w:val="none"/>
                      <w:lang w:eastAsia="zh-CN"/>
                    </w:rPr>
                    <w:t>大气污染物综合排放标准</w:t>
                  </w:r>
                  <w:r>
                    <w:rPr>
                      <w:rFonts w:hint="eastAsia" w:cs="Times New Roman"/>
                      <w:b w:val="0"/>
                      <w:bCs/>
                      <w:color w:val="auto"/>
                      <w:szCs w:val="21"/>
                      <w:highlight w:val="none"/>
                      <w:lang w:eastAsia="zh-CN"/>
                    </w:rPr>
                    <w:t>》（GB16297-1996）表</w:t>
                  </w:r>
                  <w:r>
                    <w:rPr>
                      <w:rFonts w:hint="eastAsia" w:cs="Times New Roman"/>
                      <w:b w:val="0"/>
                      <w:bCs/>
                      <w:color w:val="auto"/>
                      <w:szCs w:val="21"/>
                      <w:highlight w:val="none"/>
                      <w:lang w:val="en-US" w:eastAsia="zh-CN"/>
                    </w:rPr>
                    <w:t>2二级标准（高度25m）</w:t>
                  </w:r>
                </w:p>
              </w:tc>
            </w:tr>
            <w:tr w14:paraId="393EEF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1256" w:type="dxa"/>
                  <w:tcBorders>
                    <w:tl2br w:val="nil"/>
                    <w:tr2bl w:val="nil"/>
                  </w:tcBorders>
                  <w:vAlign w:val="center"/>
                </w:tcPr>
                <w:p w14:paraId="3B5DC506">
                  <w:pPr>
                    <w:pStyle w:val="89"/>
                    <w:adjustRightInd w:val="0"/>
                    <w:snapToGrid w:val="0"/>
                    <w:spacing w:line="320" w:lineRule="exact"/>
                    <w:jc w:val="center"/>
                    <w:rPr>
                      <w:rFonts w:hint="default" w:cs="Times New Roman"/>
                      <w:b w:val="0"/>
                      <w:bCs/>
                      <w:color w:val="auto"/>
                      <w:szCs w:val="21"/>
                      <w:highlight w:val="none"/>
                      <w:lang w:val="en-US" w:eastAsia="zh-CN"/>
                    </w:rPr>
                  </w:pPr>
                  <w:r>
                    <w:rPr>
                      <w:rFonts w:hint="eastAsia" w:cs="Times New Roman"/>
                      <w:b w:val="0"/>
                      <w:bCs/>
                      <w:color w:val="auto"/>
                      <w:szCs w:val="21"/>
                      <w:highlight w:val="none"/>
                      <w:lang w:val="en-US" w:eastAsia="zh-CN"/>
                    </w:rPr>
                    <w:t>DA002抛丸喷砂废气排气筒</w:t>
                  </w:r>
                </w:p>
              </w:tc>
              <w:tc>
                <w:tcPr>
                  <w:tcW w:w="1353" w:type="dxa"/>
                  <w:tcBorders>
                    <w:tl2br w:val="nil"/>
                    <w:tr2bl w:val="nil"/>
                  </w:tcBorders>
                  <w:vAlign w:val="center"/>
                </w:tcPr>
                <w:p w14:paraId="53F90F33">
                  <w:pPr>
                    <w:pStyle w:val="89"/>
                    <w:adjustRightInd w:val="0"/>
                    <w:snapToGrid w:val="0"/>
                    <w:spacing w:line="320" w:lineRule="exact"/>
                    <w:jc w:val="center"/>
                    <w:rPr>
                      <w:rFonts w:hint="default" w:cs="Times New Roman"/>
                      <w:b w:val="0"/>
                      <w:bCs/>
                      <w:color w:val="auto"/>
                      <w:szCs w:val="21"/>
                      <w:highlight w:val="none"/>
                      <w:lang w:val="en-US" w:eastAsia="zh-CN"/>
                    </w:rPr>
                  </w:pPr>
                  <w:r>
                    <w:rPr>
                      <w:rFonts w:hint="eastAsia" w:cs="Times New Roman"/>
                      <w:b w:val="0"/>
                      <w:bCs/>
                      <w:color w:val="auto"/>
                      <w:szCs w:val="21"/>
                      <w:highlight w:val="none"/>
                      <w:lang w:val="en-US" w:eastAsia="zh-CN"/>
                    </w:rPr>
                    <w:t>颗粒物</w:t>
                  </w:r>
                </w:p>
              </w:tc>
              <w:tc>
                <w:tcPr>
                  <w:tcW w:w="2353" w:type="dxa"/>
                  <w:tcBorders>
                    <w:tl2br w:val="nil"/>
                    <w:tr2bl w:val="nil"/>
                  </w:tcBorders>
                  <w:vAlign w:val="center"/>
                </w:tcPr>
                <w:p w14:paraId="3E282452">
                  <w:pPr>
                    <w:pStyle w:val="89"/>
                    <w:adjustRightInd w:val="0"/>
                    <w:snapToGrid w:val="0"/>
                    <w:spacing w:line="320" w:lineRule="exact"/>
                    <w:jc w:val="center"/>
                    <w:rPr>
                      <w:rFonts w:hint="eastAsia" w:ascii="Times New Roman" w:hAnsi="Times New Roman" w:cs="Times New Roman"/>
                      <w:b w:val="0"/>
                      <w:bCs/>
                      <w:color w:val="auto"/>
                      <w:szCs w:val="21"/>
                      <w:highlight w:val="none"/>
                      <w:lang w:eastAsia="zh-CN"/>
                    </w:rPr>
                  </w:pPr>
                  <w:r>
                    <w:rPr>
                      <w:rFonts w:hint="eastAsia" w:cs="Times New Roman"/>
                      <w:bCs/>
                      <w:color w:val="auto"/>
                      <w:szCs w:val="21"/>
                      <w:highlight w:val="none"/>
                      <w:lang w:val="en-US" w:eastAsia="zh-CN"/>
                    </w:rPr>
                    <w:t>120mg/m</w:t>
                  </w:r>
                  <w:r>
                    <w:rPr>
                      <w:rFonts w:hint="eastAsia" w:cs="Times New Roman"/>
                      <w:bCs/>
                      <w:color w:val="auto"/>
                      <w:szCs w:val="21"/>
                      <w:highlight w:val="none"/>
                      <w:vertAlign w:val="superscript"/>
                      <w:lang w:val="en-US" w:eastAsia="zh-CN"/>
                    </w:rPr>
                    <w:t>3</w:t>
                  </w:r>
                  <w:r>
                    <w:rPr>
                      <w:rFonts w:hint="eastAsia" w:cs="Times New Roman"/>
                      <w:bCs/>
                      <w:color w:val="auto"/>
                      <w:szCs w:val="21"/>
                      <w:highlight w:val="none"/>
                      <w:vertAlign w:val="baseline"/>
                      <w:lang w:val="en-US" w:eastAsia="zh-CN"/>
                    </w:rPr>
                    <w:t>；</w:t>
                  </w:r>
                  <w:r>
                    <w:rPr>
                      <w:rFonts w:hint="eastAsia" w:cs="Times New Roman"/>
                      <w:bCs/>
                      <w:color w:val="auto"/>
                      <w:szCs w:val="21"/>
                      <w:highlight w:val="none"/>
                      <w:lang w:val="en-US" w:eastAsia="zh-CN"/>
                    </w:rPr>
                    <w:t>7.225kg/h</w:t>
                  </w:r>
                </w:p>
              </w:tc>
              <w:tc>
                <w:tcPr>
                  <w:tcW w:w="3016" w:type="dxa"/>
                  <w:tcBorders>
                    <w:tl2br w:val="nil"/>
                    <w:tr2bl w:val="nil"/>
                  </w:tcBorders>
                  <w:vAlign w:val="center"/>
                </w:tcPr>
                <w:p w14:paraId="11672813">
                  <w:pPr>
                    <w:pStyle w:val="89"/>
                    <w:adjustRightInd w:val="0"/>
                    <w:snapToGrid w:val="0"/>
                    <w:spacing w:line="320" w:lineRule="exact"/>
                    <w:jc w:val="center"/>
                    <w:rPr>
                      <w:rFonts w:hint="eastAsia" w:ascii="Times New Roman" w:hAnsi="Times New Roman" w:cs="Times New Roman"/>
                      <w:b w:val="0"/>
                      <w:bCs/>
                      <w:color w:val="auto"/>
                      <w:szCs w:val="21"/>
                      <w:highlight w:val="none"/>
                      <w:lang w:eastAsia="zh-CN"/>
                    </w:rPr>
                  </w:pPr>
                  <w:r>
                    <w:rPr>
                      <w:rFonts w:hint="eastAsia" w:cs="Times New Roman"/>
                      <w:b w:val="0"/>
                      <w:bCs/>
                      <w:color w:val="auto"/>
                      <w:szCs w:val="21"/>
                      <w:highlight w:val="none"/>
                      <w:lang w:eastAsia="zh-CN"/>
                    </w:rPr>
                    <w:t>《</w:t>
                  </w:r>
                  <w:r>
                    <w:rPr>
                      <w:rFonts w:hint="eastAsia" w:ascii="Times New Roman" w:hAnsi="Times New Roman" w:cs="Times New Roman"/>
                      <w:b w:val="0"/>
                      <w:bCs/>
                      <w:color w:val="auto"/>
                      <w:szCs w:val="21"/>
                      <w:highlight w:val="none"/>
                      <w:lang w:eastAsia="zh-CN"/>
                    </w:rPr>
                    <w:t>大气污染物综合排放标准</w:t>
                  </w:r>
                  <w:r>
                    <w:rPr>
                      <w:rFonts w:hint="eastAsia" w:cs="Times New Roman"/>
                      <w:b w:val="0"/>
                      <w:bCs/>
                      <w:color w:val="auto"/>
                      <w:szCs w:val="21"/>
                      <w:highlight w:val="none"/>
                      <w:lang w:eastAsia="zh-CN"/>
                    </w:rPr>
                    <w:t>》（GB16297-1996）表</w:t>
                  </w:r>
                  <w:r>
                    <w:rPr>
                      <w:rFonts w:hint="eastAsia" w:cs="Times New Roman"/>
                      <w:b w:val="0"/>
                      <w:bCs/>
                      <w:color w:val="auto"/>
                      <w:szCs w:val="21"/>
                      <w:highlight w:val="none"/>
                      <w:lang w:val="en-US" w:eastAsia="zh-CN"/>
                    </w:rPr>
                    <w:t>2二级标准（高度25m）</w:t>
                  </w:r>
                </w:p>
              </w:tc>
            </w:tr>
            <w:tr w14:paraId="0C9ECA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1256" w:type="dxa"/>
                  <w:tcBorders>
                    <w:tl2br w:val="nil"/>
                    <w:tr2bl w:val="nil"/>
                  </w:tcBorders>
                  <w:shd w:val="clear" w:color="auto" w:fill="auto"/>
                  <w:vAlign w:val="center"/>
                </w:tcPr>
                <w:p w14:paraId="77914134">
                  <w:pPr>
                    <w:pStyle w:val="89"/>
                    <w:adjustRightInd w:val="0"/>
                    <w:snapToGrid w:val="0"/>
                    <w:spacing w:line="320" w:lineRule="exact"/>
                    <w:jc w:val="center"/>
                    <w:rPr>
                      <w:rFonts w:hint="eastAsia" w:ascii="Times New Roman" w:hAnsi="Times New Roman" w:eastAsia="Times New Roman" w:cs="Times New Roman"/>
                      <w:b w:val="0"/>
                      <w:bCs/>
                      <w:color w:val="auto"/>
                      <w:kern w:val="2"/>
                      <w:sz w:val="21"/>
                      <w:szCs w:val="21"/>
                      <w:highlight w:val="none"/>
                      <w:lang w:val="en-US" w:eastAsia="zh-CN" w:bidi="ar-SA"/>
                    </w:rPr>
                  </w:pPr>
                  <w:r>
                    <w:rPr>
                      <w:rFonts w:hint="eastAsia" w:cs="Times New Roman"/>
                      <w:b w:val="0"/>
                      <w:bCs/>
                      <w:color w:val="auto"/>
                      <w:szCs w:val="21"/>
                      <w:highlight w:val="none"/>
                      <w:lang w:val="en-US" w:eastAsia="zh-CN"/>
                    </w:rPr>
                    <w:t>DA003打磨废气排气筒</w:t>
                  </w:r>
                </w:p>
              </w:tc>
              <w:tc>
                <w:tcPr>
                  <w:tcW w:w="1353" w:type="dxa"/>
                  <w:tcBorders>
                    <w:tl2br w:val="nil"/>
                    <w:tr2bl w:val="nil"/>
                  </w:tcBorders>
                  <w:shd w:val="clear" w:color="auto" w:fill="auto"/>
                  <w:vAlign w:val="center"/>
                </w:tcPr>
                <w:p w14:paraId="02B2BF9E">
                  <w:pPr>
                    <w:pStyle w:val="89"/>
                    <w:adjustRightInd w:val="0"/>
                    <w:snapToGrid w:val="0"/>
                    <w:spacing w:line="320" w:lineRule="exact"/>
                    <w:jc w:val="center"/>
                    <w:rPr>
                      <w:rFonts w:hint="eastAsia" w:ascii="Times New Roman" w:hAnsi="Times New Roman" w:eastAsia="Times New Roman" w:cs="Times New Roman"/>
                      <w:b w:val="0"/>
                      <w:bCs/>
                      <w:color w:val="auto"/>
                      <w:kern w:val="2"/>
                      <w:sz w:val="21"/>
                      <w:szCs w:val="21"/>
                      <w:highlight w:val="none"/>
                      <w:lang w:val="en-US" w:eastAsia="zh-CN" w:bidi="ar-SA"/>
                    </w:rPr>
                  </w:pPr>
                  <w:r>
                    <w:rPr>
                      <w:rFonts w:hint="eastAsia" w:cs="Times New Roman"/>
                      <w:b w:val="0"/>
                      <w:bCs/>
                      <w:color w:val="auto"/>
                      <w:szCs w:val="21"/>
                      <w:highlight w:val="none"/>
                      <w:lang w:val="en-US" w:eastAsia="zh-CN"/>
                    </w:rPr>
                    <w:t>颗粒物</w:t>
                  </w:r>
                </w:p>
              </w:tc>
              <w:tc>
                <w:tcPr>
                  <w:tcW w:w="2353" w:type="dxa"/>
                  <w:tcBorders>
                    <w:tl2br w:val="nil"/>
                    <w:tr2bl w:val="nil"/>
                  </w:tcBorders>
                  <w:vAlign w:val="center"/>
                </w:tcPr>
                <w:p w14:paraId="51A7BA0C">
                  <w:pPr>
                    <w:pStyle w:val="89"/>
                    <w:adjustRightInd w:val="0"/>
                    <w:snapToGrid w:val="0"/>
                    <w:spacing w:line="320" w:lineRule="exact"/>
                    <w:jc w:val="center"/>
                    <w:rPr>
                      <w:rFonts w:hint="eastAsia" w:ascii="Times New Roman" w:hAnsi="Times New Roman" w:cs="Times New Roman"/>
                      <w:b w:val="0"/>
                      <w:bCs/>
                      <w:color w:val="auto"/>
                      <w:szCs w:val="21"/>
                      <w:highlight w:val="none"/>
                      <w:lang w:eastAsia="zh-CN"/>
                    </w:rPr>
                  </w:pPr>
                  <w:r>
                    <w:rPr>
                      <w:rFonts w:hint="eastAsia" w:cs="Times New Roman"/>
                      <w:bCs/>
                      <w:color w:val="auto"/>
                      <w:szCs w:val="21"/>
                      <w:highlight w:val="none"/>
                      <w:lang w:val="en-US" w:eastAsia="zh-CN"/>
                    </w:rPr>
                    <w:t>120mg/m</w:t>
                  </w:r>
                  <w:r>
                    <w:rPr>
                      <w:rFonts w:hint="eastAsia" w:cs="Times New Roman"/>
                      <w:bCs/>
                      <w:color w:val="auto"/>
                      <w:szCs w:val="21"/>
                      <w:highlight w:val="none"/>
                      <w:vertAlign w:val="superscript"/>
                      <w:lang w:val="en-US" w:eastAsia="zh-CN"/>
                    </w:rPr>
                    <w:t>3</w:t>
                  </w:r>
                  <w:r>
                    <w:rPr>
                      <w:rFonts w:hint="eastAsia" w:cs="Times New Roman"/>
                      <w:bCs/>
                      <w:color w:val="auto"/>
                      <w:szCs w:val="21"/>
                      <w:highlight w:val="none"/>
                      <w:vertAlign w:val="baseline"/>
                      <w:lang w:val="en-US" w:eastAsia="zh-CN"/>
                    </w:rPr>
                    <w:t>；</w:t>
                  </w:r>
                  <w:r>
                    <w:rPr>
                      <w:rFonts w:hint="eastAsia" w:cs="Times New Roman"/>
                      <w:bCs/>
                      <w:color w:val="auto"/>
                      <w:szCs w:val="21"/>
                      <w:highlight w:val="none"/>
                      <w:lang w:val="en-US" w:eastAsia="zh-CN"/>
                    </w:rPr>
                    <w:t>7.225kg/h</w:t>
                  </w:r>
                </w:p>
              </w:tc>
              <w:tc>
                <w:tcPr>
                  <w:tcW w:w="3016" w:type="dxa"/>
                  <w:tcBorders>
                    <w:tl2br w:val="nil"/>
                    <w:tr2bl w:val="nil"/>
                  </w:tcBorders>
                  <w:vAlign w:val="center"/>
                </w:tcPr>
                <w:p w14:paraId="174E229A">
                  <w:pPr>
                    <w:pStyle w:val="89"/>
                    <w:adjustRightInd w:val="0"/>
                    <w:snapToGrid w:val="0"/>
                    <w:spacing w:line="320" w:lineRule="exact"/>
                    <w:jc w:val="center"/>
                    <w:rPr>
                      <w:rFonts w:hint="eastAsia" w:ascii="Times New Roman" w:hAnsi="Times New Roman" w:cs="Times New Roman"/>
                      <w:b w:val="0"/>
                      <w:bCs/>
                      <w:color w:val="auto"/>
                      <w:szCs w:val="21"/>
                      <w:highlight w:val="none"/>
                      <w:lang w:eastAsia="zh-CN"/>
                    </w:rPr>
                  </w:pPr>
                  <w:r>
                    <w:rPr>
                      <w:rFonts w:hint="eastAsia" w:cs="Times New Roman"/>
                      <w:b w:val="0"/>
                      <w:bCs/>
                      <w:color w:val="auto"/>
                      <w:szCs w:val="21"/>
                      <w:highlight w:val="none"/>
                      <w:lang w:eastAsia="zh-CN"/>
                    </w:rPr>
                    <w:t>《</w:t>
                  </w:r>
                  <w:r>
                    <w:rPr>
                      <w:rFonts w:hint="eastAsia" w:ascii="Times New Roman" w:hAnsi="Times New Roman" w:cs="Times New Roman"/>
                      <w:b w:val="0"/>
                      <w:bCs/>
                      <w:color w:val="auto"/>
                      <w:szCs w:val="21"/>
                      <w:highlight w:val="none"/>
                      <w:lang w:eastAsia="zh-CN"/>
                    </w:rPr>
                    <w:t>大气污染物综合排放标准</w:t>
                  </w:r>
                  <w:r>
                    <w:rPr>
                      <w:rFonts w:hint="eastAsia" w:cs="Times New Roman"/>
                      <w:b w:val="0"/>
                      <w:bCs/>
                      <w:color w:val="auto"/>
                      <w:szCs w:val="21"/>
                      <w:highlight w:val="none"/>
                      <w:lang w:eastAsia="zh-CN"/>
                    </w:rPr>
                    <w:t>》（GB16297-1996）表</w:t>
                  </w:r>
                  <w:r>
                    <w:rPr>
                      <w:rFonts w:hint="eastAsia" w:cs="Times New Roman"/>
                      <w:b w:val="0"/>
                      <w:bCs/>
                      <w:color w:val="auto"/>
                      <w:szCs w:val="21"/>
                      <w:highlight w:val="none"/>
                      <w:lang w:val="en-US" w:eastAsia="zh-CN"/>
                    </w:rPr>
                    <w:t>2二级标准（高度25m）</w:t>
                  </w:r>
                </w:p>
              </w:tc>
            </w:tr>
            <w:tr w14:paraId="7F93F0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1256" w:type="dxa"/>
                  <w:vMerge w:val="restart"/>
                  <w:tcBorders>
                    <w:tl2br w:val="nil"/>
                    <w:tr2bl w:val="nil"/>
                  </w:tcBorders>
                  <w:vAlign w:val="center"/>
                </w:tcPr>
                <w:p w14:paraId="77B300F8">
                  <w:pPr>
                    <w:pStyle w:val="89"/>
                    <w:adjustRightInd w:val="0"/>
                    <w:snapToGrid w:val="0"/>
                    <w:spacing w:line="320" w:lineRule="exact"/>
                    <w:jc w:val="center"/>
                    <w:rPr>
                      <w:rFonts w:hint="default" w:ascii="Times New Roman" w:hAnsi="Times New Roman" w:cs="Times New Roman"/>
                      <w:b/>
                      <w:color w:val="auto"/>
                      <w:szCs w:val="21"/>
                      <w:highlight w:val="none"/>
                      <w:lang w:val="en-US" w:eastAsia="zh-CN"/>
                    </w:rPr>
                  </w:pPr>
                  <w:r>
                    <w:rPr>
                      <w:rFonts w:hint="eastAsia" w:cs="Times New Roman"/>
                      <w:b w:val="0"/>
                      <w:bCs/>
                      <w:color w:val="auto"/>
                      <w:szCs w:val="21"/>
                      <w:highlight w:val="none"/>
                      <w:lang w:val="en-US" w:eastAsia="zh-CN"/>
                    </w:rPr>
                    <w:t>DA004测试废气排气筒</w:t>
                  </w:r>
                </w:p>
              </w:tc>
              <w:tc>
                <w:tcPr>
                  <w:tcW w:w="1353" w:type="dxa"/>
                  <w:tcBorders>
                    <w:tl2br w:val="nil"/>
                    <w:tr2bl w:val="nil"/>
                  </w:tcBorders>
                  <w:vAlign w:val="center"/>
                </w:tcPr>
                <w:p w14:paraId="18504608">
                  <w:pPr>
                    <w:pStyle w:val="89"/>
                    <w:adjustRightInd w:val="0"/>
                    <w:snapToGrid w:val="0"/>
                    <w:spacing w:line="320" w:lineRule="exact"/>
                    <w:jc w:val="center"/>
                    <w:rPr>
                      <w:rFonts w:ascii="Times New Roman" w:hAnsi="Times New Roman" w:cs="Times New Roman"/>
                      <w:b/>
                      <w:color w:val="auto"/>
                      <w:szCs w:val="21"/>
                      <w:highlight w:val="none"/>
                      <w:lang w:eastAsia="zh-CN"/>
                    </w:rPr>
                  </w:pPr>
                  <w:r>
                    <w:rPr>
                      <w:rFonts w:hint="eastAsia" w:cs="Times New Roman"/>
                      <w:b w:val="0"/>
                      <w:bCs/>
                      <w:color w:val="auto"/>
                      <w:szCs w:val="21"/>
                      <w:highlight w:val="none"/>
                      <w:lang w:eastAsia="zh-CN"/>
                    </w:rPr>
                    <w:t>颗粒物</w:t>
                  </w:r>
                </w:p>
              </w:tc>
              <w:tc>
                <w:tcPr>
                  <w:tcW w:w="2353" w:type="dxa"/>
                  <w:tcBorders>
                    <w:tl2br w:val="nil"/>
                    <w:tr2bl w:val="nil"/>
                  </w:tcBorders>
                  <w:vAlign w:val="center"/>
                </w:tcPr>
                <w:p w14:paraId="489A4970">
                  <w:pPr>
                    <w:pStyle w:val="89"/>
                    <w:adjustRightInd w:val="0"/>
                    <w:snapToGrid w:val="0"/>
                    <w:spacing w:line="320" w:lineRule="exact"/>
                    <w:jc w:val="center"/>
                    <w:rPr>
                      <w:rFonts w:hint="default" w:ascii="Times New Roman" w:hAnsi="Times New Roman" w:cs="Times New Roman"/>
                      <w:bCs/>
                      <w:color w:val="auto"/>
                      <w:szCs w:val="21"/>
                      <w:highlight w:val="none"/>
                      <w:lang w:val="en-US" w:eastAsia="zh-CN"/>
                    </w:rPr>
                  </w:pPr>
                  <w:r>
                    <w:rPr>
                      <w:rFonts w:hint="eastAsia" w:cs="Times New Roman"/>
                      <w:bCs/>
                      <w:color w:val="auto"/>
                      <w:szCs w:val="21"/>
                      <w:highlight w:val="none"/>
                      <w:lang w:val="en-US" w:eastAsia="zh-CN"/>
                    </w:rPr>
                    <w:t>120mg/m</w:t>
                  </w:r>
                  <w:r>
                    <w:rPr>
                      <w:rFonts w:hint="eastAsia" w:cs="Times New Roman"/>
                      <w:bCs/>
                      <w:color w:val="auto"/>
                      <w:szCs w:val="21"/>
                      <w:highlight w:val="none"/>
                      <w:vertAlign w:val="superscript"/>
                      <w:lang w:val="en-US" w:eastAsia="zh-CN"/>
                    </w:rPr>
                    <w:t>3</w:t>
                  </w:r>
                  <w:r>
                    <w:rPr>
                      <w:rFonts w:hint="eastAsia" w:cs="Times New Roman"/>
                      <w:bCs/>
                      <w:color w:val="auto"/>
                      <w:szCs w:val="21"/>
                      <w:highlight w:val="none"/>
                      <w:vertAlign w:val="baseline"/>
                      <w:lang w:val="en-US" w:eastAsia="zh-CN"/>
                    </w:rPr>
                    <w:t>；</w:t>
                  </w:r>
                  <w:r>
                    <w:rPr>
                      <w:rFonts w:hint="eastAsia" w:cs="Times New Roman"/>
                      <w:bCs/>
                      <w:color w:val="auto"/>
                      <w:szCs w:val="21"/>
                      <w:highlight w:val="none"/>
                      <w:lang w:val="en-US" w:eastAsia="zh-CN"/>
                    </w:rPr>
                    <w:t>7.225kg/h</w:t>
                  </w:r>
                </w:p>
              </w:tc>
              <w:tc>
                <w:tcPr>
                  <w:tcW w:w="3016" w:type="dxa"/>
                  <w:vMerge w:val="restart"/>
                  <w:tcBorders>
                    <w:tl2br w:val="nil"/>
                    <w:tr2bl w:val="nil"/>
                  </w:tcBorders>
                  <w:vAlign w:val="center"/>
                </w:tcPr>
                <w:p w14:paraId="1A3DE125">
                  <w:pPr>
                    <w:pStyle w:val="89"/>
                    <w:adjustRightInd w:val="0"/>
                    <w:snapToGrid w:val="0"/>
                    <w:spacing w:line="320" w:lineRule="exact"/>
                    <w:jc w:val="center"/>
                    <w:rPr>
                      <w:rFonts w:hint="default" w:ascii="Times New Roman" w:hAnsi="Times New Roman" w:cs="Times New Roman"/>
                      <w:b/>
                      <w:color w:val="auto"/>
                      <w:szCs w:val="21"/>
                      <w:highlight w:val="none"/>
                      <w:lang w:val="en-US" w:eastAsia="zh-CN"/>
                    </w:rPr>
                  </w:pPr>
                  <w:r>
                    <w:rPr>
                      <w:rFonts w:hint="eastAsia" w:cs="Times New Roman"/>
                      <w:b w:val="0"/>
                      <w:bCs/>
                      <w:color w:val="auto"/>
                      <w:szCs w:val="21"/>
                      <w:highlight w:val="none"/>
                      <w:lang w:eastAsia="zh-CN"/>
                    </w:rPr>
                    <w:t>《</w:t>
                  </w:r>
                  <w:r>
                    <w:rPr>
                      <w:rFonts w:hint="eastAsia" w:ascii="Times New Roman" w:hAnsi="Times New Roman" w:cs="Times New Roman"/>
                      <w:b w:val="0"/>
                      <w:bCs/>
                      <w:color w:val="auto"/>
                      <w:szCs w:val="21"/>
                      <w:highlight w:val="none"/>
                      <w:lang w:eastAsia="zh-CN"/>
                    </w:rPr>
                    <w:t>大气污染物综合排放标准</w:t>
                  </w:r>
                  <w:r>
                    <w:rPr>
                      <w:rFonts w:hint="eastAsia" w:cs="Times New Roman"/>
                      <w:b w:val="0"/>
                      <w:bCs/>
                      <w:color w:val="auto"/>
                      <w:szCs w:val="21"/>
                      <w:highlight w:val="none"/>
                      <w:lang w:eastAsia="zh-CN"/>
                    </w:rPr>
                    <w:t>》（GB16297-1996）表</w:t>
                  </w:r>
                  <w:r>
                    <w:rPr>
                      <w:rFonts w:hint="eastAsia" w:cs="Times New Roman"/>
                      <w:b w:val="0"/>
                      <w:bCs/>
                      <w:color w:val="auto"/>
                      <w:szCs w:val="21"/>
                      <w:highlight w:val="none"/>
                      <w:lang w:val="en-US" w:eastAsia="zh-CN"/>
                    </w:rPr>
                    <w:t>2二级标准（高度25m）</w:t>
                  </w:r>
                </w:p>
              </w:tc>
            </w:tr>
            <w:tr w14:paraId="4A7E36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1256" w:type="dxa"/>
                  <w:vMerge w:val="continue"/>
                  <w:tcBorders>
                    <w:tl2br w:val="nil"/>
                    <w:tr2bl w:val="nil"/>
                  </w:tcBorders>
                  <w:vAlign w:val="center"/>
                </w:tcPr>
                <w:p w14:paraId="2E17EE0D">
                  <w:pPr>
                    <w:pStyle w:val="89"/>
                    <w:adjustRightInd w:val="0"/>
                    <w:snapToGrid w:val="0"/>
                    <w:spacing w:line="320" w:lineRule="exact"/>
                    <w:jc w:val="center"/>
                    <w:rPr>
                      <w:rFonts w:hint="eastAsia" w:cs="Times New Roman"/>
                      <w:b w:val="0"/>
                      <w:bCs/>
                      <w:color w:val="auto"/>
                      <w:szCs w:val="21"/>
                      <w:highlight w:val="none"/>
                      <w:lang w:eastAsia="zh-CN"/>
                    </w:rPr>
                  </w:pPr>
                </w:p>
              </w:tc>
              <w:tc>
                <w:tcPr>
                  <w:tcW w:w="1353" w:type="dxa"/>
                  <w:tcBorders>
                    <w:tl2br w:val="nil"/>
                    <w:tr2bl w:val="nil"/>
                  </w:tcBorders>
                  <w:vAlign w:val="center"/>
                </w:tcPr>
                <w:p w14:paraId="6C136B1E">
                  <w:pPr>
                    <w:pStyle w:val="89"/>
                    <w:adjustRightInd w:val="0"/>
                    <w:snapToGrid w:val="0"/>
                    <w:spacing w:line="320" w:lineRule="exact"/>
                    <w:jc w:val="center"/>
                    <w:rPr>
                      <w:rFonts w:hint="eastAsia" w:cs="Times New Roman"/>
                      <w:b w:val="0"/>
                      <w:bCs/>
                      <w:color w:val="auto"/>
                      <w:szCs w:val="21"/>
                      <w:highlight w:val="none"/>
                      <w:lang w:eastAsia="zh-CN"/>
                    </w:rPr>
                  </w:pPr>
                  <w:r>
                    <w:rPr>
                      <w:rFonts w:hint="eastAsia" w:cs="Times New Roman"/>
                      <w:b w:val="0"/>
                      <w:bCs/>
                      <w:color w:val="auto"/>
                      <w:szCs w:val="21"/>
                      <w:highlight w:val="none"/>
                      <w:lang w:eastAsia="zh-CN"/>
                    </w:rPr>
                    <w:t>二氧化硫</w:t>
                  </w:r>
                </w:p>
              </w:tc>
              <w:tc>
                <w:tcPr>
                  <w:tcW w:w="2353" w:type="dxa"/>
                  <w:tcBorders>
                    <w:tl2br w:val="nil"/>
                    <w:tr2bl w:val="nil"/>
                  </w:tcBorders>
                  <w:vAlign w:val="center"/>
                </w:tcPr>
                <w:p w14:paraId="1FCFDB53">
                  <w:pPr>
                    <w:pStyle w:val="89"/>
                    <w:adjustRightInd w:val="0"/>
                    <w:snapToGrid w:val="0"/>
                    <w:spacing w:line="320" w:lineRule="exact"/>
                    <w:jc w:val="center"/>
                    <w:rPr>
                      <w:rFonts w:hint="default" w:ascii="Times New Roman" w:hAnsi="Times New Roman" w:cs="Times New Roman"/>
                      <w:bCs/>
                      <w:color w:val="auto"/>
                      <w:szCs w:val="21"/>
                      <w:highlight w:val="none"/>
                      <w:lang w:val="en-US" w:eastAsia="zh-CN"/>
                    </w:rPr>
                  </w:pPr>
                  <w:r>
                    <w:rPr>
                      <w:rFonts w:hint="eastAsia" w:cs="Times New Roman"/>
                      <w:bCs/>
                      <w:color w:val="auto"/>
                      <w:szCs w:val="21"/>
                      <w:highlight w:val="none"/>
                      <w:lang w:val="en-US" w:eastAsia="zh-CN"/>
                    </w:rPr>
                    <w:t>550mg/m</w:t>
                  </w:r>
                  <w:r>
                    <w:rPr>
                      <w:rFonts w:hint="eastAsia" w:cs="Times New Roman"/>
                      <w:bCs/>
                      <w:color w:val="auto"/>
                      <w:szCs w:val="21"/>
                      <w:highlight w:val="none"/>
                      <w:vertAlign w:val="superscript"/>
                      <w:lang w:val="en-US" w:eastAsia="zh-CN"/>
                    </w:rPr>
                    <w:t>3</w:t>
                  </w:r>
                  <w:r>
                    <w:rPr>
                      <w:rFonts w:hint="eastAsia" w:cs="Times New Roman"/>
                      <w:bCs/>
                      <w:color w:val="auto"/>
                      <w:szCs w:val="21"/>
                      <w:highlight w:val="none"/>
                      <w:vertAlign w:val="baseline"/>
                      <w:lang w:val="en-US" w:eastAsia="zh-CN"/>
                    </w:rPr>
                    <w:t>；</w:t>
                  </w:r>
                  <w:r>
                    <w:rPr>
                      <w:rFonts w:hint="eastAsia" w:cs="Times New Roman"/>
                      <w:bCs/>
                      <w:color w:val="auto"/>
                      <w:szCs w:val="21"/>
                      <w:highlight w:val="none"/>
                      <w:lang w:val="en-US" w:eastAsia="zh-CN"/>
                    </w:rPr>
                    <w:t>4.825kg/h</w:t>
                  </w:r>
                </w:p>
              </w:tc>
              <w:tc>
                <w:tcPr>
                  <w:tcW w:w="3016" w:type="dxa"/>
                  <w:vMerge w:val="continue"/>
                  <w:tcBorders>
                    <w:tl2br w:val="nil"/>
                    <w:tr2bl w:val="nil"/>
                  </w:tcBorders>
                  <w:vAlign w:val="center"/>
                </w:tcPr>
                <w:p w14:paraId="735E96EF">
                  <w:pPr>
                    <w:pStyle w:val="89"/>
                    <w:adjustRightInd w:val="0"/>
                    <w:snapToGrid w:val="0"/>
                    <w:spacing w:line="320" w:lineRule="exact"/>
                    <w:jc w:val="center"/>
                    <w:rPr>
                      <w:rFonts w:hint="eastAsia" w:ascii="Times New Roman" w:hAnsi="Times New Roman" w:cs="Times New Roman"/>
                      <w:b/>
                      <w:color w:val="auto"/>
                      <w:szCs w:val="21"/>
                      <w:highlight w:val="none"/>
                      <w:lang w:eastAsia="zh-CN"/>
                    </w:rPr>
                  </w:pPr>
                </w:p>
              </w:tc>
            </w:tr>
            <w:tr w14:paraId="6A341F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1256" w:type="dxa"/>
                  <w:vMerge w:val="continue"/>
                  <w:tcBorders>
                    <w:tl2br w:val="nil"/>
                    <w:tr2bl w:val="nil"/>
                  </w:tcBorders>
                  <w:vAlign w:val="center"/>
                </w:tcPr>
                <w:p w14:paraId="46227AE6">
                  <w:pPr>
                    <w:pStyle w:val="89"/>
                    <w:adjustRightInd w:val="0"/>
                    <w:snapToGrid w:val="0"/>
                    <w:spacing w:line="320" w:lineRule="exact"/>
                    <w:jc w:val="center"/>
                    <w:rPr>
                      <w:rFonts w:hint="eastAsia" w:cs="Times New Roman"/>
                      <w:b w:val="0"/>
                      <w:bCs/>
                      <w:color w:val="auto"/>
                      <w:szCs w:val="21"/>
                      <w:highlight w:val="none"/>
                      <w:lang w:eastAsia="zh-CN"/>
                    </w:rPr>
                  </w:pPr>
                </w:p>
              </w:tc>
              <w:tc>
                <w:tcPr>
                  <w:tcW w:w="1353" w:type="dxa"/>
                  <w:tcBorders>
                    <w:tl2br w:val="nil"/>
                    <w:tr2bl w:val="nil"/>
                  </w:tcBorders>
                  <w:vAlign w:val="center"/>
                </w:tcPr>
                <w:p w14:paraId="22BE07FE">
                  <w:pPr>
                    <w:pStyle w:val="89"/>
                    <w:adjustRightInd w:val="0"/>
                    <w:snapToGrid w:val="0"/>
                    <w:spacing w:line="320" w:lineRule="exact"/>
                    <w:jc w:val="center"/>
                    <w:rPr>
                      <w:rFonts w:hint="eastAsia" w:cs="Times New Roman"/>
                      <w:b w:val="0"/>
                      <w:bCs/>
                      <w:color w:val="auto"/>
                      <w:szCs w:val="21"/>
                      <w:highlight w:val="none"/>
                      <w:lang w:eastAsia="zh-CN"/>
                    </w:rPr>
                  </w:pPr>
                  <w:r>
                    <w:rPr>
                      <w:rFonts w:hint="eastAsia" w:cs="Times New Roman"/>
                      <w:b w:val="0"/>
                      <w:bCs/>
                      <w:color w:val="auto"/>
                      <w:szCs w:val="21"/>
                      <w:highlight w:val="none"/>
                      <w:lang w:eastAsia="zh-CN"/>
                    </w:rPr>
                    <w:t>氮氧化物</w:t>
                  </w:r>
                </w:p>
              </w:tc>
              <w:tc>
                <w:tcPr>
                  <w:tcW w:w="2353" w:type="dxa"/>
                  <w:tcBorders>
                    <w:tl2br w:val="nil"/>
                    <w:tr2bl w:val="nil"/>
                  </w:tcBorders>
                  <w:vAlign w:val="center"/>
                </w:tcPr>
                <w:p w14:paraId="788EDD1C">
                  <w:pPr>
                    <w:pStyle w:val="89"/>
                    <w:adjustRightInd w:val="0"/>
                    <w:snapToGrid w:val="0"/>
                    <w:spacing w:line="320" w:lineRule="exact"/>
                    <w:jc w:val="center"/>
                    <w:rPr>
                      <w:rFonts w:hint="default" w:ascii="Times New Roman" w:hAnsi="Times New Roman" w:cs="Times New Roman"/>
                      <w:bCs/>
                      <w:color w:val="auto"/>
                      <w:szCs w:val="21"/>
                      <w:highlight w:val="none"/>
                      <w:lang w:val="en-US" w:eastAsia="zh-CN"/>
                    </w:rPr>
                  </w:pPr>
                  <w:r>
                    <w:rPr>
                      <w:rFonts w:hint="eastAsia" w:cs="Times New Roman"/>
                      <w:bCs/>
                      <w:color w:val="auto"/>
                      <w:szCs w:val="21"/>
                      <w:highlight w:val="none"/>
                      <w:lang w:val="en-US" w:eastAsia="zh-CN"/>
                    </w:rPr>
                    <w:t>240mg/m</w:t>
                  </w:r>
                  <w:r>
                    <w:rPr>
                      <w:rFonts w:hint="eastAsia" w:cs="Times New Roman"/>
                      <w:bCs/>
                      <w:color w:val="auto"/>
                      <w:szCs w:val="21"/>
                      <w:highlight w:val="none"/>
                      <w:vertAlign w:val="superscript"/>
                      <w:lang w:val="en-US" w:eastAsia="zh-CN"/>
                    </w:rPr>
                    <w:t>3</w:t>
                  </w:r>
                  <w:r>
                    <w:rPr>
                      <w:rFonts w:hint="eastAsia" w:cs="Times New Roman"/>
                      <w:bCs/>
                      <w:color w:val="auto"/>
                      <w:szCs w:val="21"/>
                      <w:highlight w:val="none"/>
                      <w:vertAlign w:val="baseline"/>
                      <w:lang w:val="en-US" w:eastAsia="zh-CN"/>
                    </w:rPr>
                    <w:t>；</w:t>
                  </w:r>
                  <w:r>
                    <w:rPr>
                      <w:rFonts w:hint="eastAsia" w:cs="Times New Roman"/>
                      <w:bCs/>
                      <w:color w:val="auto"/>
                      <w:szCs w:val="21"/>
                      <w:highlight w:val="none"/>
                      <w:lang w:val="en-US" w:eastAsia="zh-CN"/>
                    </w:rPr>
                    <w:t>1.425kg/h</w:t>
                  </w:r>
                </w:p>
              </w:tc>
              <w:tc>
                <w:tcPr>
                  <w:tcW w:w="3016" w:type="dxa"/>
                  <w:vMerge w:val="continue"/>
                  <w:tcBorders>
                    <w:tl2br w:val="nil"/>
                    <w:tr2bl w:val="nil"/>
                  </w:tcBorders>
                  <w:vAlign w:val="center"/>
                </w:tcPr>
                <w:p w14:paraId="5D96347B">
                  <w:pPr>
                    <w:pStyle w:val="89"/>
                    <w:adjustRightInd w:val="0"/>
                    <w:snapToGrid w:val="0"/>
                    <w:spacing w:line="320" w:lineRule="exact"/>
                    <w:jc w:val="center"/>
                    <w:rPr>
                      <w:rFonts w:hint="eastAsia" w:ascii="Times New Roman" w:hAnsi="Times New Roman" w:cs="Times New Roman"/>
                      <w:b/>
                      <w:color w:val="auto"/>
                      <w:szCs w:val="21"/>
                      <w:highlight w:val="none"/>
                      <w:lang w:eastAsia="zh-CN"/>
                    </w:rPr>
                  </w:pPr>
                </w:p>
              </w:tc>
            </w:tr>
            <w:tr w14:paraId="30008B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256" w:type="dxa"/>
                  <w:tcBorders>
                    <w:tl2br w:val="nil"/>
                    <w:tr2bl w:val="nil"/>
                  </w:tcBorders>
                  <w:vAlign w:val="center"/>
                </w:tcPr>
                <w:p w14:paraId="4C89F997">
                  <w:pPr>
                    <w:pStyle w:val="89"/>
                    <w:adjustRightInd w:val="0"/>
                    <w:snapToGrid w:val="0"/>
                    <w:spacing w:line="320" w:lineRule="exact"/>
                    <w:jc w:val="center"/>
                    <w:rPr>
                      <w:rFonts w:hint="default" w:ascii="Times New Roman" w:hAnsi="Times New Roman" w:cs="Times New Roman"/>
                      <w:bCs/>
                      <w:color w:val="auto"/>
                      <w:szCs w:val="21"/>
                      <w:highlight w:val="none"/>
                      <w:lang w:val="en-US" w:eastAsia="zh-CN"/>
                    </w:rPr>
                  </w:pPr>
                  <w:r>
                    <w:rPr>
                      <w:rFonts w:hint="eastAsia" w:ascii="Times New Roman" w:hAnsi="Times New Roman" w:cs="Times New Roman"/>
                      <w:bCs/>
                      <w:color w:val="auto"/>
                      <w:szCs w:val="21"/>
                      <w:highlight w:val="none"/>
                      <w:lang w:val="en-US" w:eastAsia="zh-CN"/>
                    </w:rPr>
                    <w:t>厂界</w:t>
                  </w:r>
                </w:p>
              </w:tc>
              <w:tc>
                <w:tcPr>
                  <w:tcW w:w="1353" w:type="dxa"/>
                  <w:tcBorders>
                    <w:tl2br w:val="nil"/>
                    <w:tr2bl w:val="nil"/>
                  </w:tcBorders>
                  <w:vAlign w:val="center"/>
                </w:tcPr>
                <w:p w14:paraId="06560A62">
                  <w:pPr>
                    <w:pStyle w:val="89"/>
                    <w:adjustRightInd w:val="0"/>
                    <w:snapToGrid w:val="0"/>
                    <w:spacing w:line="320" w:lineRule="exact"/>
                    <w:jc w:val="center"/>
                    <w:rPr>
                      <w:rFonts w:hint="eastAsia" w:ascii="Times New Roman" w:hAnsi="Times New Roman" w:cs="Times New Roman"/>
                      <w:bCs/>
                      <w:color w:val="auto"/>
                      <w:szCs w:val="21"/>
                      <w:highlight w:val="none"/>
                      <w:lang w:val="en-US" w:eastAsia="zh-CN"/>
                    </w:rPr>
                  </w:pPr>
                  <w:r>
                    <w:rPr>
                      <w:rFonts w:hint="eastAsia" w:cs="Times New Roman"/>
                      <w:bCs/>
                      <w:color w:val="auto"/>
                      <w:szCs w:val="21"/>
                      <w:highlight w:val="none"/>
                      <w:lang w:val="en-US" w:eastAsia="zh-CN"/>
                    </w:rPr>
                    <w:t>颗粒物</w:t>
                  </w:r>
                </w:p>
              </w:tc>
              <w:tc>
                <w:tcPr>
                  <w:tcW w:w="2353" w:type="dxa"/>
                  <w:tcBorders>
                    <w:tl2br w:val="nil"/>
                    <w:tr2bl w:val="nil"/>
                  </w:tcBorders>
                  <w:vAlign w:val="center"/>
                </w:tcPr>
                <w:p w14:paraId="7EA0256D">
                  <w:pPr>
                    <w:pStyle w:val="89"/>
                    <w:adjustRightInd w:val="0"/>
                    <w:snapToGrid w:val="0"/>
                    <w:spacing w:line="320" w:lineRule="exact"/>
                    <w:jc w:val="center"/>
                    <w:rPr>
                      <w:rFonts w:hint="default" w:ascii="Times New Roman" w:hAnsi="Times New Roman" w:cs="Times New Roman"/>
                      <w:bCs/>
                      <w:color w:val="auto"/>
                      <w:szCs w:val="21"/>
                      <w:highlight w:val="none"/>
                      <w:lang w:val="en-US" w:eastAsia="zh-CN"/>
                    </w:rPr>
                  </w:pPr>
                  <w:r>
                    <w:rPr>
                      <w:rFonts w:hint="eastAsia" w:cs="Times New Roman"/>
                      <w:bCs/>
                      <w:color w:val="auto"/>
                      <w:szCs w:val="21"/>
                      <w:highlight w:val="none"/>
                      <w:lang w:val="en-US" w:eastAsia="zh-CN"/>
                    </w:rPr>
                    <w:t>1</w:t>
                  </w:r>
                  <w:r>
                    <w:rPr>
                      <w:rFonts w:hint="eastAsia" w:ascii="Times New Roman" w:hAnsi="Times New Roman" w:cs="Times New Roman"/>
                      <w:bCs/>
                      <w:color w:val="auto"/>
                      <w:szCs w:val="21"/>
                      <w:highlight w:val="none"/>
                      <w:lang w:val="en-US" w:eastAsia="zh-CN"/>
                    </w:rPr>
                    <w:t>.0mg/m</w:t>
                  </w:r>
                  <w:r>
                    <w:rPr>
                      <w:rFonts w:hint="eastAsia" w:ascii="Times New Roman" w:hAnsi="Times New Roman" w:cs="Times New Roman"/>
                      <w:bCs/>
                      <w:color w:val="auto"/>
                      <w:szCs w:val="21"/>
                      <w:highlight w:val="none"/>
                      <w:vertAlign w:val="superscript"/>
                      <w:lang w:val="en-US" w:eastAsia="zh-CN"/>
                    </w:rPr>
                    <w:t>3</w:t>
                  </w:r>
                </w:p>
              </w:tc>
              <w:tc>
                <w:tcPr>
                  <w:tcW w:w="3016" w:type="dxa"/>
                  <w:tcBorders>
                    <w:tl2br w:val="nil"/>
                    <w:tr2bl w:val="nil"/>
                  </w:tcBorders>
                  <w:vAlign w:val="center"/>
                </w:tcPr>
                <w:p w14:paraId="6F243BE3">
                  <w:pPr>
                    <w:pStyle w:val="89"/>
                    <w:adjustRightInd w:val="0"/>
                    <w:snapToGrid w:val="0"/>
                    <w:spacing w:line="320" w:lineRule="exact"/>
                    <w:jc w:val="center"/>
                    <w:rPr>
                      <w:rFonts w:hint="default" w:ascii="Times New Roman" w:hAnsi="Times New Roman" w:cs="Times New Roman"/>
                      <w:bCs/>
                      <w:color w:val="auto"/>
                      <w:szCs w:val="21"/>
                      <w:highlight w:val="none"/>
                      <w:lang w:val="en-US" w:eastAsia="zh-CN"/>
                    </w:rPr>
                  </w:pPr>
                  <w:r>
                    <w:rPr>
                      <w:rFonts w:hint="eastAsia" w:cs="Times New Roman"/>
                      <w:b w:val="0"/>
                      <w:bCs/>
                      <w:color w:val="auto"/>
                      <w:szCs w:val="21"/>
                      <w:highlight w:val="none"/>
                      <w:lang w:eastAsia="zh-CN"/>
                    </w:rPr>
                    <w:t>《</w:t>
                  </w:r>
                  <w:r>
                    <w:rPr>
                      <w:rFonts w:hint="eastAsia" w:ascii="Times New Roman" w:hAnsi="Times New Roman" w:cs="Times New Roman"/>
                      <w:b w:val="0"/>
                      <w:bCs/>
                      <w:color w:val="auto"/>
                      <w:szCs w:val="21"/>
                      <w:highlight w:val="none"/>
                      <w:lang w:eastAsia="zh-CN"/>
                    </w:rPr>
                    <w:t>大气污染物综合排放标准</w:t>
                  </w:r>
                  <w:r>
                    <w:rPr>
                      <w:rFonts w:hint="eastAsia" w:cs="Times New Roman"/>
                      <w:b w:val="0"/>
                      <w:bCs/>
                      <w:color w:val="auto"/>
                      <w:szCs w:val="21"/>
                      <w:highlight w:val="none"/>
                      <w:lang w:eastAsia="zh-CN"/>
                    </w:rPr>
                    <w:t>》（GB16297-1996）表</w:t>
                  </w:r>
                  <w:r>
                    <w:rPr>
                      <w:rFonts w:hint="eastAsia" w:cs="Times New Roman"/>
                      <w:b w:val="0"/>
                      <w:bCs/>
                      <w:color w:val="auto"/>
                      <w:szCs w:val="21"/>
                      <w:highlight w:val="none"/>
                      <w:lang w:val="en-US" w:eastAsia="zh-CN"/>
                    </w:rPr>
                    <w:t>2无组织排放监控浓度限值</w:t>
                  </w:r>
                </w:p>
              </w:tc>
            </w:tr>
            <w:tr w14:paraId="0226EC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7978" w:type="dxa"/>
                  <w:gridSpan w:val="4"/>
                  <w:tcBorders>
                    <w:tl2br w:val="nil"/>
                    <w:tr2bl w:val="nil"/>
                  </w:tcBorders>
                  <w:vAlign w:val="center"/>
                </w:tcPr>
                <w:p w14:paraId="424A131D">
                  <w:pPr>
                    <w:pStyle w:val="89"/>
                    <w:adjustRightInd w:val="0"/>
                    <w:snapToGrid w:val="0"/>
                    <w:spacing w:line="320" w:lineRule="exact"/>
                    <w:jc w:val="both"/>
                    <w:rPr>
                      <w:rFonts w:hint="eastAsia" w:cs="Times New Roman"/>
                      <w:b w:val="0"/>
                      <w:bCs/>
                      <w:color w:val="auto"/>
                      <w:szCs w:val="21"/>
                      <w:highlight w:val="none"/>
                      <w:lang w:eastAsia="zh-CN"/>
                    </w:rPr>
                  </w:pPr>
                  <w:r>
                    <w:rPr>
                      <w:rFonts w:hint="eastAsia" w:cs="Times New Roman"/>
                      <w:b w:val="0"/>
                      <w:bCs/>
                      <w:color w:val="auto"/>
                      <w:szCs w:val="21"/>
                      <w:highlight w:val="none"/>
                      <w:lang w:eastAsia="zh-CN"/>
                    </w:rPr>
                    <w:t>注：无法满足高出周围200m半径范围的建筑5m以上，排放速率标准值严格50%执行。</w:t>
                  </w:r>
                </w:p>
              </w:tc>
            </w:tr>
          </w:tbl>
          <w:p w14:paraId="1A9C9518">
            <w:pPr>
              <w:pStyle w:val="4"/>
              <w:spacing w:before="120" w:beforeLines="50"/>
              <w:ind w:firstLine="120"/>
              <w:rPr>
                <w:rFonts w:hint="default"/>
                <w:color w:val="auto"/>
              </w:rPr>
            </w:pPr>
            <w:r>
              <w:rPr>
                <w:color w:val="auto"/>
              </w:rPr>
              <w:t>3.10噪声排放标准</w:t>
            </w:r>
          </w:p>
          <w:p w14:paraId="503B244E">
            <w:pPr>
              <w:spacing w:line="360" w:lineRule="auto"/>
              <w:ind w:firstLine="480" w:firstLineChars="200"/>
              <w:rPr>
                <w:color w:val="auto"/>
                <w:sz w:val="24"/>
              </w:rPr>
            </w:pPr>
            <w:r>
              <w:rPr>
                <w:rFonts w:hint="eastAsia"/>
                <w:color w:val="auto"/>
                <w:sz w:val="24"/>
              </w:rPr>
              <w:t>（1）施工期</w:t>
            </w:r>
          </w:p>
          <w:p w14:paraId="332AF4C4">
            <w:pPr>
              <w:pStyle w:val="9"/>
              <w:spacing w:line="360" w:lineRule="auto"/>
              <w:ind w:firstLine="480" w:firstLineChars="200"/>
              <w:rPr>
                <w:rFonts w:ascii="Times New Roman" w:hAnsi="Times New Roman"/>
                <w:color w:val="auto"/>
                <w:sz w:val="24"/>
                <w:szCs w:val="24"/>
              </w:rPr>
            </w:pPr>
            <w:r>
              <w:rPr>
                <w:rFonts w:hint="eastAsia" w:ascii="Times New Roman" w:hAnsi="Times New Roman"/>
                <w:color w:val="auto"/>
                <w:sz w:val="24"/>
                <w:szCs w:val="24"/>
              </w:rPr>
              <w:t>施工期噪声执行《建筑施工噪声排放标准》</w:t>
            </w:r>
            <w:r>
              <w:rPr>
                <w:rFonts w:hint="eastAsia" w:ascii="Times New Roman" w:hAnsi="Times New Roman"/>
                <w:color w:val="auto"/>
                <w:sz w:val="24"/>
                <w:szCs w:val="24"/>
                <w:lang w:eastAsia="zh-CN"/>
              </w:rPr>
              <w:t>（</w:t>
            </w:r>
            <w:r>
              <w:rPr>
                <w:rFonts w:hint="eastAsia" w:ascii="Times New Roman" w:hAnsi="Times New Roman"/>
                <w:color w:val="auto"/>
                <w:sz w:val="24"/>
                <w:szCs w:val="24"/>
              </w:rPr>
              <w:t>GB 12523—2025</w:t>
            </w:r>
            <w:r>
              <w:rPr>
                <w:rFonts w:hint="eastAsia" w:ascii="Times New Roman" w:hAnsi="Times New Roman"/>
                <w:color w:val="auto"/>
                <w:sz w:val="24"/>
                <w:szCs w:val="24"/>
                <w:lang w:eastAsia="zh-CN"/>
              </w:rPr>
              <w:t>）</w:t>
            </w:r>
            <w:r>
              <w:rPr>
                <w:rFonts w:hint="eastAsia" w:ascii="Times New Roman" w:hAnsi="Times New Roman"/>
                <w:color w:val="auto"/>
                <w:sz w:val="24"/>
                <w:szCs w:val="24"/>
              </w:rPr>
              <w:t>，详见表3.10-1。</w:t>
            </w:r>
          </w:p>
          <w:p w14:paraId="218AB503">
            <w:pPr>
              <w:jc w:val="center"/>
              <w:rPr>
                <w:b/>
                <w:bCs/>
                <w:color w:val="auto"/>
              </w:rPr>
            </w:pPr>
            <w:r>
              <w:rPr>
                <w:b/>
                <w:bCs/>
                <w:color w:val="auto"/>
              </w:rPr>
              <w:t>表3</w:t>
            </w:r>
            <w:r>
              <w:rPr>
                <w:rFonts w:hint="eastAsia"/>
                <w:b/>
                <w:bCs/>
                <w:color w:val="auto"/>
              </w:rPr>
              <w:t>.10</w:t>
            </w:r>
            <w:r>
              <w:rPr>
                <w:b/>
                <w:bCs/>
                <w:color w:val="auto"/>
              </w:rPr>
              <w:t>-</w:t>
            </w:r>
            <w:r>
              <w:rPr>
                <w:rFonts w:hint="eastAsia"/>
                <w:b/>
                <w:bCs/>
                <w:color w:val="auto"/>
              </w:rPr>
              <w:t>1</w:t>
            </w:r>
            <w:r>
              <w:rPr>
                <w:b/>
                <w:bCs/>
                <w:color w:val="auto"/>
              </w:rPr>
              <w:t xml:space="preserve"> </w:t>
            </w:r>
            <w:r>
              <w:rPr>
                <w:rFonts w:hint="eastAsia"/>
                <w:b/>
                <w:bCs/>
                <w:color w:val="auto"/>
                <w:lang w:eastAsia="zh-CN"/>
              </w:rPr>
              <w:t>《建筑施工噪声排放标准》（GB 12523—2025）</w:t>
            </w:r>
            <w:r>
              <w:rPr>
                <w:rFonts w:hint="eastAsia"/>
                <w:b/>
                <w:bCs/>
                <w:color w:val="auto"/>
              </w:rPr>
              <w:t>摘录</w:t>
            </w:r>
          </w:p>
          <w:tbl>
            <w:tblPr>
              <w:tblStyle w:val="31"/>
              <w:tblW w:w="7971"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879"/>
              <w:gridCol w:w="2546"/>
              <w:gridCol w:w="2546"/>
            </w:tblGrid>
            <w:tr w14:paraId="7F3901D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879" w:type="dxa"/>
                  <w:vAlign w:val="center"/>
                </w:tcPr>
                <w:p w14:paraId="6D6B6644">
                  <w:pPr>
                    <w:jc w:val="center"/>
                    <w:rPr>
                      <w:b/>
                      <w:bCs/>
                      <w:color w:val="auto"/>
                      <w:szCs w:val="21"/>
                    </w:rPr>
                  </w:pPr>
                  <w:r>
                    <w:rPr>
                      <w:rFonts w:hint="eastAsia"/>
                      <w:b/>
                      <w:bCs/>
                      <w:color w:val="auto"/>
                      <w:szCs w:val="21"/>
                    </w:rPr>
                    <w:t>阶段</w:t>
                  </w:r>
                </w:p>
              </w:tc>
              <w:tc>
                <w:tcPr>
                  <w:tcW w:w="2546" w:type="dxa"/>
                  <w:vAlign w:val="center"/>
                </w:tcPr>
                <w:p w14:paraId="5FF7F4C4">
                  <w:pPr>
                    <w:jc w:val="center"/>
                    <w:rPr>
                      <w:b/>
                      <w:bCs/>
                      <w:color w:val="auto"/>
                      <w:szCs w:val="21"/>
                    </w:rPr>
                  </w:pPr>
                  <w:r>
                    <w:rPr>
                      <w:b/>
                      <w:bCs/>
                      <w:color w:val="auto"/>
                      <w:szCs w:val="21"/>
                    </w:rPr>
                    <w:t>昼间</w:t>
                  </w:r>
                  <w:r>
                    <w:rPr>
                      <w:rFonts w:hint="eastAsia"/>
                      <w:b/>
                      <w:bCs/>
                      <w:color w:val="auto"/>
                      <w:szCs w:val="21"/>
                    </w:rPr>
                    <w:t>dB（A）</w:t>
                  </w:r>
                </w:p>
              </w:tc>
              <w:tc>
                <w:tcPr>
                  <w:tcW w:w="2546" w:type="dxa"/>
                  <w:vAlign w:val="center"/>
                </w:tcPr>
                <w:p w14:paraId="4BD10181">
                  <w:pPr>
                    <w:jc w:val="center"/>
                    <w:rPr>
                      <w:b/>
                      <w:bCs/>
                      <w:color w:val="auto"/>
                      <w:szCs w:val="21"/>
                    </w:rPr>
                  </w:pPr>
                  <w:r>
                    <w:rPr>
                      <w:b/>
                      <w:bCs/>
                      <w:color w:val="auto"/>
                      <w:szCs w:val="21"/>
                    </w:rPr>
                    <w:t>夜间</w:t>
                  </w:r>
                  <w:r>
                    <w:rPr>
                      <w:rFonts w:hint="eastAsia"/>
                      <w:b/>
                      <w:bCs/>
                      <w:color w:val="auto"/>
                      <w:szCs w:val="21"/>
                    </w:rPr>
                    <w:t>dB（A）</w:t>
                  </w:r>
                </w:p>
              </w:tc>
            </w:tr>
            <w:tr w14:paraId="267105A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879" w:type="dxa"/>
                  <w:vAlign w:val="center"/>
                </w:tcPr>
                <w:p w14:paraId="788BE391">
                  <w:pPr>
                    <w:jc w:val="center"/>
                    <w:rPr>
                      <w:color w:val="auto"/>
                      <w:szCs w:val="21"/>
                    </w:rPr>
                  </w:pPr>
                  <w:r>
                    <w:rPr>
                      <w:rFonts w:hint="eastAsia"/>
                      <w:color w:val="auto"/>
                      <w:szCs w:val="21"/>
                    </w:rPr>
                    <w:t>施工</w:t>
                  </w:r>
                </w:p>
              </w:tc>
              <w:tc>
                <w:tcPr>
                  <w:tcW w:w="2546" w:type="dxa"/>
                  <w:vAlign w:val="center"/>
                </w:tcPr>
                <w:p w14:paraId="36585C2B">
                  <w:pPr>
                    <w:jc w:val="center"/>
                    <w:rPr>
                      <w:color w:val="auto"/>
                      <w:szCs w:val="21"/>
                    </w:rPr>
                  </w:pPr>
                  <w:r>
                    <w:rPr>
                      <w:rFonts w:hint="eastAsia"/>
                      <w:color w:val="auto"/>
                      <w:szCs w:val="21"/>
                    </w:rPr>
                    <w:t>70</w:t>
                  </w:r>
                </w:p>
              </w:tc>
              <w:tc>
                <w:tcPr>
                  <w:tcW w:w="2546" w:type="dxa"/>
                  <w:vAlign w:val="center"/>
                </w:tcPr>
                <w:p w14:paraId="15854C09">
                  <w:pPr>
                    <w:jc w:val="center"/>
                    <w:rPr>
                      <w:color w:val="auto"/>
                      <w:szCs w:val="21"/>
                    </w:rPr>
                  </w:pPr>
                  <w:r>
                    <w:rPr>
                      <w:rFonts w:hint="eastAsia"/>
                      <w:color w:val="auto"/>
                      <w:szCs w:val="21"/>
                    </w:rPr>
                    <w:t>55</w:t>
                  </w:r>
                </w:p>
              </w:tc>
            </w:tr>
          </w:tbl>
          <w:p w14:paraId="4E10AA65">
            <w:pPr>
              <w:spacing w:before="120" w:beforeLines="50" w:line="360" w:lineRule="auto"/>
              <w:ind w:firstLine="480" w:firstLineChars="200"/>
              <w:rPr>
                <w:color w:val="auto"/>
                <w:sz w:val="24"/>
              </w:rPr>
            </w:pPr>
            <w:r>
              <w:rPr>
                <w:rFonts w:hint="eastAsia"/>
                <w:color w:val="auto"/>
                <w:sz w:val="24"/>
              </w:rPr>
              <w:t>（2）运营期</w:t>
            </w:r>
          </w:p>
          <w:p w14:paraId="2C380576">
            <w:pPr>
              <w:spacing w:line="360" w:lineRule="auto"/>
              <w:ind w:firstLine="480" w:firstLineChars="200"/>
              <w:rPr>
                <w:color w:val="auto"/>
                <w:sz w:val="24"/>
              </w:rPr>
            </w:pPr>
            <w:r>
              <w:rPr>
                <w:color w:val="auto"/>
                <w:sz w:val="24"/>
              </w:rPr>
              <w:t>项目厂界噪声执行《工业企业厂界环境噪声排放标准》（GB12348-2008）</w:t>
            </w:r>
            <w:r>
              <w:rPr>
                <w:rFonts w:hint="eastAsia"/>
                <w:color w:val="auto"/>
                <w:sz w:val="24"/>
                <w:lang w:eastAsia="zh-CN"/>
              </w:rPr>
              <w:t>表</w:t>
            </w:r>
            <w:r>
              <w:rPr>
                <w:rFonts w:hint="eastAsia"/>
                <w:color w:val="auto"/>
                <w:sz w:val="24"/>
                <w:lang w:val="en-US" w:eastAsia="zh-CN"/>
              </w:rPr>
              <w:t>1中3</w:t>
            </w:r>
            <w:r>
              <w:rPr>
                <w:color w:val="auto"/>
                <w:sz w:val="24"/>
              </w:rPr>
              <w:t>类标准</w:t>
            </w:r>
            <w:r>
              <w:rPr>
                <w:rFonts w:hint="eastAsia"/>
                <w:color w:val="auto"/>
                <w:sz w:val="24"/>
              </w:rPr>
              <w:t>，</w:t>
            </w:r>
            <w:r>
              <w:rPr>
                <w:color w:val="auto"/>
                <w:sz w:val="24"/>
              </w:rPr>
              <w:t>具体标准限值见下表。</w:t>
            </w:r>
          </w:p>
          <w:p w14:paraId="3C52FFE4">
            <w:pPr>
              <w:jc w:val="center"/>
              <w:rPr>
                <w:b/>
                <w:bCs/>
                <w:color w:val="auto"/>
              </w:rPr>
            </w:pPr>
            <w:r>
              <w:rPr>
                <w:b/>
                <w:bCs/>
                <w:color w:val="auto"/>
              </w:rPr>
              <w:t>表3</w:t>
            </w:r>
            <w:r>
              <w:rPr>
                <w:rFonts w:hint="eastAsia"/>
                <w:b/>
                <w:bCs/>
                <w:color w:val="auto"/>
              </w:rPr>
              <w:t>.10</w:t>
            </w:r>
            <w:r>
              <w:rPr>
                <w:b/>
                <w:bCs/>
                <w:color w:val="auto"/>
              </w:rPr>
              <w:t>-</w:t>
            </w:r>
            <w:r>
              <w:rPr>
                <w:rFonts w:hint="eastAsia"/>
                <w:b/>
                <w:bCs/>
                <w:color w:val="auto"/>
              </w:rPr>
              <w:t>2</w:t>
            </w:r>
            <w:r>
              <w:rPr>
                <w:b/>
                <w:bCs/>
                <w:color w:val="auto"/>
              </w:rPr>
              <w:t xml:space="preserve"> </w:t>
            </w:r>
            <w:r>
              <w:rPr>
                <w:rFonts w:hint="eastAsia"/>
                <w:b/>
                <w:bCs/>
                <w:color w:val="auto"/>
              </w:rPr>
              <w:t>《工业企业厂界环境噪声排放标准》（GB12348-2008）摘录</w:t>
            </w:r>
          </w:p>
          <w:tbl>
            <w:tblPr>
              <w:tblStyle w:val="31"/>
              <w:tblW w:w="7963"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718"/>
              <w:gridCol w:w="2784"/>
              <w:gridCol w:w="2461"/>
            </w:tblGrid>
            <w:tr w14:paraId="2E5CAA8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2718" w:type="dxa"/>
                  <w:vMerge w:val="restart"/>
                  <w:vAlign w:val="center"/>
                </w:tcPr>
                <w:p w14:paraId="0BBCAA50">
                  <w:pPr>
                    <w:jc w:val="center"/>
                    <w:rPr>
                      <w:b/>
                      <w:bCs/>
                      <w:color w:val="auto"/>
                      <w:szCs w:val="21"/>
                    </w:rPr>
                  </w:pPr>
                  <w:r>
                    <w:rPr>
                      <w:rFonts w:hint="eastAsia"/>
                      <w:b/>
                      <w:bCs/>
                      <w:color w:val="auto"/>
                      <w:szCs w:val="21"/>
                    </w:rPr>
                    <w:t>厂界外声环境功能区类别</w:t>
                  </w:r>
                </w:p>
              </w:tc>
              <w:tc>
                <w:tcPr>
                  <w:tcW w:w="5245" w:type="dxa"/>
                  <w:gridSpan w:val="2"/>
                  <w:vAlign w:val="center"/>
                </w:tcPr>
                <w:p w14:paraId="0BB09D79">
                  <w:pPr>
                    <w:jc w:val="center"/>
                    <w:rPr>
                      <w:b/>
                      <w:bCs/>
                      <w:color w:val="auto"/>
                      <w:szCs w:val="21"/>
                    </w:rPr>
                  </w:pPr>
                  <w:r>
                    <w:rPr>
                      <w:rFonts w:hint="eastAsia"/>
                      <w:b/>
                      <w:bCs/>
                      <w:color w:val="auto"/>
                      <w:szCs w:val="21"/>
                    </w:rPr>
                    <w:t>时段</w:t>
                  </w:r>
                </w:p>
              </w:tc>
            </w:tr>
            <w:tr w14:paraId="01A86B9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2718" w:type="dxa"/>
                  <w:vMerge w:val="continue"/>
                  <w:vAlign w:val="center"/>
                </w:tcPr>
                <w:p w14:paraId="53612E27">
                  <w:pPr>
                    <w:jc w:val="center"/>
                    <w:rPr>
                      <w:b/>
                      <w:bCs/>
                      <w:color w:val="auto"/>
                      <w:szCs w:val="21"/>
                    </w:rPr>
                  </w:pPr>
                </w:p>
              </w:tc>
              <w:tc>
                <w:tcPr>
                  <w:tcW w:w="2784" w:type="dxa"/>
                  <w:vAlign w:val="center"/>
                </w:tcPr>
                <w:p w14:paraId="2C94EA1D">
                  <w:pPr>
                    <w:jc w:val="center"/>
                    <w:rPr>
                      <w:b/>
                      <w:bCs/>
                      <w:color w:val="auto"/>
                      <w:szCs w:val="21"/>
                    </w:rPr>
                  </w:pPr>
                  <w:r>
                    <w:rPr>
                      <w:b/>
                      <w:bCs/>
                      <w:color w:val="auto"/>
                      <w:szCs w:val="21"/>
                    </w:rPr>
                    <w:t>昼间</w:t>
                  </w:r>
                  <w:r>
                    <w:rPr>
                      <w:rFonts w:hint="eastAsia"/>
                      <w:b/>
                      <w:bCs/>
                      <w:color w:val="auto"/>
                      <w:szCs w:val="21"/>
                    </w:rPr>
                    <w:t>dB（A）</w:t>
                  </w:r>
                </w:p>
              </w:tc>
              <w:tc>
                <w:tcPr>
                  <w:tcW w:w="2461" w:type="dxa"/>
                  <w:vAlign w:val="center"/>
                </w:tcPr>
                <w:p w14:paraId="3FAE8531">
                  <w:pPr>
                    <w:jc w:val="center"/>
                    <w:rPr>
                      <w:b/>
                      <w:bCs/>
                      <w:color w:val="auto"/>
                      <w:szCs w:val="21"/>
                    </w:rPr>
                  </w:pPr>
                  <w:r>
                    <w:rPr>
                      <w:b/>
                      <w:bCs/>
                      <w:color w:val="auto"/>
                      <w:szCs w:val="21"/>
                    </w:rPr>
                    <w:t>夜间</w:t>
                  </w:r>
                  <w:r>
                    <w:rPr>
                      <w:rFonts w:hint="eastAsia"/>
                      <w:b/>
                      <w:bCs/>
                      <w:color w:val="auto"/>
                      <w:szCs w:val="21"/>
                    </w:rPr>
                    <w:t>dB（A）</w:t>
                  </w:r>
                </w:p>
              </w:tc>
            </w:tr>
            <w:tr w14:paraId="5C94D5C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2718" w:type="dxa"/>
                  <w:vAlign w:val="center"/>
                </w:tcPr>
                <w:p w14:paraId="212B9476">
                  <w:pPr>
                    <w:jc w:val="center"/>
                    <w:rPr>
                      <w:color w:val="auto"/>
                      <w:szCs w:val="21"/>
                    </w:rPr>
                  </w:pPr>
                  <w:r>
                    <w:rPr>
                      <w:rFonts w:hint="eastAsia"/>
                      <w:color w:val="auto"/>
                      <w:szCs w:val="21"/>
                      <w:lang w:val="en-US" w:eastAsia="zh-CN"/>
                    </w:rPr>
                    <w:t>3</w:t>
                  </w:r>
                  <w:r>
                    <w:rPr>
                      <w:color w:val="auto"/>
                      <w:szCs w:val="21"/>
                    </w:rPr>
                    <w:t>类</w:t>
                  </w:r>
                </w:p>
              </w:tc>
              <w:tc>
                <w:tcPr>
                  <w:tcW w:w="2784" w:type="dxa"/>
                  <w:vAlign w:val="center"/>
                </w:tcPr>
                <w:p w14:paraId="66E70631">
                  <w:pPr>
                    <w:jc w:val="center"/>
                    <w:rPr>
                      <w:rFonts w:hint="eastAsia" w:eastAsia="宋体"/>
                      <w:color w:val="auto"/>
                      <w:szCs w:val="21"/>
                      <w:lang w:eastAsia="zh-CN"/>
                    </w:rPr>
                  </w:pPr>
                  <w:r>
                    <w:rPr>
                      <w:color w:val="auto"/>
                      <w:szCs w:val="21"/>
                    </w:rPr>
                    <w:t>6</w:t>
                  </w:r>
                  <w:r>
                    <w:rPr>
                      <w:rFonts w:hint="eastAsia"/>
                      <w:color w:val="auto"/>
                      <w:szCs w:val="21"/>
                      <w:lang w:val="en-US" w:eastAsia="zh-CN"/>
                    </w:rPr>
                    <w:t>5</w:t>
                  </w:r>
                </w:p>
              </w:tc>
              <w:tc>
                <w:tcPr>
                  <w:tcW w:w="2461" w:type="dxa"/>
                  <w:vAlign w:val="center"/>
                </w:tcPr>
                <w:p w14:paraId="6CDE8A14">
                  <w:pPr>
                    <w:jc w:val="center"/>
                    <w:rPr>
                      <w:rFonts w:hint="eastAsia" w:eastAsia="宋体"/>
                      <w:color w:val="auto"/>
                      <w:szCs w:val="21"/>
                      <w:lang w:eastAsia="zh-CN"/>
                    </w:rPr>
                  </w:pPr>
                  <w:r>
                    <w:rPr>
                      <w:color w:val="auto"/>
                      <w:szCs w:val="21"/>
                    </w:rPr>
                    <w:t>5</w:t>
                  </w:r>
                  <w:r>
                    <w:rPr>
                      <w:rFonts w:hint="eastAsia"/>
                      <w:color w:val="auto"/>
                      <w:szCs w:val="21"/>
                      <w:lang w:val="en-US" w:eastAsia="zh-CN"/>
                    </w:rPr>
                    <w:t>5</w:t>
                  </w:r>
                </w:p>
              </w:tc>
            </w:tr>
          </w:tbl>
          <w:p w14:paraId="57317CCB">
            <w:pPr>
              <w:pStyle w:val="4"/>
              <w:spacing w:before="120" w:beforeLines="50"/>
              <w:ind w:firstLine="120"/>
              <w:rPr>
                <w:rFonts w:hint="default"/>
                <w:color w:val="auto"/>
              </w:rPr>
            </w:pPr>
            <w:r>
              <w:rPr>
                <w:color w:val="auto"/>
              </w:rPr>
              <w:t>3.11固体废物排放标准</w:t>
            </w:r>
          </w:p>
          <w:p w14:paraId="238C629A">
            <w:pPr>
              <w:spacing w:line="360" w:lineRule="auto"/>
              <w:ind w:firstLine="472" w:firstLineChars="200"/>
              <w:contextualSpacing/>
              <w:rPr>
                <w:color w:val="auto"/>
                <w:spacing w:val="-2"/>
                <w:sz w:val="24"/>
                <w:lang w:bidi="ar"/>
              </w:rPr>
            </w:pPr>
            <w:r>
              <w:rPr>
                <w:color w:val="auto"/>
                <w:spacing w:val="-2"/>
                <w:sz w:val="24"/>
                <w:lang w:bidi="ar"/>
              </w:rPr>
              <w:t>一般固体废弃物执行《</w:t>
            </w:r>
            <w:r>
              <w:rPr>
                <w:rFonts w:hint="eastAsia"/>
                <w:color w:val="auto"/>
                <w:spacing w:val="-2"/>
                <w:sz w:val="24"/>
                <w:lang w:bidi="ar"/>
              </w:rPr>
              <w:t>一般工业固体废物贮存和填埋污染控制标准</w:t>
            </w:r>
            <w:r>
              <w:rPr>
                <w:color w:val="auto"/>
                <w:spacing w:val="-2"/>
                <w:sz w:val="24"/>
                <w:lang w:bidi="ar"/>
              </w:rPr>
              <w:t>》（GB18599-2020）</w:t>
            </w:r>
            <w:r>
              <w:rPr>
                <w:rFonts w:hint="eastAsia"/>
                <w:color w:val="auto"/>
                <w:spacing w:val="-2"/>
                <w:sz w:val="24"/>
                <w:lang w:bidi="ar"/>
              </w:rPr>
              <w:t>。</w:t>
            </w:r>
          </w:p>
          <w:p w14:paraId="749983D1">
            <w:pPr>
              <w:spacing w:before="120" w:beforeLines="50" w:line="360" w:lineRule="auto"/>
              <w:ind w:firstLine="480" w:firstLineChars="200"/>
              <w:contextualSpacing/>
              <w:rPr>
                <w:rFonts w:hint="eastAsia" w:eastAsia="宋体"/>
                <w:color w:val="auto"/>
                <w:spacing w:val="-2"/>
                <w:sz w:val="24"/>
                <w:lang w:eastAsia="zh-CN" w:bidi="ar"/>
              </w:rPr>
            </w:pPr>
            <w:r>
              <w:rPr>
                <w:rFonts w:ascii="Times New Roman" w:hAnsi="Times New Roman" w:eastAsia="宋体" w:cs="Times New Roman"/>
                <w:color w:val="auto"/>
                <w:kern w:val="0"/>
                <w:sz w:val="24"/>
                <w:szCs w:val="24"/>
              </w:rPr>
              <w:t>危险废物执行《危险废物贮存污染控制标准》（GB 18597</w:t>
            </w:r>
            <w:r>
              <w:rPr>
                <w:rFonts w:hint="eastAsia" w:cs="Times New Roman"/>
                <w:color w:val="auto"/>
                <w:kern w:val="0"/>
                <w:sz w:val="24"/>
                <w:szCs w:val="24"/>
                <w:lang w:val="en-US" w:eastAsia="zh-CN"/>
              </w:rPr>
              <w:t>-</w:t>
            </w:r>
            <w:r>
              <w:rPr>
                <w:rFonts w:ascii="Times New Roman" w:hAnsi="Times New Roman" w:eastAsia="宋体" w:cs="Times New Roman"/>
                <w:color w:val="auto"/>
                <w:kern w:val="0"/>
                <w:sz w:val="24"/>
                <w:szCs w:val="24"/>
              </w:rPr>
              <w:t>2023）的要</w:t>
            </w:r>
            <w:r>
              <w:rPr>
                <w:rFonts w:hint="eastAsia" w:cs="Times New Roman"/>
                <w:color w:val="auto"/>
                <w:kern w:val="0"/>
                <w:sz w:val="24"/>
                <w:szCs w:val="24"/>
                <w:lang w:eastAsia="zh-CN"/>
              </w:rPr>
              <w:t>求。</w:t>
            </w:r>
          </w:p>
          <w:p w14:paraId="33A326F6">
            <w:pPr>
              <w:pStyle w:val="9"/>
              <w:spacing w:line="360" w:lineRule="auto"/>
              <w:ind w:firstLine="480" w:firstLineChars="200"/>
              <w:rPr>
                <w:color w:val="auto"/>
              </w:rPr>
            </w:pPr>
            <w:r>
              <w:rPr>
                <w:rFonts w:ascii="Times New Roman" w:hAnsi="Times New Roman"/>
                <w:color w:val="auto"/>
                <w:sz w:val="24"/>
                <w:szCs w:val="24"/>
              </w:rPr>
              <w:t>生活垃圾执行《中华人民共和国固体废物污染环境防治法》（2020年修正）有关规定。</w:t>
            </w:r>
          </w:p>
        </w:tc>
      </w:tr>
      <w:tr w14:paraId="01DDAA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800" w:type="dxa"/>
            <w:vAlign w:val="center"/>
          </w:tcPr>
          <w:p w14:paraId="661EAA9E">
            <w:pPr>
              <w:adjustRightInd w:val="0"/>
              <w:snapToGrid w:val="0"/>
              <w:jc w:val="center"/>
              <w:rPr>
                <w:color w:val="auto"/>
                <w:kern w:val="0"/>
                <w:szCs w:val="21"/>
              </w:rPr>
            </w:pPr>
            <w:r>
              <w:rPr>
                <w:color w:val="auto"/>
                <w:kern w:val="0"/>
                <w:szCs w:val="21"/>
              </w:rPr>
              <w:t>总量</w:t>
            </w:r>
          </w:p>
          <w:p w14:paraId="02BDC108">
            <w:pPr>
              <w:adjustRightInd w:val="0"/>
              <w:snapToGrid w:val="0"/>
              <w:jc w:val="center"/>
              <w:rPr>
                <w:color w:val="auto"/>
                <w:kern w:val="0"/>
                <w:szCs w:val="21"/>
              </w:rPr>
            </w:pPr>
            <w:r>
              <w:rPr>
                <w:color w:val="auto"/>
                <w:kern w:val="0"/>
                <w:szCs w:val="21"/>
              </w:rPr>
              <w:t>控制</w:t>
            </w:r>
          </w:p>
          <w:p w14:paraId="37034670">
            <w:pPr>
              <w:adjustRightInd w:val="0"/>
              <w:snapToGrid w:val="0"/>
              <w:jc w:val="center"/>
              <w:rPr>
                <w:color w:val="auto"/>
                <w:kern w:val="0"/>
                <w:szCs w:val="21"/>
              </w:rPr>
            </w:pPr>
            <w:r>
              <w:rPr>
                <w:color w:val="auto"/>
                <w:kern w:val="0"/>
                <w:szCs w:val="21"/>
              </w:rPr>
              <w:t>指标</w:t>
            </w:r>
          </w:p>
        </w:tc>
        <w:tc>
          <w:tcPr>
            <w:tcW w:w="8190" w:type="dxa"/>
            <w:vAlign w:val="center"/>
          </w:tcPr>
          <w:p w14:paraId="0A6ABBC2">
            <w:pPr>
              <w:pStyle w:val="4"/>
              <w:spacing w:before="120" w:beforeLines="50"/>
              <w:ind w:firstLine="12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3.12总量控制指标确认</w:t>
            </w:r>
          </w:p>
          <w:p w14:paraId="7EE1AA03">
            <w:pPr>
              <w:spacing w:line="360" w:lineRule="auto"/>
              <w:ind w:firstLine="480" w:firstLineChars="200"/>
              <w:rPr>
                <w:rFonts w:hint="eastAsia"/>
                <w:color w:val="auto"/>
                <w:sz w:val="24"/>
              </w:rPr>
            </w:pPr>
            <w:r>
              <w:rPr>
                <w:rFonts w:hint="eastAsia"/>
                <w:color w:val="auto"/>
                <w:sz w:val="24"/>
              </w:rPr>
              <w:t>根据《福建省环保局关于做好建设项目环保审批污染物总量控制有关工作的通知》和国家主要污染物排放总量控制方案，主要控制污染物质指标为COD、NH</w:t>
            </w:r>
            <w:r>
              <w:rPr>
                <w:rFonts w:hint="eastAsia"/>
                <w:color w:val="auto"/>
                <w:sz w:val="24"/>
                <w:vertAlign w:val="subscript"/>
              </w:rPr>
              <w:t>3</w:t>
            </w:r>
            <w:r>
              <w:rPr>
                <w:rFonts w:hint="eastAsia"/>
                <w:color w:val="auto"/>
                <w:sz w:val="24"/>
              </w:rPr>
              <w:t>-N、SO</w:t>
            </w:r>
            <w:r>
              <w:rPr>
                <w:rFonts w:hint="eastAsia"/>
                <w:color w:val="auto"/>
                <w:sz w:val="24"/>
                <w:vertAlign w:val="subscript"/>
              </w:rPr>
              <w:t>2</w:t>
            </w:r>
            <w:r>
              <w:rPr>
                <w:rFonts w:hint="eastAsia"/>
                <w:color w:val="auto"/>
                <w:sz w:val="24"/>
              </w:rPr>
              <w:t>、NOx及VOCs。</w:t>
            </w:r>
          </w:p>
          <w:p w14:paraId="27B0EC6A">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80" w:firstLineChars="200"/>
              <w:textAlignment w:val="baseline"/>
              <w:rPr>
                <w:rFonts w:hint="eastAsia" w:ascii="Times New Roman" w:hAnsi="Times New Roman" w:eastAsia="宋体" w:cs="Times New Roman"/>
                <w:b w:val="0"/>
                <w:bCs w:val="0"/>
                <w:color w:val="auto"/>
                <w:sz w:val="24"/>
                <w:highlight w:val="none"/>
                <w:lang w:val="en-US" w:eastAsia="zh-CN"/>
              </w:rPr>
            </w:pPr>
            <w:r>
              <w:rPr>
                <w:rFonts w:hint="eastAsia" w:ascii="Times New Roman" w:hAnsi="Times New Roman" w:cs="Times New Roman"/>
                <w:b w:val="0"/>
                <w:bCs w:val="0"/>
                <w:color w:val="auto"/>
                <w:sz w:val="24"/>
                <w:highlight w:val="none"/>
                <w:lang w:val="en-US" w:eastAsia="zh-CN"/>
              </w:rPr>
              <w:t>（1）</w:t>
            </w:r>
            <w:r>
              <w:rPr>
                <w:rFonts w:hint="eastAsia" w:ascii="Times New Roman" w:hAnsi="Times New Roman" w:eastAsia="宋体" w:cs="Times New Roman"/>
                <w:b w:val="0"/>
                <w:bCs w:val="0"/>
                <w:color w:val="auto"/>
                <w:sz w:val="24"/>
                <w:highlight w:val="none"/>
                <w:lang w:val="en-US" w:eastAsia="zh-CN"/>
              </w:rPr>
              <w:t>废水主要污染物排放总量</w:t>
            </w:r>
          </w:p>
          <w:p w14:paraId="097C68C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color w:val="auto"/>
                <w:sz w:val="24"/>
                <w:highlight w:val="none"/>
                <w:lang w:val="en-US" w:eastAsia="zh-CN"/>
              </w:rPr>
            </w:pPr>
            <w:r>
              <w:rPr>
                <w:color w:val="auto"/>
                <w:sz w:val="24"/>
                <w:highlight w:val="none"/>
              </w:rPr>
              <w:t>运营期，本项目</w:t>
            </w:r>
            <w:r>
              <w:rPr>
                <w:rFonts w:hint="eastAsia"/>
                <w:color w:val="auto"/>
                <w:sz w:val="24"/>
                <w:highlight w:val="none"/>
                <w:lang w:eastAsia="zh-CN"/>
              </w:rPr>
              <w:t>脱脂水洗</w:t>
            </w:r>
            <w:r>
              <w:rPr>
                <w:rFonts w:hint="eastAsia"/>
                <w:color w:val="auto"/>
                <w:sz w:val="24"/>
                <w:highlight w:val="none"/>
              </w:rPr>
              <w:t>废水</w:t>
            </w:r>
            <w:r>
              <w:rPr>
                <w:rFonts w:hint="eastAsia"/>
                <w:color w:val="auto"/>
                <w:sz w:val="24"/>
                <w:highlight w:val="none"/>
                <w:lang w:eastAsia="zh-CN"/>
              </w:rPr>
              <w:t>经污水处理站处理后回用不</w:t>
            </w:r>
            <w:r>
              <w:rPr>
                <w:rFonts w:hint="eastAsia" w:eastAsia="宋体"/>
                <w:color w:val="auto"/>
                <w:sz w:val="24"/>
                <w:highlight w:val="none"/>
                <w:lang w:eastAsia="zh-CN"/>
              </w:rPr>
              <w:t>外排</w:t>
            </w:r>
            <w:r>
              <w:rPr>
                <w:rFonts w:hint="eastAsia"/>
                <w:color w:val="auto"/>
                <w:sz w:val="24"/>
                <w:highlight w:val="none"/>
              </w:rPr>
              <w:t>，</w:t>
            </w:r>
            <w:r>
              <w:rPr>
                <w:rFonts w:hint="eastAsia" w:eastAsia="宋体"/>
                <w:color w:val="auto"/>
                <w:sz w:val="24"/>
                <w:highlight w:val="none"/>
                <w:lang w:eastAsia="zh-CN"/>
              </w:rPr>
              <w:t>生活污水经化粪池处理后</w:t>
            </w:r>
            <w:r>
              <w:rPr>
                <w:rFonts w:hint="eastAsia"/>
                <w:color w:val="auto"/>
                <w:sz w:val="24"/>
                <w:highlight w:val="none"/>
              </w:rPr>
              <w:t>排入市政污水管网，送往</w:t>
            </w:r>
            <w:r>
              <w:rPr>
                <w:rFonts w:hint="eastAsia"/>
                <w:color w:val="auto"/>
                <w:sz w:val="24"/>
                <w:highlight w:val="none"/>
                <w:lang w:eastAsia="zh-CN"/>
              </w:rPr>
              <w:t>竹岐乡污水处理厂</w:t>
            </w:r>
            <w:r>
              <w:rPr>
                <w:rFonts w:hint="eastAsia"/>
                <w:color w:val="auto"/>
                <w:sz w:val="24"/>
                <w:highlight w:val="none"/>
              </w:rPr>
              <w:t>统一处理，生活污水排放的总量控制由污水处理厂统一调配，无须另外申请</w:t>
            </w:r>
            <w:r>
              <w:rPr>
                <w:rFonts w:hint="default" w:ascii="Times New Roman" w:hAnsi="Times New Roman" w:eastAsia="宋体" w:cs="Times New Roman"/>
                <w:b w:val="0"/>
                <w:bCs/>
                <w:color w:val="auto"/>
                <w:sz w:val="24"/>
                <w:highlight w:val="none"/>
                <w:lang w:val="en-US" w:eastAsia="zh-CN"/>
              </w:rPr>
              <w:t>。</w:t>
            </w:r>
          </w:p>
          <w:p w14:paraId="7F4EDFC6">
            <w:pPr>
              <w:spacing w:line="360" w:lineRule="auto"/>
              <w:ind w:firstLine="480" w:firstLineChars="200"/>
              <w:rPr>
                <w:rFonts w:hint="eastAsia"/>
                <w:color w:val="auto"/>
                <w:sz w:val="24"/>
                <w:lang w:eastAsia="zh-CN"/>
              </w:rPr>
            </w:pPr>
            <w:r>
              <w:rPr>
                <w:rFonts w:hint="eastAsia"/>
                <w:color w:val="auto"/>
                <w:sz w:val="24"/>
                <w:lang w:eastAsia="zh-CN"/>
              </w:rPr>
              <w:t>（</w:t>
            </w:r>
            <w:r>
              <w:rPr>
                <w:rFonts w:hint="eastAsia"/>
                <w:color w:val="auto"/>
                <w:sz w:val="24"/>
                <w:lang w:val="en-US" w:eastAsia="zh-CN"/>
              </w:rPr>
              <w:t>2</w:t>
            </w:r>
            <w:r>
              <w:rPr>
                <w:rFonts w:hint="eastAsia"/>
                <w:color w:val="auto"/>
                <w:sz w:val="24"/>
                <w:lang w:eastAsia="zh-CN"/>
              </w:rPr>
              <w:t>）废气主要污染物排放总量</w:t>
            </w:r>
          </w:p>
          <w:p w14:paraId="4FF7941F">
            <w:pPr>
              <w:spacing w:line="360" w:lineRule="auto"/>
              <w:ind w:firstLine="480" w:firstLineChars="200"/>
              <w:rPr>
                <w:color w:val="auto"/>
                <w:kern w:val="0"/>
                <w:szCs w:val="21"/>
              </w:rPr>
            </w:pPr>
            <w:r>
              <w:rPr>
                <w:rFonts w:hint="default" w:ascii="Times New Roman" w:hAnsi="Times New Roman" w:eastAsia="宋体" w:cs="Times New Roman"/>
                <w:color w:val="auto"/>
                <w:kern w:val="2"/>
                <w:sz w:val="24"/>
                <w:szCs w:val="24"/>
                <w:highlight w:val="none"/>
                <w:lang w:val="en-US" w:eastAsia="zh-CN" w:bidi="ar-SA"/>
              </w:rPr>
              <w:t>本项目</w:t>
            </w:r>
            <w:r>
              <w:rPr>
                <w:rFonts w:hint="eastAsia" w:cs="Times New Roman"/>
                <w:color w:val="auto"/>
                <w:kern w:val="2"/>
                <w:sz w:val="24"/>
                <w:szCs w:val="24"/>
                <w:highlight w:val="none"/>
                <w:lang w:val="en-US" w:eastAsia="zh-CN" w:bidi="ar-SA"/>
              </w:rPr>
              <w:t>测试</w:t>
            </w:r>
            <w:r>
              <w:rPr>
                <w:rFonts w:hint="default" w:ascii="Times New Roman" w:hAnsi="Times New Roman" w:eastAsia="宋体" w:cs="Times New Roman"/>
                <w:color w:val="auto"/>
                <w:kern w:val="2"/>
                <w:sz w:val="24"/>
                <w:szCs w:val="24"/>
                <w:highlight w:val="none"/>
                <w:lang w:val="en-US" w:eastAsia="zh-CN" w:bidi="ar-SA"/>
              </w:rPr>
              <w:t>废气涉及SO</w:t>
            </w:r>
            <w:r>
              <w:rPr>
                <w:rFonts w:hint="default" w:ascii="Times New Roman" w:hAnsi="Times New Roman" w:eastAsia="宋体" w:cs="Times New Roman"/>
                <w:color w:val="auto"/>
                <w:kern w:val="2"/>
                <w:sz w:val="24"/>
                <w:szCs w:val="24"/>
                <w:highlight w:val="none"/>
                <w:vertAlign w:val="subscript"/>
                <w:lang w:val="en-US" w:eastAsia="zh-CN" w:bidi="ar-SA"/>
              </w:rPr>
              <w:t>2</w:t>
            </w:r>
            <w:r>
              <w:rPr>
                <w:rFonts w:hint="default" w:ascii="Times New Roman" w:hAnsi="Times New Roman" w:eastAsia="宋体" w:cs="Times New Roman"/>
                <w:color w:val="auto"/>
                <w:kern w:val="2"/>
                <w:sz w:val="24"/>
                <w:szCs w:val="24"/>
                <w:highlight w:val="none"/>
                <w:lang w:val="en-US" w:eastAsia="zh-CN" w:bidi="ar-SA"/>
              </w:rPr>
              <w:t>、NOx等属于国家和地方有偿使用和交易的排污权总量指标</w:t>
            </w:r>
            <w:r>
              <w:rPr>
                <w:rFonts w:hint="default" w:ascii="Times New Roman" w:hAnsi="Times New Roman" w:cs="Times New Roman" w:eastAsiaTheme="minorEastAsia"/>
                <w:color w:val="auto"/>
                <w:kern w:val="2"/>
                <w:sz w:val="24"/>
                <w:szCs w:val="24"/>
                <w:highlight w:val="none"/>
                <w:lang w:val="en-US" w:eastAsia="zh-CN" w:bidi="ar-SA"/>
              </w:rPr>
              <w:t>；</w:t>
            </w:r>
            <w:r>
              <w:rPr>
                <w:rFonts w:hint="default" w:ascii="Times New Roman" w:hAnsi="Times New Roman" w:cs="Times New Roman" w:eastAsiaTheme="minorEastAsia"/>
                <w:color w:val="auto"/>
                <w:kern w:val="0"/>
                <w:sz w:val="24"/>
                <w:szCs w:val="24"/>
                <w:lang w:val="en-US" w:eastAsia="zh-CN" w:bidi="ar"/>
              </w:rPr>
              <w:t>根据报告分析，本项目</w:t>
            </w:r>
            <w:r>
              <w:rPr>
                <w:rFonts w:hint="default" w:ascii="Times New Roman" w:hAnsi="Times New Roman" w:eastAsia="宋体" w:cs="Times New Roman"/>
                <w:color w:val="auto"/>
                <w:kern w:val="2"/>
                <w:sz w:val="24"/>
                <w:szCs w:val="24"/>
                <w:highlight w:val="none"/>
                <w:lang w:val="en-US" w:eastAsia="zh-CN" w:bidi="ar-SA"/>
              </w:rPr>
              <w:t>SO</w:t>
            </w:r>
            <w:r>
              <w:rPr>
                <w:rFonts w:hint="default" w:ascii="Times New Roman" w:hAnsi="Times New Roman" w:eastAsia="宋体" w:cs="Times New Roman"/>
                <w:color w:val="auto"/>
                <w:kern w:val="2"/>
                <w:sz w:val="24"/>
                <w:szCs w:val="24"/>
                <w:highlight w:val="none"/>
                <w:vertAlign w:val="subscript"/>
                <w:lang w:val="en-US" w:eastAsia="zh-CN" w:bidi="ar-SA"/>
              </w:rPr>
              <w:t>2</w:t>
            </w:r>
            <w:r>
              <w:rPr>
                <w:rFonts w:hint="eastAsia" w:cs="Times New Roman"/>
                <w:color w:val="auto"/>
                <w:kern w:val="2"/>
                <w:sz w:val="24"/>
                <w:szCs w:val="24"/>
                <w:highlight w:val="none"/>
                <w:vertAlign w:val="baseline"/>
                <w:lang w:val="en-US" w:eastAsia="zh-CN" w:bidi="ar-SA"/>
              </w:rPr>
              <w:t>有组织</w:t>
            </w:r>
            <w:r>
              <w:rPr>
                <w:rFonts w:hint="default" w:ascii="Times New Roman" w:hAnsi="Times New Roman" w:cs="Times New Roman" w:eastAsiaTheme="minorEastAsia"/>
                <w:color w:val="auto"/>
                <w:kern w:val="0"/>
                <w:sz w:val="24"/>
                <w:szCs w:val="24"/>
                <w:highlight w:val="none"/>
                <w:lang w:val="en-US" w:eastAsia="zh-CN" w:bidi="ar"/>
              </w:rPr>
              <w:t>排放量为</w:t>
            </w:r>
            <w:r>
              <w:rPr>
                <w:rFonts w:hint="eastAsia" w:cs="Times New Roman" w:eastAsiaTheme="minorEastAsia"/>
                <w:color w:val="auto"/>
                <w:kern w:val="0"/>
                <w:sz w:val="24"/>
                <w:szCs w:val="24"/>
                <w:highlight w:val="none"/>
                <w:lang w:val="en-US" w:eastAsia="zh-CN" w:bidi="ar"/>
              </w:rPr>
              <w:t>0.297</w:t>
            </w:r>
            <w:r>
              <w:rPr>
                <w:rFonts w:hint="default" w:ascii="Times New Roman" w:hAnsi="Times New Roman" w:cs="Times New Roman" w:eastAsiaTheme="minorEastAsia"/>
                <w:color w:val="auto"/>
                <w:kern w:val="0"/>
                <w:sz w:val="24"/>
                <w:szCs w:val="24"/>
                <w:highlight w:val="none"/>
                <w:lang w:val="en-US" w:eastAsia="zh-CN" w:bidi="ar"/>
              </w:rPr>
              <w:t>t/a，</w:t>
            </w:r>
            <w:r>
              <w:rPr>
                <w:rFonts w:hint="eastAsia" w:cs="Times New Roman" w:eastAsiaTheme="minorEastAsia"/>
                <w:color w:val="auto"/>
                <w:kern w:val="0"/>
                <w:sz w:val="24"/>
                <w:szCs w:val="24"/>
                <w:highlight w:val="none"/>
                <w:lang w:val="en-US" w:eastAsia="zh-CN" w:bidi="ar"/>
              </w:rPr>
              <w:t>无组织排放量为0.033</w:t>
            </w:r>
            <w:r>
              <w:rPr>
                <w:rFonts w:hint="default" w:ascii="Times New Roman" w:hAnsi="Times New Roman" w:cs="Times New Roman" w:eastAsiaTheme="minorEastAsia"/>
                <w:color w:val="auto"/>
                <w:kern w:val="0"/>
                <w:sz w:val="24"/>
                <w:szCs w:val="24"/>
                <w:highlight w:val="none"/>
                <w:lang w:val="en-US" w:eastAsia="zh-CN" w:bidi="ar"/>
              </w:rPr>
              <w:t>t/a</w:t>
            </w:r>
            <w:r>
              <w:rPr>
                <w:rFonts w:hint="eastAsia" w:cs="Times New Roman" w:eastAsiaTheme="minorEastAsia"/>
                <w:color w:val="auto"/>
                <w:kern w:val="0"/>
                <w:sz w:val="24"/>
                <w:szCs w:val="24"/>
                <w:highlight w:val="none"/>
                <w:lang w:val="en-US" w:eastAsia="zh-CN" w:bidi="ar"/>
              </w:rPr>
              <w:t>；</w:t>
            </w:r>
            <w:r>
              <w:rPr>
                <w:rFonts w:hint="default" w:ascii="Times New Roman" w:hAnsi="Times New Roman" w:eastAsia="宋体" w:cs="Times New Roman"/>
                <w:color w:val="auto"/>
                <w:kern w:val="2"/>
                <w:sz w:val="24"/>
                <w:szCs w:val="24"/>
                <w:highlight w:val="none"/>
                <w:lang w:val="en-US" w:eastAsia="zh-CN" w:bidi="ar-SA"/>
              </w:rPr>
              <w:t>NOx</w:t>
            </w:r>
            <w:r>
              <w:rPr>
                <w:rFonts w:hint="eastAsia" w:cs="Times New Roman"/>
                <w:color w:val="auto"/>
                <w:kern w:val="2"/>
                <w:sz w:val="24"/>
                <w:szCs w:val="24"/>
                <w:highlight w:val="none"/>
                <w:vertAlign w:val="baseline"/>
                <w:lang w:val="en-US" w:eastAsia="zh-CN" w:bidi="ar-SA"/>
              </w:rPr>
              <w:t>有组织</w:t>
            </w:r>
            <w:r>
              <w:rPr>
                <w:rFonts w:hint="default" w:ascii="Times New Roman" w:hAnsi="Times New Roman" w:cs="Times New Roman" w:eastAsiaTheme="minorEastAsia"/>
                <w:color w:val="auto"/>
                <w:kern w:val="0"/>
                <w:sz w:val="24"/>
                <w:szCs w:val="24"/>
                <w:highlight w:val="none"/>
                <w:lang w:val="en-US" w:eastAsia="zh-CN" w:bidi="ar"/>
              </w:rPr>
              <w:t>排放量为</w:t>
            </w:r>
            <w:r>
              <w:rPr>
                <w:rFonts w:hint="eastAsia" w:cs="Times New Roman" w:eastAsiaTheme="minorEastAsia"/>
                <w:color w:val="auto"/>
                <w:kern w:val="0"/>
                <w:sz w:val="24"/>
                <w:szCs w:val="24"/>
                <w:highlight w:val="none"/>
                <w:lang w:val="en-US" w:eastAsia="zh-CN" w:bidi="ar"/>
              </w:rPr>
              <w:t>0.020</w:t>
            </w:r>
            <w:r>
              <w:rPr>
                <w:rFonts w:hint="default" w:ascii="Times New Roman" w:hAnsi="Times New Roman" w:cs="Times New Roman" w:eastAsiaTheme="minorEastAsia"/>
                <w:color w:val="auto"/>
                <w:kern w:val="0"/>
                <w:sz w:val="24"/>
                <w:szCs w:val="24"/>
                <w:highlight w:val="none"/>
                <w:lang w:val="en-US" w:eastAsia="zh-CN" w:bidi="ar"/>
              </w:rPr>
              <w:t>t/a，</w:t>
            </w:r>
            <w:r>
              <w:rPr>
                <w:rFonts w:hint="eastAsia" w:cs="Times New Roman" w:eastAsiaTheme="minorEastAsia"/>
                <w:color w:val="auto"/>
                <w:kern w:val="0"/>
                <w:sz w:val="24"/>
                <w:szCs w:val="24"/>
                <w:highlight w:val="none"/>
                <w:lang w:val="en-US" w:eastAsia="zh-CN" w:bidi="ar"/>
              </w:rPr>
              <w:t>无组织排放量约为0.022</w:t>
            </w:r>
            <w:r>
              <w:rPr>
                <w:rFonts w:hint="default" w:ascii="Times New Roman" w:hAnsi="Times New Roman" w:cs="Times New Roman" w:eastAsiaTheme="minorEastAsia"/>
                <w:color w:val="auto"/>
                <w:kern w:val="0"/>
                <w:sz w:val="24"/>
                <w:szCs w:val="24"/>
                <w:highlight w:val="none"/>
                <w:lang w:val="en-US" w:eastAsia="zh-CN" w:bidi="ar"/>
              </w:rPr>
              <w:t>t/a</w:t>
            </w:r>
            <w:r>
              <w:rPr>
                <w:rFonts w:hint="eastAsia" w:cs="Times New Roman" w:eastAsiaTheme="minorEastAsia"/>
                <w:color w:val="auto"/>
                <w:kern w:val="0"/>
                <w:sz w:val="24"/>
                <w:szCs w:val="24"/>
                <w:highlight w:val="none"/>
                <w:lang w:val="en-US" w:eastAsia="zh-CN" w:bidi="ar"/>
              </w:rPr>
              <w:t>。因此项目</w:t>
            </w:r>
            <w:r>
              <w:rPr>
                <w:rFonts w:hint="eastAsia" w:ascii="Times New Roman" w:hAnsi="Times New Roman" w:cs="Times New Roman" w:eastAsiaTheme="minorEastAsia"/>
                <w:color w:val="auto"/>
                <w:kern w:val="0"/>
                <w:sz w:val="24"/>
                <w:szCs w:val="24"/>
                <w:highlight w:val="none"/>
                <w:lang w:val="en-US" w:eastAsia="zh-CN" w:bidi="ar"/>
              </w:rPr>
              <w:t>全厂</w:t>
            </w:r>
            <w:r>
              <w:rPr>
                <w:rFonts w:hint="eastAsia" w:cs="Times New Roman" w:eastAsiaTheme="minorEastAsia"/>
                <w:color w:val="auto"/>
                <w:kern w:val="0"/>
                <w:sz w:val="24"/>
                <w:szCs w:val="24"/>
                <w:highlight w:val="none"/>
                <w:lang w:val="en-US" w:eastAsia="zh-CN" w:bidi="ar"/>
              </w:rPr>
              <w:t>排放</w:t>
            </w:r>
            <w:r>
              <w:rPr>
                <w:rFonts w:hint="eastAsia" w:ascii="宋体" w:hAnsi="宋体" w:eastAsia="宋体" w:cs="宋体"/>
                <w:color w:val="auto"/>
                <w:kern w:val="0"/>
                <w:sz w:val="24"/>
                <w:szCs w:val="24"/>
                <w:highlight w:val="none"/>
                <w:lang w:val="en-US" w:eastAsia="zh-CN" w:bidi="ar"/>
              </w:rPr>
              <w:t>总量为：</w:t>
            </w:r>
            <w:r>
              <w:rPr>
                <w:rFonts w:hint="default" w:ascii="Times New Roman" w:hAnsi="Times New Roman" w:eastAsia="宋体" w:cs="Times New Roman"/>
                <w:color w:val="auto"/>
                <w:kern w:val="2"/>
                <w:sz w:val="24"/>
                <w:szCs w:val="24"/>
                <w:highlight w:val="none"/>
                <w:lang w:val="en-US" w:eastAsia="zh-CN" w:bidi="ar-SA"/>
              </w:rPr>
              <w:t>SO</w:t>
            </w:r>
            <w:r>
              <w:rPr>
                <w:rFonts w:hint="default" w:ascii="Times New Roman" w:hAnsi="Times New Roman" w:eastAsia="宋体" w:cs="Times New Roman"/>
                <w:color w:val="auto"/>
                <w:kern w:val="2"/>
                <w:sz w:val="24"/>
                <w:szCs w:val="24"/>
                <w:highlight w:val="none"/>
                <w:vertAlign w:val="subscript"/>
                <w:lang w:val="en-US" w:eastAsia="zh-CN" w:bidi="ar-SA"/>
              </w:rPr>
              <w:t>2</w:t>
            </w:r>
            <w:r>
              <w:rPr>
                <w:rFonts w:hint="eastAsia" w:cs="Times New Roman"/>
                <w:color w:val="auto"/>
                <w:kern w:val="2"/>
                <w:sz w:val="24"/>
                <w:szCs w:val="24"/>
                <w:highlight w:val="none"/>
                <w:vertAlign w:val="baseline"/>
                <w:lang w:val="en-US" w:eastAsia="zh-CN" w:bidi="ar-SA"/>
              </w:rPr>
              <w:t>排放量</w:t>
            </w:r>
            <w:r>
              <w:rPr>
                <w:rFonts w:hint="eastAsia" w:cs="Times New Roman"/>
                <w:color w:val="auto"/>
                <w:kern w:val="0"/>
                <w:sz w:val="24"/>
                <w:szCs w:val="24"/>
                <w:highlight w:val="none"/>
                <w:lang w:val="en-US" w:eastAsia="zh-CN" w:bidi="ar"/>
              </w:rPr>
              <w:t>0.330t</w:t>
            </w:r>
            <w:r>
              <w:rPr>
                <w:rFonts w:hint="default" w:ascii="Times New Roman" w:hAnsi="Times New Roman" w:eastAsia="宋体" w:cs="Times New Roman"/>
                <w:color w:val="auto"/>
                <w:kern w:val="0"/>
                <w:sz w:val="24"/>
                <w:szCs w:val="24"/>
                <w:highlight w:val="none"/>
                <w:lang w:val="en-US" w:eastAsia="zh-CN" w:bidi="ar"/>
              </w:rPr>
              <w:t>/a</w:t>
            </w:r>
            <w:r>
              <w:rPr>
                <w:rFonts w:hint="eastAsia" w:cs="Times New Roman"/>
                <w:color w:val="auto"/>
                <w:kern w:val="0"/>
                <w:sz w:val="24"/>
                <w:szCs w:val="24"/>
                <w:highlight w:val="none"/>
                <w:lang w:val="en-US" w:eastAsia="zh-CN" w:bidi="ar"/>
              </w:rPr>
              <w:t>，</w:t>
            </w:r>
            <w:r>
              <w:rPr>
                <w:rFonts w:hint="default" w:ascii="Times New Roman" w:hAnsi="Times New Roman" w:eastAsia="宋体" w:cs="Times New Roman"/>
                <w:color w:val="auto"/>
                <w:kern w:val="2"/>
                <w:sz w:val="24"/>
                <w:szCs w:val="24"/>
                <w:highlight w:val="none"/>
                <w:lang w:val="en-US" w:eastAsia="zh-CN" w:bidi="ar-SA"/>
              </w:rPr>
              <w:t>NOx</w:t>
            </w:r>
            <w:r>
              <w:rPr>
                <w:rFonts w:hint="eastAsia" w:cs="Times New Roman"/>
                <w:color w:val="auto"/>
                <w:kern w:val="2"/>
                <w:sz w:val="24"/>
                <w:szCs w:val="24"/>
                <w:highlight w:val="none"/>
                <w:vertAlign w:val="baseline"/>
                <w:lang w:val="en-US" w:eastAsia="zh-CN" w:bidi="ar-SA"/>
              </w:rPr>
              <w:t>排放量</w:t>
            </w:r>
            <w:r>
              <w:rPr>
                <w:rFonts w:hint="eastAsia" w:cs="Times New Roman"/>
                <w:color w:val="auto"/>
                <w:kern w:val="0"/>
                <w:sz w:val="24"/>
                <w:szCs w:val="24"/>
                <w:highlight w:val="none"/>
                <w:lang w:val="en-US" w:eastAsia="zh-CN" w:bidi="ar"/>
              </w:rPr>
              <w:t>0.042t</w:t>
            </w:r>
            <w:r>
              <w:rPr>
                <w:rFonts w:hint="default" w:ascii="Times New Roman" w:hAnsi="Times New Roman" w:eastAsia="宋体" w:cs="Times New Roman"/>
                <w:color w:val="auto"/>
                <w:kern w:val="0"/>
                <w:sz w:val="24"/>
                <w:szCs w:val="24"/>
                <w:highlight w:val="none"/>
                <w:lang w:val="en-US" w:eastAsia="zh-CN" w:bidi="ar"/>
              </w:rPr>
              <w:t>/a</w:t>
            </w:r>
            <w:r>
              <w:rPr>
                <w:rFonts w:hint="eastAsia" w:cs="Times New Roman"/>
                <w:color w:val="auto"/>
                <w:kern w:val="0"/>
                <w:sz w:val="24"/>
                <w:szCs w:val="24"/>
                <w:highlight w:val="none"/>
                <w:lang w:val="en-US" w:eastAsia="zh-CN" w:bidi="ar"/>
              </w:rPr>
              <w:t>。</w:t>
            </w:r>
            <w:r>
              <w:rPr>
                <w:rFonts w:hint="default" w:ascii="Times New Roman" w:hAnsi="Times New Roman" w:eastAsia="宋体" w:cs="Times New Roman"/>
                <w:color w:val="auto"/>
                <w:kern w:val="2"/>
                <w:sz w:val="24"/>
                <w:szCs w:val="24"/>
                <w:highlight w:val="none"/>
                <w:lang w:val="en-US" w:eastAsia="zh-CN" w:bidi="ar-SA"/>
              </w:rPr>
              <w:t>由建设单位向生态环境主管部门申请区域倍量替代（承诺函见附件</w:t>
            </w:r>
            <w:r>
              <w:rPr>
                <w:rFonts w:hint="eastAsia" w:cs="Times New Roman"/>
                <w:color w:val="auto"/>
                <w:kern w:val="2"/>
                <w:sz w:val="24"/>
                <w:szCs w:val="24"/>
                <w:highlight w:val="none"/>
                <w:lang w:val="en-US" w:eastAsia="zh-CN" w:bidi="ar-SA"/>
              </w:rPr>
              <w:t>11</w:t>
            </w:r>
            <w:r>
              <w:rPr>
                <w:rFonts w:hint="default" w:ascii="Times New Roman" w:hAnsi="Times New Roman" w:eastAsia="宋体" w:cs="Times New Roman"/>
                <w:color w:val="auto"/>
                <w:kern w:val="2"/>
                <w:sz w:val="24"/>
                <w:szCs w:val="24"/>
                <w:highlight w:val="none"/>
                <w:lang w:val="en-US" w:eastAsia="zh-CN" w:bidi="ar-SA"/>
              </w:rPr>
              <w:t>）。</w:t>
            </w:r>
          </w:p>
        </w:tc>
      </w:tr>
    </w:tbl>
    <w:p w14:paraId="61780E31">
      <w:pPr>
        <w:pStyle w:val="27"/>
        <w:jc w:val="center"/>
        <w:outlineLvl w:val="0"/>
        <w:rPr>
          <w:rFonts w:hint="eastAsia" w:ascii="黑体" w:hAnsi="黑体" w:eastAsia="黑体"/>
          <w:snapToGrid w:val="0"/>
          <w:color w:val="auto"/>
          <w:sz w:val="30"/>
          <w:szCs w:val="30"/>
        </w:rPr>
      </w:pPr>
      <w:r>
        <w:rPr>
          <w:rFonts w:ascii="黑体" w:hAnsi="黑体" w:eastAsia="黑体"/>
          <w:snapToGrid w:val="0"/>
          <w:color w:val="auto"/>
          <w:sz w:val="36"/>
          <w:szCs w:val="36"/>
        </w:rPr>
        <w:br w:type="page"/>
      </w:r>
      <w:bookmarkStart w:id="13" w:name="_Toc7016"/>
      <w:bookmarkStart w:id="14" w:name="_Toc5479"/>
      <w:r>
        <w:rPr>
          <w:rFonts w:hint="eastAsia" w:ascii="Times New Roman" w:hAnsi="Times New Roman"/>
          <w:b/>
          <w:bCs/>
          <w:color w:val="auto"/>
          <w:kern w:val="2"/>
          <w:sz w:val="32"/>
          <w:szCs w:val="32"/>
        </w:rPr>
        <w:t>四、主要环境影响和保护措施</w:t>
      </w:r>
      <w:bookmarkEnd w:id="13"/>
      <w:bookmarkEnd w:id="14"/>
    </w:p>
    <w:tbl>
      <w:tblPr>
        <w:tblStyle w:val="31"/>
        <w:tblW w:w="898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67"/>
        <w:gridCol w:w="8314"/>
      </w:tblGrid>
      <w:tr w14:paraId="19A821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48" w:hRule="atLeast"/>
          <w:jc w:val="center"/>
        </w:trPr>
        <w:tc>
          <w:tcPr>
            <w:tcW w:w="667" w:type="dxa"/>
            <w:tcMar>
              <w:left w:w="28" w:type="dxa"/>
              <w:right w:w="28" w:type="dxa"/>
            </w:tcMar>
            <w:vAlign w:val="center"/>
          </w:tcPr>
          <w:p w14:paraId="240D2774">
            <w:pPr>
              <w:adjustRightInd w:val="0"/>
              <w:snapToGrid w:val="0"/>
              <w:jc w:val="center"/>
              <w:rPr>
                <w:rFonts w:hint="eastAsia" w:ascii="宋体" w:hAnsi="宋体" w:cs="宋体"/>
                <w:bCs/>
                <w:color w:val="auto"/>
                <w:sz w:val="24"/>
              </w:rPr>
            </w:pPr>
            <w:r>
              <w:rPr>
                <w:rFonts w:hint="eastAsia" w:ascii="宋体" w:hAnsi="宋体" w:cs="宋体"/>
                <w:bCs/>
                <w:color w:val="auto"/>
                <w:sz w:val="24"/>
              </w:rPr>
              <w:t>施工</w:t>
            </w:r>
          </w:p>
          <w:p w14:paraId="381CBF34">
            <w:pPr>
              <w:adjustRightInd w:val="0"/>
              <w:snapToGrid w:val="0"/>
              <w:jc w:val="center"/>
              <w:rPr>
                <w:rFonts w:hint="eastAsia" w:ascii="宋体" w:hAnsi="宋体" w:cs="宋体"/>
                <w:bCs/>
                <w:color w:val="auto"/>
                <w:sz w:val="24"/>
              </w:rPr>
            </w:pPr>
            <w:r>
              <w:rPr>
                <w:rFonts w:hint="eastAsia" w:ascii="宋体" w:hAnsi="宋体" w:cs="宋体"/>
                <w:bCs/>
                <w:color w:val="auto"/>
                <w:sz w:val="24"/>
              </w:rPr>
              <w:t>期环</w:t>
            </w:r>
          </w:p>
          <w:p w14:paraId="009692E9">
            <w:pPr>
              <w:adjustRightInd w:val="0"/>
              <w:snapToGrid w:val="0"/>
              <w:jc w:val="center"/>
              <w:rPr>
                <w:rFonts w:cs="宋体"/>
                <w:bCs/>
                <w:color w:val="auto"/>
                <w:szCs w:val="21"/>
              </w:rPr>
            </w:pPr>
            <w:r>
              <w:rPr>
                <w:rFonts w:hint="eastAsia" w:ascii="宋体" w:hAnsi="宋体" w:cs="宋体"/>
                <w:bCs/>
                <w:color w:val="auto"/>
                <w:sz w:val="24"/>
              </w:rPr>
              <w:t>境保护措施</w:t>
            </w:r>
          </w:p>
        </w:tc>
        <w:tc>
          <w:tcPr>
            <w:tcW w:w="8314" w:type="dxa"/>
            <w:vAlign w:val="center"/>
          </w:tcPr>
          <w:p w14:paraId="526BBCF1">
            <w:pPr>
              <w:pStyle w:val="4"/>
              <w:numPr>
                <w:ilvl w:val="1"/>
                <w:numId w:val="0"/>
              </w:numPr>
              <w:rPr>
                <w:rFonts w:hint="default" w:ascii="Times New Roman" w:hAnsi="Times New Roman" w:cs="Times New Roman"/>
                <w:color w:val="auto"/>
              </w:rPr>
            </w:pPr>
            <w:bookmarkStart w:id="15" w:name="_Toc7736"/>
            <w:bookmarkStart w:id="16" w:name="_Toc6928"/>
            <w:bookmarkStart w:id="17" w:name="_Toc10743"/>
            <w:r>
              <w:rPr>
                <w:rFonts w:hint="default" w:ascii="Times New Roman" w:hAnsi="Times New Roman" w:cs="Times New Roman"/>
                <w:color w:val="auto"/>
              </w:rPr>
              <w:t>4.1施工期环境保护措施</w:t>
            </w:r>
            <w:bookmarkEnd w:id="15"/>
            <w:bookmarkEnd w:id="16"/>
            <w:bookmarkEnd w:id="17"/>
          </w:p>
          <w:p w14:paraId="1AF9FE13">
            <w:pPr>
              <w:pStyle w:val="138"/>
              <w:ind w:firstLine="0" w:firstLineChars="0"/>
              <w:outlineLvl w:val="2"/>
              <w:rPr>
                <w:rFonts w:hint="default" w:ascii="Times New Roman" w:hAnsi="Times New Roman" w:eastAsia="宋体" w:cs="Times New Roman"/>
                <w:b/>
                <w:bCs/>
                <w:color w:val="auto"/>
                <w:spacing w:val="-10"/>
                <w:sz w:val="28"/>
                <w:szCs w:val="28"/>
              </w:rPr>
            </w:pPr>
            <w:bookmarkStart w:id="18" w:name="_Toc526686742"/>
            <w:bookmarkStart w:id="19" w:name="_Toc526684940"/>
            <w:bookmarkStart w:id="20" w:name="_Toc526685431"/>
            <w:bookmarkStart w:id="21" w:name="_Toc15053389"/>
            <w:bookmarkStart w:id="22" w:name="_Toc19608"/>
            <w:bookmarkStart w:id="23" w:name="_Toc526685923"/>
            <w:r>
              <w:rPr>
                <w:rFonts w:hint="default" w:ascii="Times New Roman" w:hAnsi="Times New Roman" w:eastAsia="宋体" w:cs="Times New Roman"/>
                <w:b/>
                <w:bCs/>
                <w:color w:val="auto"/>
                <w:spacing w:val="-10"/>
                <w:sz w:val="28"/>
                <w:szCs w:val="28"/>
              </w:rPr>
              <w:t>4.1.1施工期废气污染防治措施</w:t>
            </w:r>
          </w:p>
          <w:p w14:paraId="59B050CF">
            <w:pPr>
              <w:pStyle w:val="138"/>
              <w:adjustRightInd w:val="0"/>
              <w:snapToGrid w:val="0"/>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rPr>
              <w:t>项目施工期间对环境空气的污染主要来自场地开挖时施工扬尘、施工机械废气以及少量的装修废气。</w:t>
            </w:r>
            <w:r>
              <w:rPr>
                <w:rFonts w:hint="eastAsia" w:ascii="Times New Roman" w:hAnsi="Times New Roman" w:eastAsia="宋体" w:cs="Times New Roman"/>
                <w:color w:val="auto"/>
                <w:lang w:eastAsia="zh-CN"/>
              </w:rPr>
              <w:t>项目施工现场要求</w:t>
            </w:r>
            <w:r>
              <w:rPr>
                <w:rFonts w:hint="default" w:ascii="Times New Roman" w:hAnsi="Times New Roman" w:eastAsia="宋体" w:cs="Times New Roman"/>
                <w:color w:val="auto"/>
                <w:lang w:eastAsia="zh-CN"/>
              </w:rPr>
              <w:t>：①工地砂土</w:t>
            </w:r>
            <w:r>
              <w:rPr>
                <w:rFonts w:hint="default" w:ascii="Times New Roman" w:hAnsi="Times New Roman" w:eastAsia="宋体" w:cs="Times New Roman"/>
                <w:color w:val="auto"/>
                <w:lang w:val="en-US" w:eastAsia="zh-CN"/>
              </w:rPr>
              <w:t>100%覆盖；②工地路面100%硬地化；③拆除工程100%洒水压尘；</w:t>
            </w:r>
            <w:r>
              <w:rPr>
                <w:rFonts w:hint="default" w:ascii="Times New Roman" w:hAnsi="Times New Roman" w:eastAsia="宋体" w:cs="Times New Roman"/>
                <w:color w:val="auto"/>
                <w:lang w:val="en-US" w:eastAsia="zh-CN"/>
              </w:rPr>
              <w:fldChar w:fldCharType="begin"/>
            </w:r>
            <w:r>
              <w:rPr>
                <w:rFonts w:hint="default" w:ascii="Times New Roman" w:hAnsi="Times New Roman" w:eastAsia="宋体" w:cs="Times New Roman"/>
                <w:color w:val="auto"/>
                <w:lang w:val="en-US" w:eastAsia="zh-CN"/>
              </w:rPr>
              <w:instrText xml:space="preserve"> = 4 \* GB3 \* MERGEFORMAT </w:instrText>
            </w:r>
            <w:r>
              <w:rPr>
                <w:rFonts w:hint="default" w:ascii="Times New Roman" w:hAnsi="Times New Roman" w:eastAsia="宋体" w:cs="Times New Roman"/>
                <w:color w:val="auto"/>
                <w:lang w:val="en-US" w:eastAsia="zh-CN"/>
              </w:rPr>
              <w:fldChar w:fldCharType="separate"/>
            </w:r>
            <w:r>
              <w:rPr>
                <w:rFonts w:hint="default" w:ascii="Times New Roman" w:hAnsi="Times New Roman" w:cs="Times New Roman"/>
                <w:color w:val="auto"/>
              </w:rPr>
              <w:t>④</w:t>
            </w:r>
            <w:r>
              <w:rPr>
                <w:rFonts w:hint="default" w:ascii="Times New Roman" w:hAnsi="Times New Roman" w:eastAsia="宋体" w:cs="Times New Roman"/>
                <w:color w:val="auto"/>
                <w:lang w:val="en-US" w:eastAsia="zh-CN"/>
              </w:rPr>
              <w:fldChar w:fldCharType="end"/>
            </w:r>
            <w:r>
              <w:rPr>
                <w:rFonts w:hint="default" w:ascii="Times New Roman" w:hAnsi="Times New Roman" w:eastAsia="宋体" w:cs="Times New Roman"/>
                <w:color w:val="auto"/>
                <w:lang w:val="en-US" w:eastAsia="zh-CN"/>
              </w:rPr>
              <w:t>施工现场100%围挡；</w:t>
            </w:r>
            <w:r>
              <w:rPr>
                <w:rFonts w:hint="default" w:ascii="Times New Roman" w:hAnsi="Times New Roman" w:eastAsia="宋体" w:cs="Times New Roman"/>
                <w:color w:val="auto"/>
                <w:lang w:val="en-US" w:eastAsia="zh-CN"/>
              </w:rPr>
              <w:fldChar w:fldCharType="begin"/>
            </w:r>
            <w:r>
              <w:rPr>
                <w:rFonts w:hint="default" w:ascii="Times New Roman" w:hAnsi="Times New Roman" w:eastAsia="宋体" w:cs="Times New Roman"/>
                <w:color w:val="auto"/>
                <w:lang w:val="en-US" w:eastAsia="zh-CN"/>
              </w:rPr>
              <w:instrText xml:space="preserve"> = 5 \* GB3 \* MERGEFORMAT </w:instrText>
            </w:r>
            <w:r>
              <w:rPr>
                <w:rFonts w:hint="default" w:ascii="Times New Roman" w:hAnsi="Times New Roman" w:eastAsia="宋体" w:cs="Times New Roman"/>
                <w:color w:val="auto"/>
                <w:lang w:val="en-US" w:eastAsia="zh-CN"/>
              </w:rPr>
              <w:fldChar w:fldCharType="separate"/>
            </w:r>
            <w:r>
              <w:rPr>
                <w:rFonts w:hint="default" w:ascii="Times New Roman" w:hAnsi="Times New Roman" w:cs="Times New Roman"/>
                <w:color w:val="auto"/>
              </w:rPr>
              <w:t>⑤</w:t>
            </w:r>
            <w:r>
              <w:rPr>
                <w:rFonts w:hint="default" w:ascii="Times New Roman" w:hAnsi="Times New Roman" w:eastAsia="宋体" w:cs="Times New Roman"/>
                <w:color w:val="auto"/>
                <w:lang w:val="en-US" w:eastAsia="zh-CN"/>
              </w:rPr>
              <w:fldChar w:fldCharType="end"/>
            </w:r>
            <w:r>
              <w:rPr>
                <w:rFonts w:hint="default" w:ascii="Times New Roman" w:hAnsi="Times New Roman" w:eastAsia="宋体" w:cs="Times New Roman"/>
                <w:color w:val="auto"/>
                <w:lang w:val="en-US" w:eastAsia="zh-CN"/>
              </w:rPr>
              <w:t>暂不开发的场地100%绿化；</w:t>
            </w:r>
            <w:r>
              <w:rPr>
                <w:rFonts w:hint="default" w:ascii="Times New Roman" w:hAnsi="Times New Roman" w:eastAsia="宋体" w:cs="Times New Roman"/>
                <w:color w:val="auto"/>
                <w:lang w:val="en-US" w:eastAsia="zh-CN"/>
              </w:rPr>
              <w:fldChar w:fldCharType="begin"/>
            </w:r>
            <w:r>
              <w:rPr>
                <w:rFonts w:hint="default" w:ascii="Times New Roman" w:hAnsi="Times New Roman" w:eastAsia="宋体" w:cs="Times New Roman"/>
                <w:color w:val="auto"/>
                <w:lang w:val="en-US" w:eastAsia="zh-CN"/>
              </w:rPr>
              <w:instrText xml:space="preserve"> = 6 \* GB3 \* MERGEFORMAT </w:instrText>
            </w:r>
            <w:r>
              <w:rPr>
                <w:rFonts w:hint="default" w:ascii="Times New Roman" w:hAnsi="Times New Roman" w:eastAsia="宋体" w:cs="Times New Roman"/>
                <w:color w:val="auto"/>
                <w:lang w:val="en-US" w:eastAsia="zh-CN"/>
              </w:rPr>
              <w:fldChar w:fldCharType="separate"/>
            </w:r>
            <w:r>
              <w:rPr>
                <w:rFonts w:hint="default" w:ascii="Times New Roman" w:hAnsi="Times New Roman" w:cs="Times New Roman"/>
                <w:color w:val="auto"/>
              </w:rPr>
              <w:t>⑥</w:t>
            </w:r>
            <w:r>
              <w:rPr>
                <w:rFonts w:hint="default" w:ascii="Times New Roman" w:hAnsi="Times New Roman" w:eastAsia="宋体" w:cs="Times New Roman"/>
                <w:color w:val="auto"/>
                <w:lang w:val="en-US" w:eastAsia="zh-CN"/>
              </w:rPr>
              <w:fldChar w:fldCharType="end"/>
            </w:r>
            <w:r>
              <w:rPr>
                <w:rFonts w:hint="default" w:ascii="Times New Roman" w:hAnsi="Times New Roman" w:eastAsia="宋体" w:cs="Times New Roman"/>
                <w:color w:val="auto"/>
                <w:lang w:val="en-US" w:eastAsia="zh-CN"/>
              </w:rPr>
              <w:t>出工车辆100%冲净车轮车身。</w:t>
            </w:r>
          </w:p>
          <w:p w14:paraId="76CC5F46">
            <w:pPr>
              <w:pStyle w:val="138"/>
              <w:adjustRightInd w:val="0"/>
              <w:snapToGrid w:val="0"/>
              <w:ind w:firstLine="482"/>
              <w:rPr>
                <w:rFonts w:hint="default" w:ascii="Times New Roman" w:hAnsi="Times New Roman" w:eastAsia="宋体" w:cs="Times New Roman"/>
                <w:b/>
                <w:bCs/>
                <w:color w:val="auto"/>
              </w:rPr>
            </w:pPr>
            <w:r>
              <w:rPr>
                <w:rFonts w:hint="default" w:ascii="Times New Roman" w:hAnsi="Times New Roman" w:eastAsia="宋体" w:cs="Times New Roman"/>
                <w:b/>
                <w:bCs/>
                <w:color w:val="auto"/>
              </w:rPr>
              <w:t>1.扬尘</w:t>
            </w:r>
          </w:p>
          <w:p w14:paraId="7F6B3486">
            <w:pPr>
              <w:pStyle w:val="138"/>
              <w:adjustRightInd w:val="0"/>
              <w:snapToGrid w:val="0"/>
              <w:ind w:firstLine="480"/>
              <w:rPr>
                <w:rFonts w:hint="default" w:ascii="Times New Roman" w:hAnsi="Times New Roman" w:eastAsia="宋体" w:cs="Times New Roman"/>
                <w:color w:val="auto"/>
              </w:rPr>
            </w:pPr>
            <w:r>
              <w:rPr>
                <w:rFonts w:hint="default" w:ascii="Times New Roman" w:hAnsi="Times New Roman" w:cs="Times New Roman"/>
                <w:color w:val="auto"/>
              </w:rPr>
              <w:t>施工期扬尘主要来自清理场地、挖掘、土地开挖、管网铺设、回填、物料残土堆积装卸随风起尘等，扬尘污染在一定时间和空间内会对周围环境空气质量产生影响。</w:t>
            </w:r>
            <w:r>
              <w:rPr>
                <w:rFonts w:hint="default" w:ascii="Times New Roman" w:hAnsi="Times New Roman" w:eastAsia="宋体" w:cs="Times New Roman"/>
                <w:color w:val="auto"/>
              </w:rPr>
              <w:t>施工过程中减轻扬尘对周边的影响是十分必要的，要求建设单位和施工单位严格按照《防治城市扬尘污染技术规范》（HJ/T393-2007）、《福州市大气污染防治办法》、《福州市大气污染防治行动计划实施细则》（榕政综</w:t>
            </w:r>
            <w:r>
              <w:rPr>
                <w:rFonts w:hint="eastAsia" w:ascii="宋体" w:hAnsi="宋体" w:eastAsia="宋体" w:cs="宋体"/>
                <w:color w:val="auto"/>
                <w:lang w:eastAsia="zh-CN"/>
              </w:rPr>
              <w:t>〔</w:t>
            </w:r>
            <w:r>
              <w:rPr>
                <w:rFonts w:hint="default" w:ascii="Times New Roman" w:hAnsi="Times New Roman" w:eastAsia="宋体" w:cs="Times New Roman"/>
                <w:color w:val="auto"/>
              </w:rPr>
              <w:t>2014</w:t>
            </w:r>
            <w:r>
              <w:rPr>
                <w:rFonts w:hint="eastAsia" w:ascii="宋体" w:hAnsi="宋体" w:eastAsia="宋体" w:cs="宋体"/>
                <w:color w:val="auto"/>
                <w:lang w:eastAsia="zh-CN"/>
              </w:rPr>
              <w:t>〕</w:t>
            </w:r>
            <w:r>
              <w:rPr>
                <w:rFonts w:hint="default" w:ascii="Times New Roman" w:hAnsi="Times New Roman" w:eastAsia="宋体" w:cs="Times New Roman"/>
                <w:color w:val="auto"/>
              </w:rPr>
              <w:t>27号）的要求，采取有效的防治措施，降低施工扬尘对周边环境的影响。主要措施如下：</w:t>
            </w:r>
          </w:p>
          <w:p w14:paraId="6E293ED1">
            <w:pPr>
              <w:pStyle w:val="138"/>
              <w:adjustRightInd w:val="0"/>
              <w:snapToGrid w:val="0"/>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（1）施工期间，施工单位应根据《建设工程施工现场管理规定》规定设置施工标志牌、现场平面布置图和安全生产、消防保卫、环境保护、文明施工制度板。</w:t>
            </w:r>
          </w:p>
          <w:p w14:paraId="766C33BE">
            <w:pPr>
              <w:pStyle w:val="138"/>
              <w:adjustRightInd w:val="0"/>
              <w:snapToGrid w:val="0"/>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（2）施工场地边界应设置高度2.5米以上的围挡。对于特殊地点无法设置围挡、围栏的，应设置警示牌。</w:t>
            </w:r>
          </w:p>
          <w:p w14:paraId="399C7019">
            <w:pPr>
              <w:pStyle w:val="138"/>
              <w:adjustRightInd w:val="0"/>
              <w:snapToGrid w:val="0"/>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（3）土方工程防尘措施</w:t>
            </w:r>
          </w:p>
          <w:p w14:paraId="610E9C16">
            <w:pPr>
              <w:pStyle w:val="138"/>
              <w:adjustRightInd w:val="0"/>
              <w:snapToGrid w:val="0"/>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土方工程包括土的开挖、运输和填筑等施工过程，有时还需进行排水、降水、土壁支撑等准备工作。遇到干燥、易起尘的土方工程作业时，应辅以洒水压尘，尽量缩短起尘操作时间。遇到四级或四级以上大风天气，应停止土方作业，同时作业处覆以防尘网。</w:t>
            </w:r>
          </w:p>
          <w:p w14:paraId="57A3AF22">
            <w:pPr>
              <w:pStyle w:val="138"/>
              <w:adjustRightInd w:val="0"/>
              <w:snapToGrid w:val="0"/>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（4）建筑材料防尘措施</w:t>
            </w:r>
          </w:p>
          <w:p w14:paraId="3BD60C01">
            <w:pPr>
              <w:pStyle w:val="138"/>
              <w:adjustRightInd w:val="0"/>
              <w:snapToGrid w:val="0"/>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施工过程中使用水泥、石灰、砂石、涂料、铺装材料等易产生扬尘的建筑材料，应采取下列措施之一：a密闭存储；b设置围挡或堆砌围墙；c采用防尘布苫盖；d其他有效的防尘措施</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e应使用水泥搅拌站提供的商品混凝土进行施工浇筑。</w:t>
            </w:r>
          </w:p>
          <w:p w14:paraId="21F275CB">
            <w:pPr>
              <w:pStyle w:val="138"/>
              <w:adjustRightInd w:val="0"/>
              <w:snapToGrid w:val="0"/>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（5）渣土运输车辆全部采取密闭措施，严格落实净车出场制度，渣土车出场前必须清洗。尽量选择对周围环境影响较小的运输路线，</w:t>
            </w:r>
            <w:r>
              <w:rPr>
                <w:rFonts w:hint="eastAsia" w:cs="Times New Roman"/>
                <w:color w:val="auto"/>
                <w:lang w:eastAsia="zh-CN"/>
              </w:rPr>
              <w:t>并</w:t>
            </w:r>
            <w:r>
              <w:rPr>
                <w:rFonts w:hint="default" w:ascii="Times New Roman" w:hAnsi="Times New Roman" w:eastAsia="宋体" w:cs="Times New Roman"/>
                <w:color w:val="auto"/>
              </w:rPr>
              <w:t>限制运输车辆的速度，将卡车在施工场地的车速控制在8km/h内。</w:t>
            </w:r>
          </w:p>
          <w:p w14:paraId="68B1A38D">
            <w:pPr>
              <w:pStyle w:val="138"/>
              <w:adjustRightInd w:val="0"/>
              <w:snapToGrid w:val="0"/>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（6）应避免在大风天气进行水泥、黄沙等的装卸作业，对水泥类物资尽可能不要露天堆放，即使必须露天堆放，也要注意加盖防雨布，减少大风造成的施工扬尘，以减少对周边敏感目标的影响。</w:t>
            </w:r>
          </w:p>
          <w:p w14:paraId="19305FDB">
            <w:pPr>
              <w:pStyle w:val="138"/>
              <w:adjustRightInd w:val="0"/>
              <w:snapToGrid w:val="0"/>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（7）施工现场安排专人负责洒水抑尘，施工现场四周围挡设置喷雾降尘设施。</w:t>
            </w:r>
          </w:p>
          <w:p w14:paraId="59084380">
            <w:pPr>
              <w:pStyle w:val="138"/>
              <w:adjustRightInd w:val="0"/>
              <w:snapToGrid w:val="0"/>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（8）施工</w:t>
            </w:r>
            <w:r>
              <w:rPr>
                <w:rFonts w:hint="eastAsia" w:cs="Times New Roman"/>
                <w:color w:val="auto"/>
                <w:lang w:eastAsia="zh-CN"/>
              </w:rPr>
              <w:t>场地</w:t>
            </w:r>
            <w:r>
              <w:rPr>
                <w:rFonts w:hint="default" w:ascii="Times New Roman" w:hAnsi="Times New Roman" w:eastAsia="宋体" w:cs="Times New Roman"/>
                <w:color w:val="auto"/>
              </w:rPr>
              <w:t>内部裸地防尘措施</w:t>
            </w:r>
          </w:p>
          <w:p w14:paraId="7DA0096E">
            <w:pPr>
              <w:pStyle w:val="138"/>
              <w:adjustRightInd w:val="0"/>
              <w:snapToGrid w:val="0"/>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①施工</w:t>
            </w:r>
            <w:r>
              <w:rPr>
                <w:rFonts w:hint="eastAsia" w:cs="Times New Roman"/>
                <w:color w:val="auto"/>
                <w:lang w:eastAsia="zh-CN"/>
              </w:rPr>
              <w:t>场地</w:t>
            </w:r>
            <w:r>
              <w:rPr>
                <w:rFonts w:hint="default" w:ascii="Times New Roman" w:hAnsi="Times New Roman" w:eastAsia="宋体" w:cs="Times New Roman"/>
                <w:color w:val="auto"/>
              </w:rPr>
              <w:t>土方开挖形成的基坑边坡裸露土面应按设计要求及时进行支护和表面喷浆固化处理，否则应采用防尘网覆盖措施；</w:t>
            </w:r>
          </w:p>
          <w:p w14:paraId="379D759D">
            <w:pPr>
              <w:pStyle w:val="138"/>
              <w:adjustRightInd w:val="0"/>
              <w:snapToGrid w:val="0"/>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②不能连续施工的土方作业面裸土（含堆土）场地应采用防尘网进行覆盖，使用土方时禁止将所有遮盖的防尘网全部打开；</w:t>
            </w:r>
          </w:p>
          <w:p w14:paraId="590263A3">
            <w:pPr>
              <w:pStyle w:val="138"/>
              <w:adjustRightInd w:val="0"/>
              <w:snapToGrid w:val="0"/>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③土方作业面上的临时道路宜采取垫钢板、清扫等降尘措施；</w:t>
            </w:r>
          </w:p>
          <w:p w14:paraId="2764FA07">
            <w:pPr>
              <w:pStyle w:val="138"/>
              <w:adjustRightInd w:val="0"/>
              <w:snapToGrid w:val="0"/>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④由施工单位承担场地平整任务的项目，土方平整阶段，扬尘管理人员应进场监管。</w:t>
            </w:r>
          </w:p>
          <w:p w14:paraId="53AAF820">
            <w:pPr>
              <w:pStyle w:val="138"/>
              <w:adjustRightInd w:val="0"/>
              <w:snapToGrid w:val="0"/>
              <w:ind w:firstLine="482"/>
              <w:rPr>
                <w:rFonts w:hint="default" w:ascii="Times New Roman" w:hAnsi="Times New Roman" w:eastAsia="宋体" w:cs="Times New Roman"/>
                <w:b/>
                <w:bCs/>
                <w:color w:val="auto"/>
              </w:rPr>
            </w:pPr>
            <w:r>
              <w:rPr>
                <w:rFonts w:hint="default" w:ascii="Times New Roman" w:hAnsi="Times New Roman" w:eastAsia="宋体" w:cs="Times New Roman"/>
                <w:b/>
                <w:bCs/>
                <w:color w:val="auto"/>
              </w:rPr>
              <w:t>2.施工设备及车辆排放废气防治措施</w:t>
            </w:r>
          </w:p>
          <w:p w14:paraId="16663262">
            <w:pPr>
              <w:pStyle w:val="138"/>
              <w:adjustRightInd w:val="0"/>
              <w:snapToGrid w:val="0"/>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施工机器设备及运输车辆采用清洁型燃料，并在车辆及机械设备排气口加装废气过滤器。加强对设备及车辆的维护保养，保持相关设备化油器、空气滤清器等部位的清洁。</w:t>
            </w:r>
          </w:p>
          <w:p w14:paraId="40F0BEE8">
            <w:pPr>
              <w:pStyle w:val="138"/>
              <w:adjustRightInd w:val="0"/>
              <w:snapToGrid w:val="0"/>
              <w:ind w:firstLine="482"/>
              <w:rPr>
                <w:rFonts w:hint="default" w:ascii="Times New Roman" w:hAnsi="Times New Roman" w:eastAsia="宋体" w:cs="Times New Roman"/>
                <w:color w:val="auto"/>
              </w:rPr>
            </w:pPr>
            <w:r>
              <w:rPr>
                <w:rFonts w:hint="default" w:ascii="Times New Roman" w:hAnsi="Times New Roman" w:eastAsia="宋体" w:cs="Times New Roman"/>
                <w:b/>
                <w:bCs/>
                <w:color w:val="auto"/>
              </w:rPr>
              <w:t>3.装修废气</w:t>
            </w:r>
          </w:p>
          <w:p w14:paraId="5712F5DD">
            <w:pPr>
              <w:widowControl/>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装修废气主要产生于室外装修和室内公共区域装修阶段。装修废气的主要污染因子是作为稀释剂的二甲苯，此外还有较少量的醋酸丁酯、乙醇、丁醇等，该废气的排放属无组织排放。为减轻装修废气污染物对住院病人及周边环境的影响，对装修废气污染首先应在源头上进行控制，选择无毒或低毒的环保产品进行装修，以降低有机废气的产生。装修废气是一个缓慢的挥发过程，挥发量少，随着时间的推移，其排放量将逐步减少，对区域大气环境影响较小。</w:t>
            </w:r>
          </w:p>
          <w:p w14:paraId="707A0ABA">
            <w:pPr>
              <w:pStyle w:val="138"/>
              <w:adjustRightInd w:val="0"/>
              <w:snapToGrid w:val="0"/>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通过采取以上措施，可有效控制施工过程对大气环境的污染，不会因项目施工建设而使当地的空气环境质量发生质的变化。</w:t>
            </w:r>
          </w:p>
          <w:p w14:paraId="0296A809">
            <w:pPr>
              <w:pStyle w:val="138"/>
              <w:ind w:firstLine="0" w:firstLineChars="0"/>
              <w:outlineLvl w:val="2"/>
              <w:rPr>
                <w:rFonts w:hint="default" w:ascii="Times New Roman" w:hAnsi="Times New Roman" w:eastAsia="宋体" w:cs="Times New Roman"/>
                <w:b/>
                <w:bCs/>
                <w:color w:val="auto"/>
                <w:spacing w:val="-10"/>
                <w:sz w:val="28"/>
                <w:szCs w:val="28"/>
              </w:rPr>
            </w:pPr>
            <w:r>
              <w:rPr>
                <w:rFonts w:hint="default" w:ascii="Times New Roman" w:hAnsi="Times New Roman" w:eastAsia="宋体" w:cs="Times New Roman"/>
                <w:b/>
                <w:bCs/>
                <w:color w:val="auto"/>
                <w:spacing w:val="-10"/>
                <w:sz w:val="28"/>
                <w:szCs w:val="28"/>
              </w:rPr>
              <w:t>4.1.2施工期废水污染防治措施</w:t>
            </w:r>
          </w:p>
          <w:p w14:paraId="0C455B92">
            <w:pPr>
              <w:pStyle w:val="138"/>
              <w:adjustRightInd w:val="0"/>
              <w:snapToGrid w:val="0"/>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施工期的废水包括施工废水和生活污水。施工阶段产生的废水应合理处置，严禁直接排入附近水体。</w:t>
            </w:r>
          </w:p>
          <w:p w14:paraId="2DFE1793">
            <w:pPr>
              <w:pStyle w:val="138"/>
              <w:adjustRightInd w:val="0"/>
              <w:snapToGrid w:val="0"/>
              <w:ind w:firstLine="482"/>
              <w:rPr>
                <w:rFonts w:hint="default" w:ascii="Times New Roman" w:hAnsi="Times New Roman" w:eastAsia="宋体" w:cs="Times New Roman"/>
                <w:b/>
                <w:bCs/>
                <w:color w:val="auto"/>
              </w:rPr>
            </w:pPr>
            <w:r>
              <w:rPr>
                <w:rFonts w:hint="default" w:ascii="Times New Roman" w:hAnsi="Times New Roman" w:eastAsia="宋体" w:cs="Times New Roman"/>
                <w:b/>
                <w:bCs/>
                <w:color w:val="auto"/>
              </w:rPr>
              <w:t>1.施工废水</w:t>
            </w:r>
          </w:p>
          <w:p w14:paraId="6F0E5278">
            <w:pPr>
              <w:pStyle w:val="138"/>
              <w:adjustRightInd w:val="0"/>
              <w:snapToGrid w:val="0"/>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施工废水主要为建筑养护排水、设备清洗及维修、进出车辆冲洗水等，废水中主要含大量悬浮物的泥浆水，SS浓度含量较高。该类废水如未经处理直接排放，必然会造成周围地区污水漫流，并对受纳水体产生不利影响。同时，还有可能在下水道中沉积，堵塞下水道，使周围地区下水道系统受到破坏。因此必须采取措施对施工废水进行处理。主要的污染源治理措施如下：</w:t>
            </w:r>
          </w:p>
          <w:p w14:paraId="6D9631D3">
            <w:pPr>
              <w:pStyle w:val="138"/>
              <w:adjustRightInd w:val="0"/>
              <w:snapToGrid w:val="0"/>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①施工废水不以渗坑、渗井或漫流方式排放，施工现场设立沉淀池，施工废水</w:t>
            </w:r>
            <w:r>
              <w:rPr>
                <w:rFonts w:hint="eastAsia" w:ascii="Times New Roman" w:hAnsi="Times New Roman" w:eastAsia="宋体" w:cs="Times New Roman"/>
                <w:color w:val="auto"/>
                <w:lang w:eastAsia="zh-CN"/>
              </w:rPr>
              <w:t>流入</w:t>
            </w:r>
            <w:r>
              <w:rPr>
                <w:rFonts w:hint="default" w:ascii="Times New Roman" w:hAnsi="Times New Roman" w:eastAsia="宋体" w:cs="Times New Roman"/>
                <w:color w:val="auto"/>
              </w:rPr>
              <w:t>沉淀池沉淀后将上清液循环使用，不外排。</w:t>
            </w:r>
          </w:p>
          <w:p w14:paraId="40FBD927">
            <w:pPr>
              <w:pStyle w:val="138"/>
              <w:adjustRightInd w:val="0"/>
              <w:snapToGrid w:val="0"/>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②加强对施工机械的维护管理，定期检修，避免油料泄漏随地表径流进入水体。</w:t>
            </w:r>
          </w:p>
          <w:p w14:paraId="71870E55">
            <w:pPr>
              <w:pStyle w:val="138"/>
              <w:adjustRightInd w:val="0"/>
              <w:snapToGrid w:val="0"/>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③施工场地施工车辆的冲洗水经沉淀后用以地面降尘和生产用水。</w:t>
            </w:r>
          </w:p>
          <w:p w14:paraId="523D20F5">
            <w:pPr>
              <w:pStyle w:val="138"/>
              <w:adjustRightInd w:val="0"/>
              <w:snapToGrid w:val="0"/>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④场地排水沟、排水设施设计规范，加强管理，通畅无阻。</w:t>
            </w:r>
          </w:p>
          <w:p w14:paraId="6B63E834">
            <w:pPr>
              <w:pStyle w:val="138"/>
              <w:adjustRightInd w:val="0"/>
              <w:snapToGrid w:val="0"/>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采取上述措施后，施工期废水对环境无不良环境影响。</w:t>
            </w:r>
          </w:p>
          <w:p w14:paraId="11A5845D">
            <w:pPr>
              <w:pStyle w:val="138"/>
              <w:adjustRightInd w:val="0"/>
              <w:snapToGrid w:val="0"/>
              <w:ind w:firstLine="482"/>
              <w:rPr>
                <w:rFonts w:hint="default" w:ascii="Times New Roman" w:hAnsi="Times New Roman" w:eastAsia="宋体" w:cs="Times New Roman"/>
                <w:b/>
                <w:bCs/>
                <w:color w:val="auto"/>
              </w:rPr>
            </w:pPr>
            <w:r>
              <w:rPr>
                <w:rFonts w:hint="default" w:ascii="Times New Roman" w:hAnsi="Times New Roman" w:eastAsia="宋体" w:cs="Times New Roman"/>
                <w:b/>
                <w:bCs/>
                <w:color w:val="auto"/>
              </w:rPr>
              <w:t>2.生活污水</w:t>
            </w:r>
          </w:p>
          <w:p w14:paraId="5B3536D0">
            <w:pPr>
              <w:pStyle w:val="138"/>
              <w:adjustRightInd w:val="0"/>
              <w:snapToGrid w:val="0"/>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本项目施工人员</w:t>
            </w:r>
            <w:r>
              <w:rPr>
                <w:rFonts w:hint="eastAsia" w:ascii="Times New Roman" w:hAnsi="Times New Roman" w:eastAsia="宋体" w:cs="Times New Roman"/>
                <w:color w:val="auto"/>
                <w:lang w:eastAsia="zh-CN"/>
              </w:rPr>
              <w:t>租住于周边村庄，少量</w:t>
            </w:r>
            <w:r>
              <w:rPr>
                <w:rFonts w:hint="default" w:ascii="Times New Roman" w:hAnsi="Times New Roman" w:eastAsia="宋体" w:cs="Times New Roman"/>
                <w:color w:val="auto"/>
              </w:rPr>
              <w:t>生活污水依托</w:t>
            </w:r>
            <w:r>
              <w:rPr>
                <w:rFonts w:hint="eastAsia" w:ascii="Times New Roman" w:hAnsi="Times New Roman" w:eastAsia="宋体" w:cs="Times New Roman"/>
                <w:color w:val="auto"/>
                <w:lang w:eastAsia="zh-CN"/>
              </w:rPr>
              <w:t>周边村庄</w:t>
            </w:r>
            <w:r>
              <w:rPr>
                <w:rFonts w:hint="default" w:ascii="Times New Roman" w:hAnsi="Times New Roman" w:eastAsia="宋体" w:cs="Times New Roman"/>
                <w:color w:val="auto"/>
              </w:rPr>
              <w:t>现有污水处理系统处理。</w:t>
            </w:r>
          </w:p>
          <w:p w14:paraId="33958A4C">
            <w:pPr>
              <w:pStyle w:val="138"/>
              <w:ind w:firstLine="0" w:firstLineChars="0"/>
              <w:outlineLvl w:val="2"/>
              <w:rPr>
                <w:rFonts w:hint="default" w:ascii="Times New Roman" w:hAnsi="Times New Roman" w:eastAsia="宋体" w:cs="Times New Roman"/>
                <w:b/>
                <w:bCs/>
                <w:color w:val="auto"/>
                <w:spacing w:val="-10"/>
                <w:sz w:val="28"/>
                <w:szCs w:val="28"/>
              </w:rPr>
            </w:pPr>
            <w:r>
              <w:rPr>
                <w:rFonts w:hint="default" w:ascii="Times New Roman" w:hAnsi="Times New Roman" w:eastAsia="宋体" w:cs="Times New Roman"/>
                <w:b/>
                <w:bCs/>
                <w:color w:val="auto"/>
                <w:spacing w:val="-10"/>
                <w:sz w:val="28"/>
                <w:szCs w:val="28"/>
              </w:rPr>
              <w:t>4.1.3施工期噪声污染防治措施</w:t>
            </w:r>
          </w:p>
          <w:p w14:paraId="06E9C86D">
            <w:pPr>
              <w:widowControl/>
              <w:spacing w:line="360" w:lineRule="auto"/>
              <w:ind w:firstLine="480" w:firstLineChars="200"/>
              <w:jc w:val="left"/>
              <w:rPr>
                <w:rFonts w:hint="default" w:ascii="Times New Roman" w:hAnsi="Times New Roman" w:cs="Times New Roman"/>
                <w:color w:val="auto"/>
                <w:sz w:val="24"/>
                <w:szCs w:val="22"/>
              </w:rPr>
            </w:pPr>
            <w:r>
              <w:rPr>
                <w:rFonts w:hint="default" w:ascii="Times New Roman" w:hAnsi="Times New Roman" w:cs="Times New Roman"/>
                <w:color w:val="auto"/>
                <w:sz w:val="24"/>
                <w:szCs w:val="22"/>
              </w:rPr>
              <w:t>鉴于施工场地的开放性质及施工机械自身特点，不易进行噪声防治，只能从声源上控制和靠距离、绿化等自然衰减，尽量降低对周围环境的影响。施工期间不同施工阶段以及不同的施工方式，其噪声的影响范围及强度都不一样，并随着施工位置的变化，影响的对象亦相应变化。因此，重点从施工组织管理上采取措施予以控制，施工期噪声控制主要措施有：</w:t>
            </w:r>
          </w:p>
          <w:p w14:paraId="443AFE16">
            <w:pPr>
              <w:widowControl/>
              <w:spacing w:line="360" w:lineRule="auto"/>
              <w:ind w:firstLine="480" w:firstLineChars="200"/>
              <w:jc w:val="left"/>
              <w:rPr>
                <w:rFonts w:hint="default" w:ascii="Times New Roman" w:hAnsi="Times New Roman" w:cs="Times New Roman"/>
                <w:color w:val="auto"/>
                <w:sz w:val="24"/>
                <w:szCs w:val="22"/>
              </w:rPr>
            </w:pPr>
            <w:r>
              <w:rPr>
                <w:rFonts w:hint="default" w:ascii="Times New Roman" w:hAnsi="Times New Roman" w:cs="Times New Roman"/>
                <w:color w:val="auto"/>
                <w:sz w:val="24"/>
                <w:szCs w:val="22"/>
              </w:rPr>
              <w:t>（1）施工期施工噪声对近距离的噪声敏感点的影响较大，因此，在施工时要求厂界四周采取隔声降噪措施（如安装采取临时围挡，回避、不得设置高噪声施工设备等），最大程度减轻由于施工给周围居民生活环境带来的影响。重视施工噪声对周边居民生活环境影响，及时与周边居民沟通交流，以取得谅解，减少纠纷。</w:t>
            </w:r>
          </w:p>
          <w:p w14:paraId="542A0F91">
            <w:pPr>
              <w:widowControl/>
              <w:spacing w:line="360" w:lineRule="auto"/>
              <w:ind w:firstLine="480" w:firstLineChars="200"/>
              <w:jc w:val="left"/>
              <w:rPr>
                <w:rFonts w:hint="default" w:ascii="Times New Roman" w:hAnsi="Times New Roman" w:cs="Times New Roman"/>
                <w:color w:val="auto"/>
                <w:sz w:val="24"/>
                <w:szCs w:val="22"/>
              </w:rPr>
            </w:pPr>
            <w:r>
              <w:rPr>
                <w:rFonts w:hint="default" w:ascii="Times New Roman" w:hAnsi="Times New Roman" w:cs="Times New Roman"/>
                <w:color w:val="auto"/>
                <w:sz w:val="24"/>
                <w:szCs w:val="22"/>
              </w:rPr>
              <w:t>（2）加强施工期环境监理，合理安排施工作业时间，根据《福建省生态环境保护条例》第</w:t>
            </w:r>
            <w:r>
              <w:rPr>
                <w:rFonts w:hint="eastAsia" w:ascii="Times New Roman" w:hAnsi="Times New Roman" w:cs="Times New Roman"/>
                <w:color w:val="auto"/>
                <w:sz w:val="24"/>
                <w:szCs w:val="22"/>
                <w:lang w:eastAsia="zh-CN"/>
              </w:rPr>
              <w:t>四十九</w:t>
            </w:r>
            <w:r>
              <w:rPr>
                <w:rFonts w:hint="default" w:ascii="Times New Roman" w:hAnsi="Times New Roman" w:cs="Times New Roman"/>
                <w:color w:val="auto"/>
                <w:sz w:val="24"/>
                <w:szCs w:val="22"/>
              </w:rPr>
              <w:t>条，在噪声敏感建筑物集中区域内，禁止午间、夜间进行产生环境噪声的建筑施工作业，但抢修、抢险作业和因生产工艺上要求或者特殊需要必须连续作业的除外。因特殊需要必须在午间、夜间连续施工作业的，</w:t>
            </w:r>
            <w:r>
              <w:rPr>
                <w:rFonts w:hint="default" w:ascii="Times New Roman" w:hAnsi="Times New Roman" w:eastAsia="宋体" w:cs="Times New Roman"/>
                <w:color w:val="auto"/>
                <w:sz w:val="24"/>
                <w:szCs w:val="22"/>
              </w:rPr>
              <w:t>必须及时向相关部门申请办理《夜</w:t>
            </w:r>
            <w:r>
              <w:rPr>
                <w:rFonts w:hint="eastAsia" w:ascii="Times New Roman" w:hAnsi="Times New Roman" w:eastAsia="宋体" w:cs="Times New Roman"/>
                <w:color w:val="auto"/>
                <w:sz w:val="24"/>
                <w:szCs w:val="22"/>
                <w:lang w:eastAsia="zh-CN"/>
              </w:rPr>
              <w:t>（</w:t>
            </w:r>
            <w:r>
              <w:rPr>
                <w:rFonts w:hint="default" w:ascii="Times New Roman" w:hAnsi="Times New Roman" w:eastAsia="宋体" w:cs="Times New Roman"/>
                <w:color w:val="auto"/>
                <w:sz w:val="24"/>
                <w:szCs w:val="22"/>
              </w:rPr>
              <w:t>午</w:t>
            </w:r>
            <w:r>
              <w:rPr>
                <w:rFonts w:hint="eastAsia" w:ascii="Times New Roman" w:hAnsi="Times New Roman" w:eastAsia="宋体" w:cs="Times New Roman"/>
                <w:color w:val="auto"/>
                <w:sz w:val="24"/>
                <w:szCs w:val="22"/>
                <w:lang w:eastAsia="zh-CN"/>
              </w:rPr>
              <w:t>）</w:t>
            </w:r>
            <w:r>
              <w:rPr>
                <w:rFonts w:hint="default" w:ascii="Times New Roman" w:hAnsi="Times New Roman" w:eastAsia="宋体" w:cs="Times New Roman"/>
                <w:color w:val="auto"/>
                <w:sz w:val="24"/>
                <w:szCs w:val="22"/>
              </w:rPr>
              <w:t>间建筑施工作业证明》</w:t>
            </w:r>
            <w:r>
              <w:rPr>
                <w:rFonts w:hint="default" w:ascii="Times New Roman" w:hAnsi="Times New Roman" w:cs="Times New Roman"/>
                <w:color w:val="auto"/>
                <w:sz w:val="24"/>
                <w:szCs w:val="22"/>
              </w:rPr>
              <w:t>，并在施工现场显著位置公示或者以其他方式公告附近居民。</w:t>
            </w:r>
          </w:p>
          <w:p w14:paraId="468A9D08">
            <w:pPr>
              <w:widowControl/>
              <w:spacing w:line="360" w:lineRule="auto"/>
              <w:ind w:firstLine="480" w:firstLineChars="200"/>
              <w:jc w:val="left"/>
              <w:rPr>
                <w:rFonts w:hint="default" w:ascii="Times New Roman" w:hAnsi="Times New Roman" w:cs="Times New Roman"/>
                <w:color w:val="auto"/>
                <w:sz w:val="24"/>
                <w:szCs w:val="22"/>
              </w:rPr>
            </w:pPr>
            <w:r>
              <w:rPr>
                <w:rFonts w:hint="default" w:ascii="Times New Roman" w:hAnsi="Times New Roman" w:cs="Times New Roman"/>
                <w:color w:val="auto"/>
                <w:sz w:val="24"/>
                <w:szCs w:val="22"/>
              </w:rPr>
              <w:t>（3）选用低噪声型的施工设备，降低噪声和振动污染。采用局部吸声、隔声降噪技术对各施工环节中噪声较为突出且又难以对声源进行降噪的设备装置，应采取临时围障措施。高噪声设备尽量不集中施工。注意对机械的维护保养和正确操作，保证在良好的条件下使用，减少运行噪声。</w:t>
            </w:r>
          </w:p>
          <w:p w14:paraId="69591829">
            <w:pPr>
              <w:widowControl/>
              <w:spacing w:line="360" w:lineRule="auto"/>
              <w:ind w:firstLine="480" w:firstLineChars="200"/>
              <w:jc w:val="left"/>
              <w:rPr>
                <w:rFonts w:hint="default" w:ascii="Times New Roman" w:hAnsi="Times New Roman" w:cs="Times New Roman"/>
                <w:color w:val="auto"/>
                <w:sz w:val="24"/>
                <w:szCs w:val="22"/>
              </w:rPr>
            </w:pPr>
            <w:r>
              <w:rPr>
                <w:rFonts w:hint="default" w:ascii="Times New Roman" w:hAnsi="Times New Roman" w:cs="Times New Roman"/>
                <w:color w:val="auto"/>
                <w:sz w:val="24"/>
                <w:szCs w:val="22"/>
              </w:rPr>
              <w:t>（4）施工过</w:t>
            </w:r>
            <w:r>
              <w:rPr>
                <w:rFonts w:hint="eastAsia" w:cs="Times New Roman"/>
                <w:color w:val="auto"/>
                <w:sz w:val="24"/>
                <w:szCs w:val="22"/>
                <w:lang w:eastAsia="zh-CN"/>
              </w:rPr>
              <w:t>程中</w:t>
            </w:r>
            <w:r>
              <w:rPr>
                <w:rFonts w:hint="default" w:ascii="Times New Roman" w:hAnsi="Times New Roman" w:cs="Times New Roman"/>
                <w:color w:val="auto"/>
                <w:sz w:val="24"/>
                <w:szCs w:val="22"/>
              </w:rPr>
              <w:t>严禁使用锤击桩，要使用商品混凝土，不得现场搅拌混凝土，降低噪声污染。</w:t>
            </w:r>
          </w:p>
          <w:p w14:paraId="77ADCB15">
            <w:pPr>
              <w:widowControl/>
              <w:spacing w:line="360" w:lineRule="auto"/>
              <w:ind w:firstLine="480" w:firstLineChars="200"/>
              <w:jc w:val="left"/>
              <w:rPr>
                <w:rFonts w:hint="default" w:ascii="Times New Roman" w:hAnsi="Times New Roman" w:cs="Times New Roman"/>
                <w:color w:val="auto"/>
                <w:sz w:val="24"/>
                <w:szCs w:val="22"/>
              </w:rPr>
            </w:pPr>
            <w:r>
              <w:rPr>
                <w:rFonts w:hint="default" w:ascii="Times New Roman" w:hAnsi="Times New Roman" w:cs="Times New Roman"/>
                <w:color w:val="auto"/>
                <w:sz w:val="24"/>
                <w:szCs w:val="22"/>
              </w:rPr>
              <w:t>（5）施工单位先装修门窗，后进行室内其他装修施工，以减轻室内装修噪声对周围环境的影响。</w:t>
            </w:r>
          </w:p>
          <w:p w14:paraId="3B07393B">
            <w:pPr>
              <w:widowControl/>
              <w:spacing w:line="360" w:lineRule="auto"/>
              <w:ind w:firstLine="480" w:firstLineChars="200"/>
              <w:jc w:val="left"/>
              <w:rPr>
                <w:rFonts w:hint="default" w:ascii="Times New Roman" w:hAnsi="Times New Roman" w:cs="Times New Roman"/>
                <w:color w:val="auto"/>
                <w:sz w:val="24"/>
                <w:szCs w:val="22"/>
              </w:rPr>
            </w:pPr>
            <w:r>
              <w:rPr>
                <w:rFonts w:hint="default" w:ascii="Times New Roman" w:hAnsi="Times New Roman" w:cs="Times New Roman"/>
                <w:color w:val="auto"/>
                <w:sz w:val="24"/>
                <w:szCs w:val="22"/>
              </w:rPr>
              <w:t>（6）施工车辆，特别是重型运载车辆的运行线路和时间，应尽量避开噪声敏感区域和敏感时段。进出施工场地的车辆应严格执行施工计划，按城市交通管制规定和规定路线进出场地，并设专人负责指挥小区内部运输交通运输和接入，在项目施工出入口前后应设置</w:t>
            </w:r>
            <w:r>
              <w:rPr>
                <w:rFonts w:hint="eastAsia" w:cs="Times New Roman"/>
                <w:color w:val="auto"/>
                <w:sz w:val="24"/>
                <w:szCs w:val="22"/>
                <w:lang w:eastAsia="zh-CN"/>
              </w:rPr>
              <w:t>标识牌</w:t>
            </w:r>
            <w:r>
              <w:rPr>
                <w:rFonts w:hint="default" w:ascii="Times New Roman" w:hAnsi="Times New Roman" w:cs="Times New Roman"/>
                <w:color w:val="auto"/>
                <w:sz w:val="24"/>
                <w:szCs w:val="22"/>
              </w:rPr>
              <w:t>，施工场地车辆出入地点应尽量远离敏感点，经过敏感地段必须限速、禁鸣。</w:t>
            </w:r>
          </w:p>
          <w:p w14:paraId="277DFCA4">
            <w:pPr>
              <w:pStyle w:val="138"/>
              <w:adjustRightInd w:val="0"/>
              <w:snapToGrid w:val="0"/>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经采取以上措施处理后，类比其他施工工地取得的降噪效果，项目噪声声源强度可降低20~30dB（A）左右，通过距离衰减后，对周边声环境影响较小，这些影响在施工期结束后消失。</w:t>
            </w:r>
          </w:p>
          <w:p w14:paraId="2B47BB5E">
            <w:pPr>
              <w:pStyle w:val="138"/>
              <w:ind w:firstLine="0" w:firstLineChars="0"/>
              <w:outlineLvl w:val="2"/>
              <w:rPr>
                <w:rFonts w:hint="default" w:ascii="Times New Roman" w:hAnsi="Times New Roman" w:eastAsia="宋体" w:cs="Times New Roman"/>
                <w:b/>
                <w:bCs/>
                <w:color w:val="auto"/>
                <w:spacing w:val="-10"/>
                <w:sz w:val="28"/>
                <w:szCs w:val="28"/>
              </w:rPr>
            </w:pPr>
            <w:r>
              <w:rPr>
                <w:rFonts w:hint="default" w:ascii="Times New Roman" w:hAnsi="Times New Roman" w:eastAsia="宋体" w:cs="Times New Roman"/>
                <w:b/>
                <w:bCs/>
                <w:color w:val="auto"/>
                <w:spacing w:val="-10"/>
                <w:sz w:val="28"/>
                <w:szCs w:val="28"/>
              </w:rPr>
              <w:t>4.1.4施工期固体废物污染防治措施</w:t>
            </w:r>
          </w:p>
          <w:p w14:paraId="5C501732">
            <w:pPr>
              <w:widowControl/>
              <w:spacing w:line="360" w:lineRule="auto"/>
              <w:ind w:firstLine="480" w:firstLineChars="200"/>
              <w:jc w:val="left"/>
              <w:rPr>
                <w:rFonts w:hint="default" w:ascii="Times New Roman" w:hAnsi="Times New Roman" w:cs="Times New Roman"/>
                <w:color w:val="auto"/>
                <w:sz w:val="24"/>
                <w:szCs w:val="22"/>
              </w:rPr>
            </w:pPr>
            <w:r>
              <w:rPr>
                <w:rFonts w:hint="default" w:ascii="Times New Roman" w:hAnsi="Times New Roman" w:cs="Times New Roman"/>
                <w:color w:val="auto"/>
                <w:sz w:val="24"/>
                <w:szCs w:val="22"/>
              </w:rPr>
              <w:t>施工期产生的固体废物主要为建筑垃圾、废弃土方以及施工人员产生的生活垃圾。</w:t>
            </w:r>
          </w:p>
          <w:p w14:paraId="5A7A423A">
            <w:pPr>
              <w:widowControl/>
              <w:spacing w:line="360" w:lineRule="auto"/>
              <w:ind w:firstLine="480" w:firstLineChars="200"/>
              <w:jc w:val="left"/>
              <w:rPr>
                <w:rFonts w:hint="default" w:ascii="Times New Roman" w:hAnsi="Times New Roman" w:cs="Times New Roman"/>
                <w:color w:val="auto"/>
                <w:sz w:val="24"/>
                <w:szCs w:val="22"/>
              </w:rPr>
            </w:pPr>
            <w:r>
              <w:rPr>
                <w:rFonts w:hint="default" w:ascii="Times New Roman" w:hAnsi="Times New Roman" w:cs="Times New Roman"/>
                <w:color w:val="auto"/>
                <w:sz w:val="24"/>
                <w:szCs w:val="22"/>
              </w:rPr>
              <w:t>（1）施工期的建筑垃圾如剩余的或硬结的水泥、石灰、</w:t>
            </w:r>
            <w:r>
              <w:rPr>
                <w:rFonts w:hint="eastAsia" w:cs="Times New Roman"/>
                <w:color w:val="auto"/>
                <w:sz w:val="24"/>
                <w:szCs w:val="22"/>
                <w:lang w:eastAsia="zh-CN"/>
              </w:rPr>
              <w:t>砂石</w:t>
            </w:r>
            <w:r>
              <w:rPr>
                <w:rFonts w:hint="default" w:ascii="Times New Roman" w:hAnsi="Times New Roman" w:cs="Times New Roman"/>
                <w:color w:val="auto"/>
                <w:sz w:val="24"/>
                <w:szCs w:val="22"/>
              </w:rPr>
              <w:t>、砖瓦等粉状废料会随风飘入大气成为扬尘，造成二次污染。应对施工期固体废物分类堆存，按环保及城建部门的要求运往指定地点集中处置。</w:t>
            </w:r>
          </w:p>
          <w:p w14:paraId="12C39678">
            <w:pPr>
              <w:widowControl/>
              <w:spacing w:line="360" w:lineRule="auto"/>
              <w:ind w:firstLine="480" w:firstLineChars="200"/>
              <w:jc w:val="left"/>
              <w:rPr>
                <w:rFonts w:hint="default" w:ascii="Times New Roman" w:hAnsi="Times New Roman" w:cs="Times New Roman"/>
                <w:color w:val="auto"/>
                <w:sz w:val="24"/>
                <w:szCs w:val="22"/>
              </w:rPr>
            </w:pPr>
            <w:r>
              <w:rPr>
                <w:rFonts w:hint="default" w:ascii="Times New Roman" w:hAnsi="Times New Roman" w:cs="Times New Roman"/>
                <w:color w:val="auto"/>
                <w:sz w:val="24"/>
                <w:szCs w:val="22"/>
              </w:rPr>
              <w:t>（2）项目施工挖掘以及施工过</w:t>
            </w:r>
            <w:r>
              <w:rPr>
                <w:rFonts w:hint="eastAsia" w:cs="Times New Roman"/>
                <w:color w:val="auto"/>
                <w:sz w:val="24"/>
                <w:szCs w:val="22"/>
                <w:lang w:eastAsia="zh-CN"/>
              </w:rPr>
              <w:t>程中</w:t>
            </w:r>
            <w:r>
              <w:rPr>
                <w:rFonts w:hint="default" w:ascii="Times New Roman" w:hAnsi="Times New Roman" w:cs="Times New Roman"/>
                <w:color w:val="auto"/>
                <w:sz w:val="24"/>
                <w:szCs w:val="22"/>
              </w:rPr>
              <w:t>产生的土方，由施工单位或承建单位同市容局渣土办联系外运。在渣土运输过程中严格执行如下规定：</w:t>
            </w:r>
          </w:p>
          <w:p w14:paraId="0717CC18">
            <w:pPr>
              <w:widowControl/>
              <w:spacing w:line="360" w:lineRule="auto"/>
              <w:ind w:firstLine="480" w:firstLineChars="200"/>
              <w:jc w:val="left"/>
              <w:rPr>
                <w:rFonts w:hint="default" w:ascii="Times New Roman" w:hAnsi="Times New Roman" w:cs="Times New Roman"/>
                <w:color w:val="auto"/>
                <w:sz w:val="24"/>
                <w:szCs w:val="22"/>
              </w:rPr>
            </w:pPr>
            <w:r>
              <w:rPr>
                <w:rFonts w:hint="default" w:ascii="Times New Roman" w:hAnsi="Times New Roman" w:cs="Times New Roman"/>
                <w:color w:val="auto"/>
                <w:sz w:val="24"/>
                <w:szCs w:val="22"/>
              </w:rPr>
              <w:t>①对施工过程中产生的各类建筑垃圾应当及时清理，保持施工现场整洁；</w:t>
            </w:r>
          </w:p>
          <w:p w14:paraId="149E4147">
            <w:pPr>
              <w:widowControl/>
              <w:spacing w:line="360" w:lineRule="auto"/>
              <w:ind w:firstLine="480" w:firstLineChars="200"/>
              <w:jc w:val="left"/>
              <w:rPr>
                <w:rFonts w:hint="default" w:ascii="Times New Roman" w:hAnsi="Times New Roman" w:cs="Times New Roman"/>
                <w:color w:val="auto"/>
                <w:sz w:val="24"/>
                <w:szCs w:val="22"/>
              </w:rPr>
            </w:pPr>
            <w:r>
              <w:rPr>
                <w:rFonts w:hint="default" w:ascii="Times New Roman" w:hAnsi="Times New Roman" w:cs="Times New Roman"/>
                <w:color w:val="auto"/>
                <w:sz w:val="24"/>
                <w:szCs w:val="22"/>
              </w:rPr>
              <w:t>②工程施工现场出入口的道路应当硬化，配置相应的冲洗设施，车辆冲洗干净后，方可驶离工地；</w:t>
            </w:r>
          </w:p>
          <w:p w14:paraId="60CB3AFE">
            <w:pPr>
              <w:widowControl/>
              <w:spacing w:line="360" w:lineRule="auto"/>
              <w:ind w:firstLine="480" w:firstLineChars="200"/>
              <w:jc w:val="left"/>
              <w:rPr>
                <w:rFonts w:hint="default" w:ascii="Times New Roman" w:hAnsi="Times New Roman" w:cs="Times New Roman"/>
                <w:color w:val="auto"/>
                <w:sz w:val="24"/>
                <w:szCs w:val="22"/>
              </w:rPr>
            </w:pPr>
            <w:r>
              <w:rPr>
                <w:rFonts w:hint="default" w:ascii="Times New Roman" w:hAnsi="Times New Roman" w:cs="Times New Roman"/>
                <w:color w:val="auto"/>
                <w:sz w:val="24"/>
                <w:szCs w:val="22"/>
              </w:rPr>
              <w:t>③按照市容环境卫生行政主管部门核定的时间、路线、地点运输和倾倒建筑垃圾，禁止偷倒、乱倒；</w:t>
            </w:r>
          </w:p>
          <w:p w14:paraId="0DF05F20">
            <w:pPr>
              <w:widowControl/>
              <w:spacing w:line="360" w:lineRule="auto"/>
              <w:ind w:firstLine="480" w:firstLineChars="200"/>
              <w:jc w:val="left"/>
              <w:rPr>
                <w:rFonts w:hint="default" w:ascii="Times New Roman" w:hAnsi="Times New Roman" w:cs="Times New Roman"/>
                <w:color w:val="auto"/>
                <w:sz w:val="24"/>
                <w:szCs w:val="22"/>
              </w:rPr>
            </w:pPr>
            <w:r>
              <w:rPr>
                <w:rFonts w:hint="default" w:ascii="Times New Roman" w:hAnsi="Times New Roman" w:cs="Times New Roman"/>
                <w:color w:val="auto"/>
                <w:sz w:val="24"/>
                <w:szCs w:val="22"/>
              </w:rPr>
              <w:t>④建筑垃圾运输车辆应当采取密闭措施，不得超载运输，不得车轮带泥，不得遗撒、泄漏；</w:t>
            </w:r>
          </w:p>
          <w:p w14:paraId="44A89ABD">
            <w:pPr>
              <w:widowControl/>
              <w:spacing w:line="360" w:lineRule="auto"/>
              <w:ind w:firstLine="480" w:firstLineChars="200"/>
              <w:jc w:val="left"/>
              <w:rPr>
                <w:rFonts w:hint="default" w:ascii="Times New Roman" w:hAnsi="Times New Roman" w:cs="Times New Roman"/>
                <w:color w:val="auto"/>
                <w:sz w:val="24"/>
                <w:szCs w:val="22"/>
              </w:rPr>
            </w:pPr>
            <w:r>
              <w:rPr>
                <w:rFonts w:hint="default" w:ascii="Times New Roman" w:hAnsi="Times New Roman" w:cs="Times New Roman"/>
                <w:color w:val="auto"/>
                <w:sz w:val="24"/>
                <w:szCs w:val="22"/>
              </w:rPr>
              <w:t>⑤建筑垃圾运输作业时，建设单位应当督促运输单位在清运时间内组织人力、物力或委托专业市容环境卫生服务单位做好沿途的污染清理工作。</w:t>
            </w:r>
          </w:p>
          <w:p w14:paraId="0DA23AE5">
            <w:pPr>
              <w:widowControl/>
              <w:spacing w:line="360" w:lineRule="auto"/>
              <w:ind w:firstLine="480" w:firstLineChars="200"/>
              <w:jc w:val="left"/>
              <w:rPr>
                <w:rFonts w:hint="default" w:ascii="Times New Roman" w:hAnsi="Times New Roman" w:cs="Times New Roman"/>
                <w:color w:val="auto"/>
                <w:sz w:val="24"/>
                <w:szCs w:val="22"/>
              </w:rPr>
            </w:pPr>
            <w:r>
              <w:rPr>
                <w:rFonts w:hint="default" w:ascii="Times New Roman" w:hAnsi="Times New Roman" w:cs="Times New Roman"/>
                <w:color w:val="auto"/>
                <w:sz w:val="24"/>
                <w:szCs w:val="22"/>
              </w:rPr>
              <w:t>（3）生活垃圾集中堆存，由环卫部门定期运走并处置。</w:t>
            </w:r>
          </w:p>
          <w:p w14:paraId="059F4DAB">
            <w:pPr>
              <w:widowControl/>
              <w:spacing w:line="360" w:lineRule="auto"/>
              <w:ind w:firstLine="480" w:firstLineChars="200"/>
              <w:jc w:val="left"/>
              <w:rPr>
                <w:rFonts w:hint="default" w:ascii="Times New Roman" w:hAnsi="Times New Roman" w:cs="Times New Roman"/>
                <w:color w:val="auto"/>
                <w:sz w:val="24"/>
                <w:szCs w:val="22"/>
              </w:rPr>
            </w:pPr>
            <w:r>
              <w:rPr>
                <w:rFonts w:hint="default" w:ascii="Times New Roman" w:hAnsi="Times New Roman" w:cs="Times New Roman"/>
                <w:color w:val="auto"/>
                <w:sz w:val="24"/>
                <w:szCs w:val="22"/>
              </w:rPr>
              <w:t>（4）施工期固体废物应及时清理，严禁随意丢弃和堆放，避免风吹雨淋，在运输途中避免撒落。</w:t>
            </w:r>
          </w:p>
          <w:p w14:paraId="1017881A">
            <w:pPr>
              <w:pStyle w:val="138"/>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建设单位落实以上建议，可保证将固体废物对环境的影响降至最低，施工期固体废物采取上述措施后不会对环境造成二次污染。</w:t>
            </w:r>
          </w:p>
          <w:p w14:paraId="2FB65C60">
            <w:pPr>
              <w:pStyle w:val="138"/>
              <w:ind w:firstLine="0" w:firstLineChars="0"/>
              <w:outlineLvl w:val="2"/>
              <w:rPr>
                <w:rFonts w:hint="default" w:ascii="Times New Roman" w:hAnsi="Times New Roman" w:eastAsia="宋体" w:cs="Times New Roman"/>
                <w:b/>
                <w:bCs/>
                <w:color w:val="auto"/>
                <w:spacing w:val="-10"/>
                <w:sz w:val="28"/>
                <w:szCs w:val="28"/>
              </w:rPr>
            </w:pPr>
            <w:r>
              <w:rPr>
                <w:rFonts w:hint="eastAsia" w:ascii="Times New Roman" w:hAnsi="Times New Roman" w:cs="Times New Roman"/>
                <w:b/>
                <w:bCs/>
                <w:color w:val="auto"/>
                <w:spacing w:val="-10"/>
                <w:sz w:val="28"/>
                <w:szCs w:val="28"/>
                <w:lang w:val="en-US" w:eastAsia="zh-CN"/>
              </w:rPr>
              <w:t>4.1.</w:t>
            </w:r>
            <w:r>
              <w:rPr>
                <w:rFonts w:hint="default" w:ascii="Times New Roman" w:hAnsi="Times New Roman" w:eastAsia="宋体" w:cs="Times New Roman"/>
                <w:b/>
                <w:bCs/>
                <w:color w:val="auto"/>
                <w:spacing w:val="-10"/>
                <w:sz w:val="28"/>
                <w:szCs w:val="28"/>
              </w:rPr>
              <w:t>5、水土流失影响分析</w:t>
            </w:r>
          </w:p>
          <w:p w14:paraId="293FF197">
            <w:pPr>
              <w:widowControl/>
              <w:spacing w:line="360" w:lineRule="auto"/>
              <w:ind w:firstLine="480" w:firstLineChars="200"/>
              <w:jc w:val="left"/>
              <w:rPr>
                <w:rFonts w:hint="default" w:ascii="Times New Roman" w:hAnsi="Times New Roman" w:cs="Times New Roman"/>
                <w:color w:val="auto"/>
                <w:sz w:val="24"/>
                <w:szCs w:val="22"/>
              </w:rPr>
            </w:pPr>
            <w:r>
              <w:rPr>
                <w:rFonts w:hint="default" w:ascii="Times New Roman" w:hAnsi="Times New Roman" w:cs="Times New Roman"/>
                <w:color w:val="auto"/>
                <w:sz w:val="24"/>
                <w:szCs w:val="22"/>
              </w:rPr>
              <w:t>随着施工场地开挖、填方、平整，原有的表土层受到破坏，土壤松动，或者施工过程中由于挖方及填方过程中形成的土堆不能及时清理，遇到较大降雨冲刷，易发生水土流失。因此，建设单</w:t>
            </w:r>
            <w:r>
              <w:rPr>
                <w:rFonts w:hint="eastAsia" w:cs="Times New Roman"/>
                <w:color w:val="auto"/>
                <w:sz w:val="24"/>
                <w:szCs w:val="22"/>
                <w:lang w:eastAsia="zh-CN"/>
              </w:rPr>
              <w:t>位在</w:t>
            </w:r>
            <w:r>
              <w:rPr>
                <w:rFonts w:hint="default" w:ascii="Times New Roman" w:hAnsi="Times New Roman" w:cs="Times New Roman"/>
                <w:color w:val="auto"/>
                <w:sz w:val="24"/>
                <w:szCs w:val="22"/>
              </w:rPr>
              <w:t>施工过程中，应加强施工管理、合理安排施工进度，避免暴雨时发生小面积的水土流失。</w:t>
            </w:r>
          </w:p>
          <w:p w14:paraId="0868243F">
            <w:pPr>
              <w:widowControl/>
              <w:spacing w:line="360" w:lineRule="auto"/>
              <w:ind w:firstLine="480" w:firstLineChars="200"/>
              <w:jc w:val="left"/>
              <w:rPr>
                <w:rFonts w:hint="default" w:ascii="Times New Roman" w:hAnsi="Times New Roman" w:cs="Times New Roman"/>
                <w:color w:val="auto"/>
                <w:sz w:val="24"/>
                <w:szCs w:val="22"/>
              </w:rPr>
            </w:pPr>
            <w:r>
              <w:rPr>
                <w:rFonts w:hint="default" w:ascii="Times New Roman" w:hAnsi="Times New Roman" w:cs="Times New Roman"/>
                <w:color w:val="auto"/>
                <w:sz w:val="24"/>
                <w:szCs w:val="22"/>
              </w:rPr>
              <w:t>为减少项目施工期对周边生态环境的影响，建议采取以下措施：</w:t>
            </w:r>
          </w:p>
          <w:p w14:paraId="39902FF0">
            <w:pPr>
              <w:widowControl/>
              <w:spacing w:line="360" w:lineRule="auto"/>
              <w:ind w:firstLine="480" w:firstLineChars="200"/>
              <w:jc w:val="left"/>
              <w:rPr>
                <w:rFonts w:hint="default" w:ascii="Times New Roman" w:hAnsi="Times New Roman" w:cs="Times New Roman"/>
                <w:color w:val="auto"/>
                <w:sz w:val="24"/>
                <w:szCs w:val="22"/>
              </w:rPr>
            </w:pPr>
            <w:r>
              <w:rPr>
                <w:rFonts w:hint="default" w:ascii="Times New Roman" w:hAnsi="Times New Roman" w:cs="Times New Roman"/>
                <w:color w:val="auto"/>
                <w:sz w:val="24"/>
                <w:szCs w:val="22"/>
              </w:rPr>
              <w:t>①合理安排挖填方，合理安排各工区的挖填施工工序，在施工过程中对土方调配平衡坚持前期、后期紧密结合，杜绝重复挖填，提高回填土堆放点使用效率；各施工区域临时占地区域挖方首先用于回填。</w:t>
            </w:r>
          </w:p>
          <w:p w14:paraId="59083FD8">
            <w:pPr>
              <w:widowControl/>
              <w:spacing w:line="360" w:lineRule="auto"/>
              <w:ind w:firstLine="480" w:firstLineChars="200"/>
              <w:jc w:val="left"/>
              <w:rPr>
                <w:rFonts w:hint="default" w:ascii="Times New Roman" w:hAnsi="Times New Roman" w:cs="Times New Roman"/>
                <w:color w:val="auto"/>
                <w:sz w:val="24"/>
                <w:szCs w:val="22"/>
              </w:rPr>
            </w:pPr>
            <w:r>
              <w:rPr>
                <w:rFonts w:hint="default" w:ascii="Times New Roman" w:hAnsi="Times New Roman" w:cs="Times New Roman"/>
                <w:color w:val="auto"/>
                <w:sz w:val="24"/>
                <w:szCs w:val="22"/>
              </w:rPr>
              <w:t>②建设排水沟和沉</w:t>
            </w:r>
            <w:r>
              <w:rPr>
                <w:rFonts w:hint="eastAsia" w:cs="Times New Roman"/>
                <w:color w:val="auto"/>
                <w:sz w:val="24"/>
                <w:szCs w:val="22"/>
                <w:lang w:eastAsia="zh-CN"/>
              </w:rPr>
              <w:t>沙</w:t>
            </w:r>
            <w:r>
              <w:rPr>
                <w:rFonts w:hint="default" w:ascii="Times New Roman" w:hAnsi="Times New Roman" w:cs="Times New Roman"/>
                <w:color w:val="auto"/>
                <w:sz w:val="24"/>
                <w:szCs w:val="22"/>
              </w:rPr>
              <w:t>措施，在项目用地四周以及区内建设排水沟、设置临时围挡，防止暴雨季节水土流失携带大量泥沙进入项目附近内河水体；同步建设沉沙池，经处理后的水用于场地洒水抑尘，不排放。</w:t>
            </w:r>
          </w:p>
          <w:p w14:paraId="4F2A4831">
            <w:pPr>
              <w:widowControl/>
              <w:spacing w:line="360" w:lineRule="auto"/>
              <w:ind w:firstLine="480" w:firstLineChars="200"/>
              <w:jc w:val="left"/>
              <w:rPr>
                <w:rFonts w:hint="default" w:ascii="Times New Roman" w:hAnsi="Times New Roman" w:cs="Times New Roman"/>
                <w:color w:val="auto"/>
                <w:sz w:val="24"/>
                <w:szCs w:val="22"/>
              </w:rPr>
            </w:pPr>
            <w:r>
              <w:rPr>
                <w:rFonts w:hint="default" w:ascii="Times New Roman" w:hAnsi="Times New Roman" w:cs="Times New Roman"/>
                <w:color w:val="auto"/>
                <w:sz w:val="24"/>
                <w:szCs w:val="22"/>
              </w:rPr>
              <w:t>③施工材料堆放场的防护，一方面考虑施工前做好建筑材料场区域内的临时排水系统的建设，另一方面注意预先做好施工材料、废料堆放场所的防护。</w:t>
            </w:r>
          </w:p>
          <w:p w14:paraId="53AC3D92">
            <w:pPr>
              <w:widowControl/>
              <w:spacing w:line="360" w:lineRule="auto"/>
              <w:ind w:firstLine="480" w:firstLineChars="20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2"/>
              </w:rPr>
              <w:t>④要将水土保持重点治理和面上防护相结合，工程措施与植物措施相结合，以工程措施为先导，发挥工程措施的速效性和保障作用，植物措施为水保</w:t>
            </w:r>
            <w:r>
              <w:rPr>
                <w:rFonts w:hint="default" w:ascii="Times New Roman" w:hAnsi="Times New Roman" w:cs="Times New Roman"/>
                <w:color w:val="auto"/>
                <w:sz w:val="24"/>
                <w:szCs w:val="24"/>
              </w:rPr>
              <w:t>辅助措施，起到长期稳定的水土保持作用，同时绿化和美化项目区周围环境。</w:t>
            </w:r>
          </w:p>
          <w:p w14:paraId="282050E5">
            <w:pPr>
              <w:pStyle w:val="138"/>
              <w:adjustRightInd w:val="0"/>
              <w:snapToGrid w:val="0"/>
              <w:ind w:firstLine="48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项目施工期造成的水土流失主要在于基础设施建设、植被还未恢复时由于施工和土方的堆放引起的。随着时间的推移，项目生态防护设施及绿化建设等的完成，校区内的植被将逐渐恢复和成长，校区内的生态环境质量也将逐步得到改善和提高。</w:t>
            </w:r>
          </w:p>
          <w:p w14:paraId="23942C3B">
            <w:pPr>
              <w:widowControl/>
              <w:spacing w:line="360" w:lineRule="auto"/>
              <w:ind w:firstLine="480" w:firstLineChars="200"/>
              <w:rPr>
                <w:rFonts w:hint="eastAsia" w:ascii="宋体" w:hAnsi="宋体" w:cs="宋体"/>
                <w:bCs/>
                <w:color w:val="auto"/>
                <w:spacing w:val="-10"/>
                <w:szCs w:val="21"/>
              </w:rPr>
            </w:pPr>
            <w:r>
              <w:rPr>
                <w:rFonts w:hint="default" w:ascii="Times New Roman" w:hAnsi="Times New Roman" w:eastAsia="宋体" w:cs="Times New Roman"/>
                <w:color w:val="auto"/>
                <w:sz w:val="24"/>
                <w:szCs w:val="24"/>
              </w:rPr>
              <w:t>综上所述，项目施工对生态系统影响范围小、时间短，并在采取相应措施后，生态环境将会得到有效改善，是自然生态系统可承受的</w:t>
            </w:r>
            <w:bookmarkEnd w:id="18"/>
            <w:bookmarkEnd w:id="19"/>
            <w:bookmarkEnd w:id="20"/>
            <w:bookmarkEnd w:id="21"/>
            <w:bookmarkEnd w:id="22"/>
            <w:bookmarkEnd w:id="23"/>
            <w:r>
              <w:rPr>
                <w:rFonts w:hint="default" w:ascii="Times New Roman" w:hAnsi="Times New Roman" w:eastAsia="宋体" w:cs="Times New Roman"/>
                <w:color w:val="auto"/>
                <w:sz w:val="24"/>
                <w:szCs w:val="24"/>
              </w:rPr>
              <w:t>。</w:t>
            </w:r>
          </w:p>
        </w:tc>
      </w:tr>
      <w:tr w14:paraId="6D3110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48" w:hRule="atLeast"/>
          <w:jc w:val="center"/>
        </w:trPr>
        <w:tc>
          <w:tcPr>
            <w:tcW w:w="667" w:type="dxa"/>
            <w:tcMar>
              <w:left w:w="28" w:type="dxa"/>
              <w:right w:w="28" w:type="dxa"/>
            </w:tcMar>
            <w:vAlign w:val="center"/>
          </w:tcPr>
          <w:p w14:paraId="7AF580DC">
            <w:pPr>
              <w:adjustRightInd w:val="0"/>
              <w:snapToGrid w:val="0"/>
              <w:jc w:val="center"/>
              <w:rPr>
                <w:rFonts w:hint="eastAsia" w:ascii="宋体" w:hAnsi="宋体" w:cs="宋体"/>
                <w:bCs/>
                <w:color w:val="auto"/>
                <w:sz w:val="24"/>
              </w:rPr>
            </w:pPr>
            <w:r>
              <w:rPr>
                <w:rFonts w:hint="eastAsia" w:ascii="宋体" w:hAnsi="宋体" w:cs="宋体"/>
                <w:bCs/>
                <w:color w:val="auto"/>
                <w:sz w:val="24"/>
              </w:rPr>
              <w:t>运营</w:t>
            </w:r>
          </w:p>
          <w:p w14:paraId="07D146D3">
            <w:pPr>
              <w:adjustRightInd w:val="0"/>
              <w:snapToGrid w:val="0"/>
              <w:jc w:val="center"/>
              <w:rPr>
                <w:rFonts w:hint="eastAsia" w:ascii="宋体" w:hAnsi="宋体" w:cs="宋体"/>
                <w:bCs/>
                <w:color w:val="auto"/>
                <w:sz w:val="24"/>
              </w:rPr>
            </w:pPr>
            <w:r>
              <w:rPr>
                <w:rFonts w:hint="eastAsia" w:ascii="宋体" w:hAnsi="宋体" w:cs="宋体"/>
                <w:bCs/>
                <w:color w:val="auto"/>
                <w:sz w:val="24"/>
              </w:rPr>
              <w:t>期环</w:t>
            </w:r>
          </w:p>
          <w:p w14:paraId="7ADF5B92">
            <w:pPr>
              <w:adjustRightInd w:val="0"/>
              <w:snapToGrid w:val="0"/>
              <w:jc w:val="center"/>
              <w:rPr>
                <w:rFonts w:hint="eastAsia" w:ascii="宋体" w:hAnsi="宋体" w:cs="宋体"/>
                <w:bCs/>
                <w:color w:val="auto"/>
                <w:sz w:val="24"/>
              </w:rPr>
            </w:pPr>
            <w:r>
              <w:rPr>
                <w:rFonts w:hint="eastAsia" w:ascii="宋体" w:hAnsi="宋体" w:cs="宋体"/>
                <w:bCs/>
                <w:color w:val="auto"/>
                <w:sz w:val="24"/>
              </w:rPr>
              <w:t>境影</w:t>
            </w:r>
          </w:p>
          <w:p w14:paraId="513B78DB">
            <w:pPr>
              <w:adjustRightInd w:val="0"/>
              <w:snapToGrid w:val="0"/>
              <w:jc w:val="center"/>
              <w:rPr>
                <w:rFonts w:hint="eastAsia" w:ascii="宋体" w:hAnsi="宋体" w:cs="宋体"/>
                <w:bCs/>
                <w:color w:val="auto"/>
                <w:sz w:val="24"/>
              </w:rPr>
            </w:pPr>
            <w:r>
              <w:rPr>
                <w:rFonts w:hint="eastAsia" w:ascii="宋体" w:hAnsi="宋体" w:cs="宋体"/>
                <w:bCs/>
                <w:color w:val="auto"/>
                <w:sz w:val="24"/>
              </w:rPr>
              <w:t>响和</w:t>
            </w:r>
          </w:p>
          <w:p w14:paraId="235D5471">
            <w:pPr>
              <w:adjustRightInd w:val="0"/>
              <w:snapToGrid w:val="0"/>
              <w:jc w:val="center"/>
              <w:rPr>
                <w:rFonts w:hint="eastAsia" w:ascii="宋体" w:hAnsi="宋体" w:cs="宋体"/>
                <w:bCs/>
                <w:color w:val="auto"/>
                <w:sz w:val="24"/>
              </w:rPr>
            </w:pPr>
            <w:r>
              <w:rPr>
                <w:rFonts w:hint="eastAsia" w:ascii="宋体" w:hAnsi="宋体" w:cs="宋体"/>
                <w:bCs/>
                <w:color w:val="auto"/>
                <w:sz w:val="24"/>
              </w:rPr>
              <w:t>保护</w:t>
            </w:r>
          </w:p>
          <w:p w14:paraId="361EA80C">
            <w:pPr>
              <w:adjustRightInd w:val="0"/>
              <w:snapToGrid w:val="0"/>
              <w:jc w:val="center"/>
              <w:rPr>
                <w:rFonts w:hint="eastAsia" w:ascii="宋体" w:hAnsi="宋体" w:cs="宋体"/>
                <w:bCs/>
                <w:color w:val="auto"/>
                <w:sz w:val="24"/>
              </w:rPr>
            </w:pPr>
            <w:r>
              <w:rPr>
                <w:rFonts w:hint="eastAsia" w:ascii="宋体" w:hAnsi="宋体" w:cs="宋体"/>
                <w:bCs/>
                <w:color w:val="auto"/>
                <w:sz w:val="24"/>
              </w:rPr>
              <w:t>措施</w:t>
            </w:r>
          </w:p>
        </w:tc>
        <w:tc>
          <w:tcPr>
            <w:tcW w:w="8314" w:type="dxa"/>
            <w:vAlign w:val="center"/>
          </w:tcPr>
          <w:p w14:paraId="29E4D1A6">
            <w:pPr>
              <w:pStyle w:val="4"/>
              <w:ind w:firstLine="12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4.</w:t>
            </w:r>
            <w:r>
              <w:rPr>
                <w:rFonts w:hint="eastAsia" w:ascii="Times New Roman" w:hAnsi="Times New Roman" w:cs="Times New Roman"/>
                <w:color w:val="auto"/>
                <w:sz w:val="24"/>
                <w:szCs w:val="24"/>
                <w:highlight w:val="none"/>
                <w:lang w:val="en-US" w:eastAsia="zh-CN"/>
              </w:rPr>
              <w:t>2</w:t>
            </w:r>
            <w:r>
              <w:rPr>
                <w:rFonts w:hint="eastAsia" w:ascii="Times New Roman" w:hAnsi="Times New Roman" w:cs="Times New Roman"/>
                <w:color w:val="auto"/>
                <w:sz w:val="24"/>
                <w:szCs w:val="24"/>
                <w:highlight w:val="none"/>
                <w:lang w:eastAsia="zh-CN"/>
              </w:rPr>
              <w:t>运营</w:t>
            </w:r>
            <w:r>
              <w:rPr>
                <w:rFonts w:hint="default" w:ascii="Times New Roman" w:hAnsi="Times New Roman" w:cs="Times New Roman"/>
                <w:color w:val="auto"/>
                <w:sz w:val="24"/>
                <w:szCs w:val="24"/>
                <w:highlight w:val="none"/>
              </w:rPr>
              <w:t>期环境影响分析和污染防治措施</w:t>
            </w:r>
          </w:p>
          <w:p w14:paraId="1D1D3CF6">
            <w:pPr>
              <w:pStyle w:val="4"/>
              <w:ind w:firstLine="120"/>
              <w:rPr>
                <w:rFonts w:hint="default"/>
                <w:color w:val="auto"/>
              </w:rPr>
            </w:pPr>
            <w:r>
              <w:rPr>
                <w:color w:val="auto"/>
              </w:rPr>
              <w:t>4.2</w:t>
            </w:r>
            <w:r>
              <w:rPr>
                <w:rFonts w:hint="eastAsia"/>
                <w:color w:val="auto"/>
                <w:lang w:val="en-US" w:eastAsia="zh-CN"/>
              </w:rPr>
              <w:t>.1</w:t>
            </w:r>
            <w:r>
              <w:rPr>
                <w:color w:val="auto"/>
              </w:rPr>
              <w:t>运营期水环境影响分析和污染防治措施</w:t>
            </w:r>
          </w:p>
          <w:p w14:paraId="15EB2227">
            <w:pPr>
              <w:pStyle w:val="5"/>
              <w:ind w:firstLine="241"/>
              <w:rPr>
                <w:rFonts w:hint="default"/>
                <w:color w:val="auto"/>
              </w:rPr>
            </w:pPr>
            <w:r>
              <w:rPr>
                <w:color w:val="auto"/>
              </w:rPr>
              <w:t>4.2.1</w:t>
            </w:r>
            <w:r>
              <w:rPr>
                <w:rFonts w:hint="eastAsia"/>
                <w:color w:val="auto"/>
                <w:lang w:val="en-US" w:eastAsia="zh-CN"/>
              </w:rPr>
              <w:t>.1</w:t>
            </w:r>
            <w:r>
              <w:rPr>
                <w:color w:val="auto"/>
              </w:rPr>
              <w:t>运营期废水源强核算</w:t>
            </w:r>
          </w:p>
          <w:p w14:paraId="0488C409">
            <w:pPr>
              <w:keepNext w:val="0"/>
              <w:keepLines w:val="0"/>
              <w:pageBreakBefore w:val="0"/>
              <w:widowControl/>
              <w:suppressLineNumbers w:val="0"/>
              <w:kinsoku/>
              <w:wordWrap/>
              <w:overflowPunct/>
              <w:topLinePunct w:val="0"/>
              <w:bidi w:val="0"/>
              <w:snapToGrid/>
              <w:spacing w:line="360" w:lineRule="auto"/>
              <w:ind w:firstLine="480" w:firstLineChars="200"/>
              <w:jc w:val="both"/>
              <w:textAlignment w:val="auto"/>
              <w:rPr>
                <w:rFonts w:hint="eastAsia" w:cs="宋体"/>
                <w:bCs/>
                <w:color w:val="auto"/>
                <w:sz w:val="24"/>
                <w:lang w:eastAsia="zh-CN"/>
              </w:rPr>
            </w:pPr>
            <w:r>
              <w:rPr>
                <w:rFonts w:hint="eastAsia" w:cs="宋体"/>
                <w:bCs/>
                <w:color w:val="auto"/>
                <w:sz w:val="24"/>
                <w:lang w:eastAsia="zh-CN"/>
              </w:rPr>
              <w:t>拟建</w:t>
            </w:r>
            <w:r>
              <w:rPr>
                <w:rFonts w:hint="eastAsia" w:cs="Times New Roman"/>
                <w:color w:val="auto"/>
                <w:sz w:val="24"/>
                <w:highlight w:val="none"/>
                <w:lang w:val="en-US" w:eastAsia="zh-CN"/>
              </w:rPr>
              <w:t>项目脱脂除油槽中除油用水定期补充，并定期捞渣，不外排；</w:t>
            </w:r>
            <w:r>
              <w:rPr>
                <w:rFonts w:hint="eastAsia" w:cs="宋体"/>
                <w:bCs/>
                <w:color w:val="auto"/>
                <w:sz w:val="24"/>
                <w:lang w:eastAsia="zh-CN"/>
              </w:rPr>
              <w:t>脱脂清洗废水经厂区内污水处理设施处理后回用，不外排。项目外排废水主要为职工生活污水。</w:t>
            </w:r>
          </w:p>
          <w:p w14:paraId="1F5A52B8">
            <w:pPr>
              <w:keepNext w:val="0"/>
              <w:keepLines w:val="0"/>
              <w:pageBreakBefore w:val="0"/>
              <w:widowControl/>
              <w:suppressLineNumbers w:val="0"/>
              <w:kinsoku/>
              <w:wordWrap/>
              <w:overflowPunct/>
              <w:topLinePunct w:val="0"/>
              <w:bidi w:val="0"/>
              <w:snapToGrid/>
              <w:spacing w:line="360" w:lineRule="auto"/>
              <w:ind w:firstLine="480" w:firstLineChars="200"/>
              <w:jc w:val="both"/>
              <w:textAlignment w:val="auto"/>
              <w:rPr>
                <w:rFonts w:hint="default" w:ascii="Times New Roman" w:hAnsi="Times New Roman" w:cs="Times New Roman"/>
                <w:bCs/>
                <w:color w:val="auto"/>
                <w:sz w:val="24"/>
                <w:lang w:eastAsia="zh-CN"/>
              </w:rPr>
            </w:pPr>
            <w:r>
              <w:rPr>
                <w:rFonts w:hint="default" w:ascii="Times New Roman" w:hAnsi="Times New Roman" w:cs="Times New Roman"/>
                <w:bCs/>
                <w:color w:val="auto"/>
                <w:sz w:val="24"/>
                <w:lang w:eastAsia="zh-CN"/>
              </w:rPr>
              <w:t>①</w:t>
            </w:r>
            <w:r>
              <w:rPr>
                <w:rFonts w:hint="eastAsia" w:ascii="Times New Roman" w:hAnsi="Times New Roman" w:cs="Times New Roman"/>
                <w:bCs/>
                <w:color w:val="auto"/>
                <w:sz w:val="24"/>
                <w:lang w:eastAsia="zh-CN"/>
              </w:rPr>
              <w:t>生活污水</w:t>
            </w:r>
          </w:p>
          <w:p w14:paraId="6E187EAB">
            <w:pPr>
              <w:keepNext w:val="0"/>
              <w:keepLines w:val="0"/>
              <w:pageBreakBefore w:val="0"/>
              <w:widowControl/>
              <w:suppressLineNumbers w:val="0"/>
              <w:kinsoku/>
              <w:wordWrap/>
              <w:overflowPunct/>
              <w:topLinePunct w:val="0"/>
              <w:bidi w:val="0"/>
              <w:snapToGrid/>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bidi="ar"/>
              </w:rPr>
            </w:pPr>
            <w:r>
              <w:rPr>
                <w:rFonts w:hint="eastAsia" w:cs="宋体"/>
                <w:bCs/>
                <w:color w:val="auto"/>
                <w:sz w:val="24"/>
                <w:lang w:eastAsia="zh-CN"/>
              </w:rPr>
              <w:t>本项目外排</w:t>
            </w:r>
            <w:r>
              <w:rPr>
                <w:rFonts w:hint="eastAsia" w:cs="宋体"/>
                <w:bCs/>
                <w:color w:val="auto"/>
                <w:sz w:val="24"/>
              </w:rPr>
              <w:t>废水为职工生活污水</w:t>
            </w:r>
            <w:r>
              <w:rPr>
                <w:rFonts w:hint="eastAsia" w:cs="宋体"/>
                <w:bCs/>
                <w:color w:val="auto"/>
                <w:sz w:val="24"/>
                <w:lang w:eastAsia="zh-CN"/>
              </w:rPr>
              <w:t>。本次项目新增员工</w:t>
            </w:r>
            <w:r>
              <w:rPr>
                <w:rFonts w:hint="eastAsia" w:cs="宋体"/>
                <w:bCs/>
                <w:color w:val="auto"/>
                <w:sz w:val="24"/>
                <w:lang w:val="en-US" w:eastAsia="zh-CN"/>
              </w:rPr>
              <w:t>300人。根据水平衡分析，项目新增生活用水4500m</w:t>
            </w:r>
            <w:r>
              <w:rPr>
                <w:rFonts w:hint="eastAsia" w:cs="宋体"/>
                <w:bCs/>
                <w:color w:val="auto"/>
                <w:sz w:val="24"/>
                <w:vertAlign w:val="superscript"/>
                <w:lang w:val="en-US" w:eastAsia="zh-CN"/>
              </w:rPr>
              <w:t>3</w:t>
            </w:r>
            <w:r>
              <w:rPr>
                <w:rFonts w:hint="eastAsia" w:cs="宋体"/>
                <w:bCs/>
                <w:color w:val="auto"/>
                <w:sz w:val="24"/>
                <w:lang w:val="en-US" w:eastAsia="zh-CN"/>
              </w:rPr>
              <w:t>/a，新增生活污水排放量3600m</w:t>
            </w:r>
            <w:r>
              <w:rPr>
                <w:rFonts w:hint="eastAsia" w:cs="宋体"/>
                <w:bCs/>
                <w:color w:val="auto"/>
                <w:sz w:val="24"/>
                <w:vertAlign w:val="superscript"/>
                <w:lang w:val="en-US" w:eastAsia="zh-CN"/>
              </w:rPr>
              <w:t>3</w:t>
            </w:r>
            <w:r>
              <w:rPr>
                <w:rFonts w:hint="eastAsia" w:cs="宋体"/>
                <w:bCs/>
                <w:color w:val="auto"/>
                <w:sz w:val="24"/>
                <w:lang w:val="en-US" w:eastAsia="zh-CN"/>
              </w:rPr>
              <w:t>/a。</w:t>
            </w:r>
            <w:r>
              <w:rPr>
                <w:rStyle w:val="122"/>
                <w:rFonts w:hint="eastAsia"/>
                <w:b w:val="0"/>
                <w:bCs/>
                <w:color w:val="auto"/>
                <w:sz w:val="24"/>
                <w:szCs w:val="24"/>
                <w:highlight w:val="none"/>
              </w:rPr>
              <w:t>参照</w:t>
            </w:r>
            <w:r>
              <w:rPr>
                <w:rFonts w:hint="eastAsia" w:ascii="Times New Roman" w:hAnsi="Times New Roman" w:eastAsia="宋体" w:cs="Times New Roman"/>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给水排水设计手册</w:t>
            </w:r>
            <w:r>
              <w:rPr>
                <w:rFonts w:hint="eastAsia" w:ascii="Times New Roman" w:hAnsi="Times New Roman" w:eastAsia="宋体" w:cs="Times New Roman"/>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（第5册）中4.2城镇污水水质，生活污水中各主要污染物浓度COD：400mg/L，BOD</w:t>
            </w:r>
            <w:r>
              <w:rPr>
                <w:rFonts w:hint="default" w:ascii="Times New Roman" w:hAnsi="Times New Roman" w:eastAsia="宋体" w:cs="Times New Roman"/>
                <w:color w:val="auto"/>
                <w:kern w:val="0"/>
                <w:sz w:val="24"/>
                <w:szCs w:val="24"/>
                <w:vertAlign w:val="subscript"/>
                <w:lang w:val="en-US" w:eastAsia="zh-CN" w:bidi="ar"/>
              </w:rPr>
              <w:t>5</w:t>
            </w:r>
            <w:r>
              <w:rPr>
                <w:rFonts w:hint="eastAsia" w:cs="Times New Roman"/>
                <w:color w:val="auto"/>
                <w:kern w:val="0"/>
                <w:sz w:val="24"/>
                <w:szCs w:val="24"/>
                <w:vertAlign w:val="subscript"/>
                <w:lang w:val="en-US" w:eastAsia="zh-CN" w:bidi="ar"/>
              </w:rPr>
              <w:t>:</w:t>
            </w:r>
            <w:r>
              <w:rPr>
                <w:rFonts w:hint="default" w:ascii="Times New Roman" w:hAnsi="Times New Roman" w:eastAsia="宋体" w:cs="Times New Roman"/>
                <w:color w:val="auto"/>
                <w:kern w:val="0"/>
                <w:sz w:val="24"/>
                <w:szCs w:val="24"/>
                <w:lang w:val="en-US" w:eastAsia="zh-CN" w:bidi="ar"/>
              </w:rPr>
              <w:t>220mg/L，SS：200mg/L，NH</w:t>
            </w:r>
            <w:r>
              <w:rPr>
                <w:rFonts w:hint="default" w:ascii="Times New Roman" w:hAnsi="Times New Roman" w:eastAsia="宋体" w:cs="Times New Roman"/>
                <w:color w:val="auto"/>
                <w:kern w:val="0"/>
                <w:sz w:val="24"/>
                <w:szCs w:val="24"/>
                <w:vertAlign w:val="subscript"/>
                <w:lang w:val="en-US" w:eastAsia="zh-CN" w:bidi="ar"/>
              </w:rPr>
              <w:t>3</w:t>
            </w:r>
            <w:r>
              <w:rPr>
                <w:rFonts w:hint="default" w:ascii="Times New Roman" w:hAnsi="Times New Roman" w:eastAsia="宋体" w:cs="Times New Roman"/>
                <w:color w:val="auto"/>
                <w:kern w:val="0"/>
                <w:sz w:val="24"/>
                <w:szCs w:val="24"/>
                <w:lang w:val="en-US" w:eastAsia="zh-CN" w:bidi="ar"/>
              </w:rPr>
              <w:t>-N：35mg/L。</w:t>
            </w:r>
          </w:p>
          <w:p w14:paraId="38533A96">
            <w:pPr>
              <w:keepNext w:val="0"/>
              <w:keepLines w:val="0"/>
              <w:pageBreakBefore w:val="0"/>
              <w:widowControl/>
              <w:suppressLineNumbers w:val="0"/>
              <w:kinsoku/>
              <w:wordWrap/>
              <w:overflowPunct/>
              <w:topLinePunct w:val="0"/>
              <w:bidi w:val="0"/>
              <w:snapToGrid/>
              <w:spacing w:line="360" w:lineRule="auto"/>
              <w:ind w:firstLine="480" w:firstLineChars="200"/>
              <w:jc w:val="both"/>
              <w:textAlignment w:val="auto"/>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lang w:val="en-US" w:eastAsia="zh-CN" w:bidi="ar"/>
              </w:rPr>
              <w:t>本项</w:t>
            </w:r>
            <w:r>
              <w:rPr>
                <w:rFonts w:hint="default" w:ascii="Times New Roman" w:hAnsi="Times New Roman" w:eastAsia="宋体" w:cs="Times New Roman"/>
                <w:color w:val="auto"/>
                <w:kern w:val="0"/>
                <w:sz w:val="24"/>
                <w:szCs w:val="24"/>
                <w:highlight w:val="none"/>
                <w:lang w:val="en-US" w:eastAsia="zh-CN" w:bidi="ar"/>
              </w:rPr>
              <w:t>目生活污水拟经化粪池处理达到《污水综合排放标准》（GB8978-1996）表4中的三级标准后（其中氨氮参照执行《污水排入城镇下水道水质标准》（GB/T31962-2015）表1中B级标准限值）汇入市政污水管网，送往</w:t>
            </w:r>
            <w:r>
              <w:rPr>
                <w:rFonts w:hint="eastAsia"/>
                <w:color w:val="auto"/>
                <w:sz w:val="24"/>
                <w:highlight w:val="none"/>
                <w:lang w:eastAsia="zh-CN"/>
              </w:rPr>
              <w:t>竹岐乡污水处理厂</w:t>
            </w:r>
            <w:r>
              <w:rPr>
                <w:rFonts w:hint="default" w:ascii="Times New Roman" w:hAnsi="Times New Roman" w:eastAsia="宋体" w:cs="Times New Roman"/>
                <w:color w:val="auto"/>
                <w:kern w:val="0"/>
                <w:sz w:val="24"/>
                <w:szCs w:val="24"/>
                <w:highlight w:val="none"/>
                <w:lang w:val="en-US" w:eastAsia="zh-CN" w:bidi="ar"/>
              </w:rPr>
              <w:t>统一处理。</w:t>
            </w:r>
            <w:r>
              <w:rPr>
                <w:rFonts w:hint="eastAsia" w:ascii="Times New Roman" w:hAnsi="Times New Roman" w:eastAsia="宋体" w:cs="Times New Roman"/>
                <w:color w:val="auto"/>
                <w:kern w:val="0"/>
                <w:sz w:val="24"/>
                <w:szCs w:val="24"/>
                <w:highlight w:val="none"/>
                <w:lang w:val="en-US" w:eastAsia="zh-CN" w:bidi="ar"/>
              </w:rPr>
              <w:t>参照</w:t>
            </w:r>
            <w:r>
              <w:rPr>
                <w:rFonts w:hint="default" w:ascii="Times New Roman" w:hAnsi="Times New Roman" w:eastAsia="宋体" w:cs="Times New Roman"/>
                <w:color w:val="auto"/>
                <w:kern w:val="0"/>
                <w:sz w:val="24"/>
                <w:szCs w:val="24"/>
                <w:highlight w:val="none"/>
                <w:lang w:val="en-US" w:eastAsia="zh-CN" w:bidi="ar"/>
              </w:rPr>
              <w:t>《常用污水处理设备及去除率》，化粪池对生活污水的处理效率一般为COD：15%、BOD</w:t>
            </w:r>
            <w:r>
              <w:rPr>
                <w:rFonts w:hint="default" w:ascii="Times New Roman" w:hAnsi="Times New Roman" w:eastAsia="宋体" w:cs="Times New Roman"/>
                <w:color w:val="auto"/>
                <w:kern w:val="0"/>
                <w:sz w:val="24"/>
                <w:szCs w:val="24"/>
                <w:highlight w:val="none"/>
                <w:vertAlign w:val="subscript"/>
                <w:lang w:val="en-US" w:eastAsia="zh-CN" w:bidi="ar"/>
              </w:rPr>
              <w:t>5</w:t>
            </w:r>
            <w:r>
              <w:rPr>
                <w:rFonts w:hint="eastAsia" w:cs="Times New Roman"/>
                <w:color w:val="auto"/>
                <w:kern w:val="0"/>
                <w:sz w:val="24"/>
                <w:szCs w:val="24"/>
                <w:highlight w:val="none"/>
                <w:vertAlign w:val="subscript"/>
                <w:lang w:val="en-US" w:eastAsia="zh-CN" w:bidi="ar"/>
              </w:rPr>
              <w:t>:</w:t>
            </w:r>
            <w:r>
              <w:rPr>
                <w:rFonts w:hint="default" w:ascii="Times New Roman" w:hAnsi="Times New Roman" w:eastAsia="宋体" w:cs="Times New Roman"/>
                <w:color w:val="auto"/>
                <w:kern w:val="0"/>
                <w:sz w:val="24"/>
                <w:szCs w:val="24"/>
                <w:highlight w:val="none"/>
                <w:lang w:val="en-US" w:eastAsia="zh-CN" w:bidi="ar"/>
              </w:rPr>
              <w:t>9%、SS：30%、氨氮：3%，则</w:t>
            </w:r>
            <w:r>
              <w:rPr>
                <w:rFonts w:hint="eastAsia" w:cs="Times New Roman"/>
                <w:color w:val="auto"/>
                <w:kern w:val="0"/>
                <w:sz w:val="24"/>
                <w:szCs w:val="24"/>
                <w:highlight w:val="none"/>
                <w:lang w:val="en-US" w:eastAsia="zh-CN" w:bidi="ar"/>
              </w:rPr>
              <w:t>新增</w:t>
            </w:r>
            <w:r>
              <w:rPr>
                <w:rFonts w:hint="default" w:ascii="Times New Roman" w:hAnsi="Times New Roman" w:eastAsia="宋体" w:cs="Times New Roman"/>
                <w:color w:val="auto"/>
                <w:kern w:val="0"/>
                <w:sz w:val="24"/>
                <w:szCs w:val="24"/>
                <w:highlight w:val="none"/>
                <w:lang w:val="en-US" w:eastAsia="zh-CN" w:bidi="ar"/>
              </w:rPr>
              <w:t>生活污水中各污染物产生情况见表4.2-</w:t>
            </w:r>
            <w:r>
              <w:rPr>
                <w:rFonts w:hint="eastAsia" w:ascii="Times New Roman" w:hAnsi="Times New Roman" w:eastAsia="宋体" w:cs="Times New Roman"/>
                <w:color w:val="auto"/>
                <w:kern w:val="0"/>
                <w:sz w:val="24"/>
                <w:szCs w:val="24"/>
                <w:highlight w:val="none"/>
                <w:lang w:val="en-US" w:eastAsia="zh-CN" w:bidi="ar"/>
              </w:rPr>
              <w:t>1。</w:t>
            </w:r>
          </w:p>
          <w:p w14:paraId="67256A17">
            <w:pPr>
              <w:keepNext/>
              <w:keepLines/>
              <w:jc w:val="center"/>
              <w:outlineLvl w:val="1"/>
              <w:rPr>
                <w:rFonts w:hint="eastAsia"/>
                <w:b/>
                <w:color w:val="auto"/>
                <w:szCs w:val="21"/>
                <w:lang w:val="en-US" w:eastAsia="zh-CN"/>
              </w:rPr>
            </w:pPr>
            <w:r>
              <w:rPr>
                <w:rFonts w:hint="eastAsia"/>
                <w:b/>
                <w:color w:val="auto"/>
                <w:szCs w:val="21"/>
                <w:lang w:val="en-US" w:eastAsia="zh-CN"/>
              </w:rPr>
              <w:t>表4.2-1新增生活污水水质及各污染物排放源强情况表</w:t>
            </w:r>
          </w:p>
          <w:tbl>
            <w:tblPr>
              <w:tblStyle w:val="31"/>
              <w:tblW w:w="8128" w:type="dxa"/>
              <w:tblInd w:w="-73"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507"/>
              <w:gridCol w:w="2799"/>
              <w:gridCol w:w="940"/>
              <w:gridCol w:w="953"/>
              <w:gridCol w:w="861"/>
              <w:gridCol w:w="1068"/>
            </w:tblGrid>
            <w:tr w14:paraId="5606AD1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1507" w:type="dxa"/>
                  <w:vAlign w:val="center"/>
                </w:tcPr>
                <w:p w14:paraId="129F0CB8">
                  <w:pPr>
                    <w:pStyle w:val="120"/>
                    <w:adjustRightInd/>
                    <w:snapToGrid/>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废水量</w:t>
                  </w:r>
                </w:p>
              </w:tc>
              <w:tc>
                <w:tcPr>
                  <w:tcW w:w="2799" w:type="dxa"/>
                  <w:vAlign w:val="center"/>
                </w:tcPr>
                <w:p w14:paraId="45D93F5E">
                  <w:pPr>
                    <w:pStyle w:val="120"/>
                    <w:adjustRightInd/>
                    <w:snapToGrid/>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项目</w:t>
                  </w:r>
                </w:p>
              </w:tc>
              <w:tc>
                <w:tcPr>
                  <w:tcW w:w="940" w:type="dxa"/>
                  <w:vAlign w:val="center"/>
                </w:tcPr>
                <w:p w14:paraId="06CF221A">
                  <w:pPr>
                    <w:pStyle w:val="120"/>
                    <w:adjustRightInd/>
                    <w:snapToGrid/>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COD</w:t>
                  </w:r>
                </w:p>
              </w:tc>
              <w:tc>
                <w:tcPr>
                  <w:tcW w:w="953" w:type="dxa"/>
                  <w:vAlign w:val="center"/>
                </w:tcPr>
                <w:p w14:paraId="7F2B0324">
                  <w:pPr>
                    <w:pStyle w:val="120"/>
                    <w:adjustRightInd/>
                    <w:snapToGrid/>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BOD</w:t>
                  </w:r>
                  <w:r>
                    <w:rPr>
                      <w:rFonts w:hint="default" w:ascii="Times New Roman" w:hAnsi="Times New Roman" w:eastAsia="宋体" w:cs="Times New Roman"/>
                      <w:b/>
                      <w:bCs/>
                      <w:color w:val="auto"/>
                      <w:sz w:val="21"/>
                      <w:szCs w:val="21"/>
                      <w:highlight w:val="none"/>
                      <w:vertAlign w:val="subscript"/>
                      <w:lang w:val="en-US" w:eastAsia="zh-CN"/>
                    </w:rPr>
                    <w:t>5</w:t>
                  </w:r>
                </w:p>
              </w:tc>
              <w:tc>
                <w:tcPr>
                  <w:tcW w:w="861" w:type="dxa"/>
                  <w:vAlign w:val="center"/>
                </w:tcPr>
                <w:p w14:paraId="5E691A3F">
                  <w:pPr>
                    <w:pStyle w:val="120"/>
                    <w:adjustRightInd/>
                    <w:snapToGrid/>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SS</w:t>
                  </w:r>
                </w:p>
              </w:tc>
              <w:tc>
                <w:tcPr>
                  <w:tcW w:w="1068" w:type="dxa"/>
                  <w:vAlign w:val="center"/>
                </w:tcPr>
                <w:p w14:paraId="5A65D6B8">
                  <w:pPr>
                    <w:pStyle w:val="120"/>
                    <w:adjustRightInd/>
                    <w:snapToGrid/>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NH</w:t>
                  </w:r>
                  <w:r>
                    <w:rPr>
                      <w:rFonts w:hint="default" w:ascii="Times New Roman" w:hAnsi="Times New Roman" w:eastAsia="宋体" w:cs="Times New Roman"/>
                      <w:b/>
                      <w:bCs/>
                      <w:color w:val="auto"/>
                      <w:sz w:val="21"/>
                      <w:szCs w:val="21"/>
                      <w:highlight w:val="none"/>
                      <w:vertAlign w:val="subscript"/>
                      <w:lang w:val="en-US" w:eastAsia="zh-CN"/>
                    </w:rPr>
                    <w:t>3</w:t>
                  </w:r>
                  <w:r>
                    <w:rPr>
                      <w:rFonts w:hint="default" w:ascii="Times New Roman" w:hAnsi="Times New Roman" w:eastAsia="宋体" w:cs="Times New Roman"/>
                      <w:b/>
                      <w:bCs/>
                      <w:color w:val="auto"/>
                      <w:sz w:val="21"/>
                      <w:szCs w:val="21"/>
                      <w:highlight w:val="none"/>
                      <w:lang w:val="en-US" w:eastAsia="zh-CN"/>
                    </w:rPr>
                    <w:t>-N</w:t>
                  </w:r>
                </w:p>
              </w:tc>
            </w:tr>
            <w:tr w14:paraId="117D86B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1507" w:type="dxa"/>
                  <w:vMerge w:val="restart"/>
                  <w:vAlign w:val="center"/>
                </w:tcPr>
                <w:p w14:paraId="6952881F">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生活污水</w:t>
                  </w:r>
                  <w:r>
                    <w:rPr>
                      <w:rFonts w:hint="eastAsia" w:cs="Times New Roman"/>
                      <w:color w:val="auto"/>
                      <w:sz w:val="21"/>
                      <w:szCs w:val="21"/>
                      <w:highlight w:val="none"/>
                      <w:lang w:val="en-US" w:eastAsia="zh-CN"/>
                    </w:rPr>
                    <w:t>（3600</w:t>
                  </w:r>
                  <w:r>
                    <w:rPr>
                      <w:rFonts w:hint="eastAsia" w:cs="宋体"/>
                      <w:bCs/>
                      <w:color w:val="auto"/>
                      <w:sz w:val="24"/>
                      <w:lang w:val="en-US" w:eastAsia="zh-CN"/>
                    </w:rPr>
                    <w:t>m</w:t>
                  </w:r>
                  <w:r>
                    <w:rPr>
                      <w:rFonts w:hint="eastAsia" w:cs="宋体"/>
                      <w:bCs/>
                      <w:color w:val="auto"/>
                      <w:sz w:val="24"/>
                      <w:vertAlign w:val="superscript"/>
                      <w:lang w:val="en-US" w:eastAsia="zh-CN"/>
                    </w:rPr>
                    <w:t>3</w:t>
                  </w:r>
                  <w:r>
                    <w:rPr>
                      <w:rFonts w:hint="eastAsia" w:cs="Times New Roman"/>
                      <w:color w:val="auto"/>
                      <w:sz w:val="21"/>
                      <w:szCs w:val="21"/>
                      <w:highlight w:val="none"/>
                      <w:lang w:val="en-US" w:eastAsia="zh-CN"/>
                    </w:rPr>
                    <w:t>/a）</w:t>
                  </w:r>
                </w:p>
              </w:tc>
              <w:tc>
                <w:tcPr>
                  <w:tcW w:w="2799" w:type="dxa"/>
                  <w:vAlign w:val="center"/>
                </w:tcPr>
                <w:p w14:paraId="40EFBAF0">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污染物产生水质</w:t>
                  </w:r>
                  <w:r>
                    <w:rPr>
                      <w:rFonts w:hint="eastAsia"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mg/L</w:t>
                  </w:r>
                  <w:r>
                    <w:rPr>
                      <w:rFonts w:hint="eastAsia" w:cs="Times New Roman"/>
                      <w:color w:val="auto"/>
                      <w:sz w:val="21"/>
                      <w:szCs w:val="21"/>
                      <w:highlight w:val="none"/>
                      <w:lang w:val="en-US" w:eastAsia="zh-CN"/>
                    </w:rPr>
                    <w:t>）</w:t>
                  </w:r>
                </w:p>
              </w:tc>
              <w:tc>
                <w:tcPr>
                  <w:tcW w:w="940" w:type="dxa"/>
                  <w:shd w:val="clear" w:color="auto" w:fill="auto"/>
                  <w:vAlign w:val="center"/>
                </w:tcPr>
                <w:p w14:paraId="5BE9A4B8">
                  <w:pPr>
                    <w:pStyle w:val="120"/>
                    <w:adjustRightInd/>
                    <w:snapToGrid/>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400</w:t>
                  </w:r>
                </w:p>
              </w:tc>
              <w:tc>
                <w:tcPr>
                  <w:tcW w:w="953" w:type="dxa"/>
                  <w:shd w:val="clear" w:color="auto" w:fill="auto"/>
                  <w:vAlign w:val="center"/>
                </w:tcPr>
                <w:p w14:paraId="3BF6773D">
                  <w:pPr>
                    <w:pStyle w:val="120"/>
                    <w:adjustRightInd/>
                    <w:snapToGrid/>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220</w:t>
                  </w:r>
                </w:p>
              </w:tc>
              <w:tc>
                <w:tcPr>
                  <w:tcW w:w="861" w:type="dxa"/>
                  <w:shd w:val="clear" w:color="auto" w:fill="auto"/>
                  <w:vAlign w:val="center"/>
                </w:tcPr>
                <w:p w14:paraId="2576EE1F">
                  <w:pPr>
                    <w:pStyle w:val="120"/>
                    <w:adjustRightInd/>
                    <w:snapToGrid/>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200</w:t>
                  </w:r>
                </w:p>
              </w:tc>
              <w:tc>
                <w:tcPr>
                  <w:tcW w:w="1068" w:type="dxa"/>
                  <w:shd w:val="clear" w:color="auto" w:fill="auto"/>
                  <w:vAlign w:val="center"/>
                </w:tcPr>
                <w:p w14:paraId="6A34793F">
                  <w:pPr>
                    <w:pStyle w:val="120"/>
                    <w:adjustRightInd/>
                    <w:snapToGrid/>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35</w:t>
                  </w:r>
                </w:p>
              </w:tc>
            </w:tr>
            <w:tr w14:paraId="7C62C19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1507" w:type="dxa"/>
                  <w:vMerge w:val="continue"/>
                  <w:vAlign w:val="center"/>
                </w:tcPr>
                <w:p w14:paraId="19A4C7FC">
                  <w:pPr>
                    <w:pStyle w:val="120"/>
                    <w:adjustRightInd/>
                    <w:snapToGrid/>
                    <w:jc w:val="center"/>
                    <w:rPr>
                      <w:rFonts w:hint="default" w:ascii="Times New Roman" w:hAnsi="Times New Roman" w:eastAsia="宋体" w:cs="Times New Roman"/>
                      <w:color w:val="auto"/>
                      <w:sz w:val="21"/>
                      <w:szCs w:val="21"/>
                      <w:highlight w:val="none"/>
                      <w:lang w:val="en-US" w:eastAsia="zh-CN"/>
                    </w:rPr>
                  </w:pPr>
                </w:p>
              </w:tc>
              <w:tc>
                <w:tcPr>
                  <w:tcW w:w="2799" w:type="dxa"/>
                  <w:vAlign w:val="center"/>
                </w:tcPr>
                <w:p w14:paraId="61F28D23">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污染物产生量</w:t>
                  </w:r>
                  <w:r>
                    <w:rPr>
                      <w:rFonts w:hint="eastAsia"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t/a</w:t>
                  </w:r>
                  <w:r>
                    <w:rPr>
                      <w:rFonts w:hint="eastAsia" w:cs="Times New Roman"/>
                      <w:color w:val="auto"/>
                      <w:sz w:val="21"/>
                      <w:szCs w:val="21"/>
                      <w:highlight w:val="none"/>
                      <w:lang w:val="en-US" w:eastAsia="zh-CN"/>
                    </w:rPr>
                    <w:t>）</w:t>
                  </w:r>
                </w:p>
              </w:tc>
              <w:tc>
                <w:tcPr>
                  <w:tcW w:w="940" w:type="dxa"/>
                  <w:vAlign w:val="center"/>
                </w:tcPr>
                <w:p w14:paraId="6455DE98">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1.44</w:t>
                  </w:r>
                </w:p>
              </w:tc>
              <w:tc>
                <w:tcPr>
                  <w:tcW w:w="953" w:type="dxa"/>
                  <w:vAlign w:val="center"/>
                </w:tcPr>
                <w:p w14:paraId="1F52BDD7">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0.792</w:t>
                  </w:r>
                </w:p>
              </w:tc>
              <w:tc>
                <w:tcPr>
                  <w:tcW w:w="861" w:type="dxa"/>
                  <w:vAlign w:val="center"/>
                </w:tcPr>
                <w:p w14:paraId="4F10B738">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0.720</w:t>
                  </w:r>
                </w:p>
              </w:tc>
              <w:tc>
                <w:tcPr>
                  <w:tcW w:w="1068" w:type="dxa"/>
                  <w:vAlign w:val="center"/>
                </w:tcPr>
                <w:p w14:paraId="248617E0">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0.126</w:t>
                  </w:r>
                </w:p>
              </w:tc>
            </w:tr>
            <w:tr w14:paraId="7D83C43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1507" w:type="dxa"/>
                  <w:vAlign w:val="center"/>
                </w:tcPr>
                <w:p w14:paraId="4D7481D0">
                  <w:pPr>
                    <w:spacing w:line="340" w:lineRule="exact"/>
                    <w:ind w:firstLine="0" w:firstLineChars="0"/>
                    <w:jc w:val="center"/>
                    <w:rPr>
                      <w:rFonts w:hint="default" w:ascii="Times New Roman" w:hAnsi="Times New Roman" w:eastAsia="宋体" w:cs="Times New Roman"/>
                      <w:color w:val="auto"/>
                      <w:sz w:val="21"/>
                      <w:szCs w:val="21"/>
                      <w:highlight w:val="none"/>
                      <w:lang w:bidi="ar"/>
                    </w:rPr>
                  </w:pPr>
                  <w:r>
                    <w:rPr>
                      <w:rFonts w:hint="default" w:ascii="Times New Roman" w:hAnsi="Times New Roman" w:eastAsia="宋体" w:cs="Times New Roman"/>
                      <w:color w:val="auto"/>
                      <w:sz w:val="21"/>
                      <w:szCs w:val="21"/>
                      <w:highlight w:val="none"/>
                      <w:lang w:bidi="ar"/>
                    </w:rPr>
                    <w:t>处理措施</w:t>
                  </w:r>
                </w:p>
              </w:tc>
              <w:tc>
                <w:tcPr>
                  <w:tcW w:w="6621" w:type="dxa"/>
                  <w:gridSpan w:val="5"/>
                  <w:vAlign w:val="center"/>
                </w:tcPr>
                <w:p w14:paraId="3008F2B4">
                  <w:pPr>
                    <w:spacing w:line="340" w:lineRule="exact"/>
                    <w:ind w:firstLine="0" w:firstLineChars="0"/>
                    <w:jc w:val="center"/>
                    <w:rPr>
                      <w:rFonts w:hint="eastAsia" w:ascii="Times New Roman" w:hAnsi="Times New Roman" w:eastAsia="宋体" w:cs="Times New Roman"/>
                      <w:color w:val="auto"/>
                      <w:sz w:val="21"/>
                      <w:szCs w:val="21"/>
                      <w:highlight w:val="none"/>
                      <w:lang w:eastAsia="zh-CN" w:bidi="ar"/>
                    </w:rPr>
                  </w:pPr>
                  <w:r>
                    <w:rPr>
                      <w:rFonts w:hint="default" w:ascii="Times New Roman" w:hAnsi="Times New Roman" w:eastAsia="宋体" w:cs="Times New Roman"/>
                      <w:color w:val="auto"/>
                      <w:sz w:val="21"/>
                      <w:szCs w:val="21"/>
                      <w:highlight w:val="none"/>
                      <w:lang w:bidi="ar"/>
                    </w:rPr>
                    <w:t>经化粪池处理达标后排入市政污水管网，最终送往</w:t>
                  </w:r>
                  <w:r>
                    <w:rPr>
                      <w:rFonts w:hint="eastAsia"/>
                      <w:color w:val="auto"/>
                      <w:sz w:val="21"/>
                      <w:szCs w:val="21"/>
                      <w:highlight w:val="none"/>
                      <w:lang w:eastAsia="zh-CN"/>
                    </w:rPr>
                    <w:t>竹岐乡污水处理厂</w:t>
                  </w:r>
                </w:p>
              </w:tc>
            </w:tr>
            <w:tr w14:paraId="3C0E8BD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4306" w:type="dxa"/>
                  <w:gridSpan w:val="2"/>
                  <w:vAlign w:val="center"/>
                </w:tcPr>
                <w:p w14:paraId="6D3DC3F8">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去除效率（%）</w:t>
                  </w:r>
                </w:p>
              </w:tc>
              <w:tc>
                <w:tcPr>
                  <w:tcW w:w="940" w:type="dxa"/>
                  <w:vAlign w:val="center"/>
                </w:tcPr>
                <w:p w14:paraId="798096E0">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15%</w:t>
                  </w:r>
                </w:p>
              </w:tc>
              <w:tc>
                <w:tcPr>
                  <w:tcW w:w="953" w:type="dxa"/>
                  <w:vAlign w:val="center"/>
                </w:tcPr>
                <w:p w14:paraId="191417DE">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9%</w:t>
                  </w:r>
                </w:p>
              </w:tc>
              <w:tc>
                <w:tcPr>
                  <w:tcW w:w="861" w:type="dxa"/>
                  <w:vAlign w:val="center"/>
                </w:tcPr>
                <w:p w14:paraId="471174D0">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30%</w:t>
                  </w:r>
                </w:p>
              </w:tc>
              <w:tc>
                <w:tcPr>
                  <w:tcW w:w="1068" w:type="dxa"/>
                  <w:vAlign w:val="center"/>
                </w:tcPr>
                <w:p w14:paraId="4528E956">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p>
              </w:tc>
            </w:tr>
            <w:tr w14:paraId="055B4ED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4306" w:type="dxa"/>
                  <w:gridSpan w:val="2"/>
                  <w:vAlign w:val="center"/>
                </w:tcPr>
                <w:p w14:paraId="655A413B">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预测排放浓度（mg/L）</w:t>
                  </w:r>
                </w:p>
              </w:tc>
              <w:tc>
                <w:tcPr>
                  <w:tcW w:w="940" w:type="dxa"/>
                  <w:vAlign w:val="center"/>
                </w:tcPr>
                <w:p w14:paraId="0E4A38F8">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340</w:t>
                  </w:r>
                </w:p>
              </w:tc>
              <w:tc>
                <w:tcPr>
                  <w:tcW w:w="953" w:type="dxa"/>
                  <w:vAlign w:val="center"/>
                </w:tcPr>
                <w:p w14:paraId="245E4F0E">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200</w:t>
                  </w:r>
                </w:p>
              </w:tc>
              <w:tc>
                <w:tcPr>
                  <w:tcW w:w="861" w:type="dxa"/>
                  <w:vAlign w:val="center"/>
                </w:tcPr>
                <w:p w14:paraId="7DFEADCA">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140</w:t>
                  </w:r>
                </w:p>
              </w:tc>
              <w:tc>
                <w:tcPr>
                  <w:tcW w:w="1068" w:type="dxa"/>
                  <w:vAlign w:val="center"/>
                </w:tcPr>
                <w:p w14:paraId="1157CCE0">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34</w:t>
                  </w:r>
                </w:p>
              </w:tc>
            </w:tr>
            <w:tr w14:paraId="34F3A2D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4306" w:type="dxa"/>
                  <w:gridSpan w:val="2"/>
                  <w:vAlign w:val="center"/>
                </w:tcPr>
                <w:p w14:paraId="3749CD6C">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预测排放量（t/a）</w:t>
                  </w:r>
                </w:p>
              </w:tc>
              <w:tc>
                <w:tcPr>
                  <w:tcW w:w="940" w:type="dxa"/>
                  <w:vAlign w:val="center"/>
                </w:tcPr>
                <w:p w14:paraId="0C4B8FB7">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1.224</w:t>
                  </w:r>
                </w:p>
              </w:tc>
              <w:tc>
                <w:tcPr>
                  <w:tcW w:w="953" w:type="dxa"/>
                  <w:vAlign w:val="center"/>
                </w:tcPr>
                <w:p w14:paraId="64EE59EA">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0.720</w:t>
                  </w:r>
                </w:p>
              </w:tc>
              <w:tc>
                <w:tcPr>
                  <w:tcW w:w="861" w:type="dxa"/>
                  <w:vAlign w:val="center"/>
                </w:tcPr>
                <w:p w14:paraId="6B8EB9F2">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0.504</w:t>
                  </w:r>
                </w:p>
              </w:tc>
              <w:tc>
                <w:tcPr>
                  <w:tcW w:w="1068" w:type="dxa"/>
                  <w:vAlign w:val="center"/>
                </w:tcPr>
                <w:p w14:paraId="247C28B2">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0.122</w:t>
                  </w:r>
                </w:p>
              </w:tc>
            </w:tr>
            <w:tr w14:paraId="2FECB7C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4306" w:type="dxa"/>
                  <w:gridSpan w:val="2"/>
                  <w:vAlign w:val="center"/>
                </w:tcPr>
                <w:p w14:paraId="35113125">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消减量（t/a）</w:t>
                  </w:r>
                </w:p>
              </w:tc>
              <w:tc>
                <w:tcPr>
                  <w:tcW w:w="940" w:type="dxa"/>
                  <w:vAlign w:val="center"/>
                </w:tcPr>
                <w:p w14:paraId="4FECAFE4">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0.216</w:t>
                  </w:r>
                </w:p>
              </w:tc>
              <w:tc>
                <w:tcPr>
                  <w:tcW w:w="953" w:type="dxa"/>
                  <w:vAlign w:val="center"/>
                </w:tcPr>
                <w:p w14:paraId="3EAE8A23">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0.072</w:t>
                  </w:r>
                </w:p>
              </w:tc>
              <w:tc>
                <w:tcPr>
                  <w:tcW w:w="861" w:type="dxa"/>
                  <w:vAlign w:val="center"/>
                </w:tcPr>
                <w:p w14:paraId="2AF1FD39">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0.216</w:t>
                  </w:r>
                </w:p>
              </w:tc>
              <w:tc>
                <w:tcPr>
                  <w:tcW w:w="1068" w:type="dxa"/>
                  <w:vAlign w:val="center"/>
                </w:tcPr>
                <w:p w14:paraId="45077A71">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0.004</w:t>
                  </w:r>
                </w:p>
              </w:tc>
            </w:tr>
            <w:tr w14:paraId="50D9A42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4306" w:type="dxa"/>
                  <w:gridSpan w:val="2"/>
                  <w:vAlign w:val="center"/>
                </w:tcPr>
                <w:p w14:paraId="74CA80EC">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允许排放标准（mg/L）</w:t>
                  </w:r>
                </w:p>
              </w:tc>
              <w:tc>
                <w:tcPr>
                  <w:tcW w:w="940" w:type="dxa"/>
                  <w:vAlign w:val="center"/>
                </w:tcPr>
                <w:p w14:paraId="74A5E72F">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500</w:t>
                  </w:r>
                </w:p>
              </w:tc>
              <w:tc>
                <w:tcPr>
                  <w:tcW w:w="953" w:type="dxa"/>
                  <w:vAlign w:val="center"/>
                </w:tcPr>
                <w:p w14:paraId="7C9CC0DE">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300</w:t>
                  </w:r>
                </w:p>
              </w:tc>
              <w:tc>
                <w:tcPr>
                  <w:tcW w:w="861" w:type="dxa"/>
                  <w:vAlign w:val="center"/>
                </w:tcPr>
                <w:p w14:paraId="7638F8EF">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400</w:t>
                  </w:r>
                </w:p>
              </w:tc>
              <w:tc>
                <w:tcPr>
                  <w:tcW w:w="1068" w:type="dxa"/>
                  <w:vAlign w:val="center"/>
                </w:tcPr>
                <w:p w14:paraId="2CD06911">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45</w:t>
                  </w:r>
                </w:p>
              </w:tc>
            </w:tr>
            <w:tr w14:paraId="3CAFDAB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4306" w:type="dxa"/>
                  <w:gridSpan w:val="2"/>
                  <w:vAlign w:val="center"/>
                </w:tcPr>
                <w:p w14:paraId="2F89F7C9">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达标性</w:t>
                  </w:r>
                </w:p>
              </w:tc>
              <w:tc>
                <w:tcPr>
                  <w:tcW w:w="940" w:type="dxa"/>
                  <w:vAlign w:val="center"/>
                </w:tcPr>
                <w:p w14:paraId="65F9F388">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达标</w:t>
                  </w:r>
                </w:p>
              </w:tc>
              <w:tc>
                <w:tcPr>
                  <w:tcW w:w="953" w:type="dxa"/>
                  <w:vAlign w:val="center"/>
                </w:tcPr>
                <w:p w14:paraId="52FAB59B">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达标</w:t>
                  </w:r>
                </w:p>
              </w:tc>
              <w:tc>
                <w:tcPr>
                  <w:tcW w:w="861" w:type="dxa"/>
                  <w:vAlign w:val="center"/>
                </w:tcPr>
                <w:p w14:paraId="3CC31C06">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达标</w:t>
                  </w:r>
                </w:p>
              </w:tc>
              <w:tc>
                <w:tcPr>
                  <w:tcW w:w="1068" w:type="dxa"/>
                  <w:vAlign w:val="center"/>
                </w:tcPr>
                <w:p w14:paraId="1BE15153">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达标</w:t>
                  </w:r>
                </w:p>
              </w:tc>
            </w:tr>
          </w:tbl>
          <w:p w14:paraId="1D51E0B2">
            <w:pPr>
              <w:keepNext w:val="0"/>
              <w:keepLines w:val="0"/>
              <w:pageBreakBefore w:val="0"/>
              <w:widowControl/>
              <w:suppressLineNumbers w:val="0"/>
              <w:kinsoku/>
              <w:wordWrap/>
              <w:overflowPunct/>
              <w:topLinePunct w:val="0"/>
              <w:autoSpaceDE/>
              <w:autoSpaceDN/>
              <w:bidi w:val="0"/>
              <w:adjustRightInd/>
              <w:snapToGrid/>
              <w:spacing w:before="157" w:beforeLines="50" w:line="360" w:lineRule="auto"/>
              <w:ind w:firstLine="480" w:firstLineChars="200"/>
              <w:jc w:val="both"/>
              <w:textAlignment w:val="auto"/>
              <w:rPr>
                <w:rFonts w:hint="default" w:ascii="Times New Roman" w:hAnsi="Times New Roman" w:cs="Times New Roman"/>
                <w:bCs/>
                <w:color w:val="auto"/>
                <w:sz w:val="24"/>
                <w:lang w:eastAsia="zh-CN"/>
              </w:rPr>
            </w:pPr>
            <w:r>
              <w:rPr>
                <w:rFonts w:hint="default" w:ascii="Times New Roman" w:hAnsi="Times New Roman" w:cs="Times New Roman"/>
                <w:bCs/>
                <w:color w:val="auto"/>
                <w:sz w:val="24"/>
                <w:lang w:eastAsia="zh-CN"/>
              </w:rPr>
              <w:t>②</w:t>
            </w:r>
            <w:r>
              <w:rPr>
                <w:rFonts w:hint="eastAsia" w:cs="Times New Roman"/>
                <w:bCs/>
                <w:color w:val="auto"/>
                <w:sz w:val="24"/>
                <w:lang w:eastAsia="zh-CN"/>
              </w:rPr>
              <w:t>生产废水</w:t>
            </w:r>
          </w:p>
          <w:p w14:paraId="11765A0D">
            <w:pPr>
              <w:spacing w:line="360" w:lineRule="auto"/>
              <w:ind w:firstLine="480" w:firstLineChars="200"/>
              <w:rPr>
                <w:rFonts w:hint="default" w:ascii="Times New Roman" w:hAnsi="Times New Roman" w:eastAsia="宋体" w:cs="Times New Roman"/>
                <w:color w:val="auto"/>
                <w:kern w:val="0"/>
                <w:sz w:val="24"/>
                <w:szCs w:val="24"/>
                <w:lang w:val="en-US" w:eastAsia="zh-CN" w:bidi="ar"/>
              </w:rPr>
            </w:pPr>
            <w:r>
              <w:rPr>
                <w:rFonts w:hint="eastAsia"/>
                <w:color w:val="auto"/>
                <w:sz w:val="24"/>
                <w:lang w:val="en-US" w:eastAsia="zh-CN"/>
              </w:rPr>
              <w:t>根据建设单位提供资料，项目脱脂清洗废水定期定量处理。拟建项目脱脂清洗废水每3天处理一次，单次处理量为12m</w:t>
            </w:r>
            <w:r>
              <w:rPr>
                <w:rFonts w:hint="eastAsia"/>
                <w:color w:val="auto"/>
                <w:sz w:val="24"/>
                <w:vertAlign w:val="superscript"/>
                <w:lang w:val="en-US" w:eastAsia="zh-CN"/>
              </w:rPr>
              <w:t>3</w:t>
            </w:r>
            <w:r>
              <w:rPr>
                <w:rFonts w:hint="eastAsia"/>
                <w:color w:val="auto"/>
                <w:sz w:val="24"/>
                <w:vertAlign w:val="baseline"/>
                <w:lang w:val="en-US" w:eastAsia="zh-CN"/>
              </w:rPr>
              <w:t>，项目年运行300d，废水处理量1200</w:t>
            </w:r>
            <w:r>
              <w:rPr>
                <w:rFonts w:hint="eastAsia"/>
                <w:color w:val="auto"/>
                <w:sz w:val="24"/>
                <w:lang w:val="en-US" w:eastAsia="zh-CN"/>
              </w:rPr>
              <w:t>m</w:t>
            </w:r>
            <w:r>
              <w:rPr>
                <w:rFonts w:hint="eastAsia"/>
                <w:color w:val="auto"/>
                <w:sz w:val="24"/>
                <w:vertAlign w:val="superscript"/>
                <w:lang w:val="en-US" w:eastAsia="zh-CN"/>
              </w:rPr>
              <w:t>3</w:t>
            </w:r>
            <w:r>
              <w:rPr>
                <w:rFonts w:hint="eastAsia"/>
                <w:color w:val="auto"/>
                <w:sz w:val="24"/>
                <w:vertAlign w:val="baseline"/>
                <w:lang w:val="en-US" w:eastAsia="zh-CN"/>
              </w:rPr>
              <w:t>/a，废水主要污染物为CODcr、氨氮、石油类、</w:t>
            </w:r>
            <w:r>
              <w:rPr>
                <w:rStyle w:val="39"/>
                <w:rFonts w:hint="eastAsia" w:ascii="Times New Roman" w:hAnsi="Times New Roman" w:eastAsia="宋体" w:cs="Times New Roman"/>
                <w:color w:val="auto"/>
                <w:kern w:val="2"/>
                <w:sz w:val="24"/>
                <w:szCs w:val="24"/>
                <w:lang w:val="en-US" w:eastAsia="zh-CN"/>
              </w:rPr>
              <w:t>阴离子表面活性剂</w:t>
            </w:r>
            <w:r>
              <w:rPr>
                <w:rFonts w:hint="eastAsia"/>
                <w:color w:val="auto"/>
                <w:sz w:val="24"/>
                <w:vertAlign w:val="baseline"/>
                <w:lang w:val="en-US" w:eastAsia="zh-CN"/>
              </w:rPr>
              <w:t>。</w:t>
            </w:r>
            <w:r>
              <w:rPr>
                <w:rFonts w:hint="eastAsia" w:cs="Times New Roman"/>
                <w:color w:val="auto"/>
                <w:kern w:val="0"/>
                <w:sz w:val="24"/>
                <w:szCs w:val="24"/>
                <w:lang w:val="en-US" w:eastAsia="zh-CN" w:bidi="ar"/>
              </w:rPr>
              <w:t>项目高效除油粉使用量为6t/a，高效碱性除油剂使用量为6t/a，COD、石油类源强参照《排放源统计调查产排污核算方法和系数手册》中“机械行业系数手册”-机械加工清洗废水中COD产生系数为58.5kg/吨-原料（清洗液），石油类产生系数为19.5kg/吨-原料（清洗液），主要污染物产生量COD约702kg/a、石油类234kg/a</w:t>
            </w:r>
            <w:r>
              <w:rPr>
                <w:rFonts w:hint="default" w:ascii="Times New Roman" w:hAnsi="Times New Roman" w:eastAsia="宋体" w:cs="Times New Roman"/>
                <w:color w:val="auto"/>
                <w:kern w:val="0"/>
                <w:sz w:val="24"/>
                <w:szCs w:val="24"/>
                <w:lang w:val="en-US" w:eastAsia="zh-CN" w:bidi="ar"/>
              </w:rPr>
              <w:t>，氨氮源强参照《排放源统计调查产排污核算方法和系数手册》中“电子电气行业系数手册”-清洗工段-水基型清洗剂，氨氮产生系数为1.077g/kg-清洗剂，生产废水中氨氮产生量约为</w:t>
            </w:r>
            <w:r>
              <w:rPr>
                <w:rFonts w:hint="eastAsia" w:cs="Times New Roman"/>
                <w:color w:val="auto"/>
                <w:kern w:val="0"/>
                <w:sz w:val="24"/>
                <w:szCs w:val="24"/>
                <w:lang w:val="en-US" w:eastAsia="zh-CN" w:bidi="ar"/>
              </w:rPr>
              <w:t>12.924kg</w:t>
            </w:r>
            <w:r>
              <w:rPr>
                <w:rFonts w:hint="default" w:ascii="Times New Roman" w:hAnsi="Times New Roman" w:eastAsia="宋体" w:cs="Times New Roman"/>
                <w:color w:val="auto"/>
                <w:kern w:val="0"/>
                <w:sz w:val="24"/>
                <w:szCs w:val="24"/>
                <w:lang w:val="en-US" w:eastAsia="zh-CN" w:bidi="ar"/>
              </w:rPr>
              <w:t>/a。</w:t>
            </w:r>
            <w:r>
              <w:rPr>
                <w:rFonts w:hint="eastAsia" w:cs="Times New Roman"/>
                <w:color w:val="auto"/>
                <w:kern w:val="0"/>
                <w:sz w:val="24"/>
                <w:szCs w:val="24"/>
                <w:lang w:val="en-US" w:eastAsia="zh-CN" w:bidi="ar"/>
              </w:rPr>
              <w:t>综上，项目脱脂清洗废</w:t>
            </w:r>
            <w:r>
              <w:rPr>
                <w:rFonts w:hint="default" w:ascii="Times New Roman" w:hAnsi="Times New Roman" w:eastAsia="宋体" w:cs="Times New Roman"/>
                <w:color w:val="auto"/>
                <w:kern w:val="0"/>
                <w:sz w:val="24"/>
                <w:szCs w:val="24"/>
                <w:lang w:val="en-US" w:eastAsia="zh-CN" w:bidi="ar"/>
              </w:rPr>
              <w:t>水中各主要污染物浓度COD：</w:t>
            </w:r>
            <w:r>
              <w:rPr>
                <w:rFonts w:hint="eastAsia" w:cs="Times New Roman"/>
                <w:color w:val="auto"/>
                <w:kern w:val="0"/>
                <w:sz w:val="24"/>
                <w:szCs w:val="24"/>
                <w:lang w:val="en-US" w:eastAsia="zh-CN" w:bidi="ar"/>
              </w:rPr>
              <w:t>585</w:t>
            </w:r>
            <w:r>
              <w:rPr>
                <w:rFonts w:hint="default" w:ascii="Times New Roman" w:hAnsi="Times New Roman" w:eastAsia="宋体" w:cs="Times New Roman"/>
                <w:color w:val="auto"/>
                <w:kern w:val="0"/>
                <w:sz w:val="24"/>
                <w:szCs w:val="24"/>
                <w:lang w:val="en-US" w:eastAsia="zh-CN" w:bidi="ar"/>
              </w:rPr>
              <w:t>mg/L，NH</w:t>
            </w:r>
            <w:r>
              <w:rPr>
                <w:rFonts w:hint="default" w:ascii="Times New Roman" w:hAnsi="Times New Roman" w:eastAsia="宋体" w:cs="Times New Roman"/>
                <w:color w:val="auto"/>
                <w:kern w:val="0"/>
                <w:sz w:val="24"/>
                <w:szCs w:val="24"/>
                <w:vertAlign w:val="subscript"/>
                <w:lang w:val="en-US" w:eastAsia="zh-CN" w:bidi="ar"/>
              </w:rPr>
              <w:t>3</w:t>
            </w:r>
            <w:r>
              <w:rPr>
                <w:rFonts w:hint="default" w:ascii="Times New Roman" w:hAnsi="Times New Roman" w:eastAsia="宋体" w:cs="Times New Roman"/>
                <w:color w:val="auto"/>
                <w:kern w:val="0"/>
                <w:sz w:val="24"/>
                <w:szCs w:val="24"/>
                <w:lang w:val="en-US" w:eastAsia="zh-CN" w:bidi="ar"/>
              </w:rPr>
              <w:t>-N：</w:t>
            </w:r>
            <w:r>
              <w:rPr>
                <w:rFonts w:hint="eastAsia" w:cs="Times New Roman"/>
                <w:color w:val="auto"/>
                <w:kern w:val="0"/>
                <w:sz w:val="24"/>
                <w:szCs w:val="24"/>
                <w:lang w:val="en-US" w:eastAsia="zh-CN" w:bidi="ar"/>
              </w:rPr>
              <w:t>10.8</w:t>
            </w:r>
            <w:r>
              <w:rPr>
                <w:rFonts w:hint="default" w:ascii="Times New Roman" w:hAnsi="Times New Roman" w:eastAsia="宋体" w:cs="Times New Roman"/>
                <w:color w:val="auto"/>
                <w:kern w:val="0"/>
                <w:sz w:val="24"/>
                <w:szCs w:val="24"/>
                <w:lang w:val="en-US" w:eastAsia="zh-CN" w:bidi="ar"/>
              </w:rPr>
              <w:t>mg/L</w:t>
            </w:r>
            <w:r>
              <w:rPr>
                <w:rFonts w:hint="eastAsia" w:cs="Times New Roman"/>
                <w:color w:val="auto"/>
                <w:kern w:val="0"/>
                <w:sz w:val="24"/>
                <w:szCs w:val="24"/>
                <w:lang w:val="en-US" w:eastAsia="zh-CN" w:bidi="ar"/>
              </w:rPr>
              <w:t>，石油类：195</w:t>
            </w:r>
            <w:r>
              <w:rPr>
                <w:rFonts w:hint="default" w:ascii="Times New Roman" w:hAnsi="Times New Roman" w:eastAsia="宋体" w:cs="Times New Roman"/>
                <w:color w:val="auto"/>
                <w:kern w:val="0"/>
                <w:sz w:val="24"/>
                <w:szCs w:val="24"/>
                <w:lang w:val="en-US" w:eastAsia="zh-CN" w:bidi="ar"/>
              </w:rPr>
              <w:t>mg/L</w:t>
            </w:r>
            <w:r>
              <w:rPr>
                <w:rFonts w:hint="eastAsia" w:cs="Times New Roman"/>
                <w:color w:val="auto"/>
                <w:kern w:val="0"/>
                <w:sz w:val="24"/>
                <w:szCs w:val="24"/>
                <w:lang w:val="en-US" w:eastAsia="zh-CN" w:bidi="ar"/>
              </w:rPr>
              <w:t>。同时参照</w:t>
            </w:r>
            <w:r>
              <w:rPr>
                <w:rFonts w:hint="eastAsia" w:ascii="Times New Roman" w:hAnsi="Times New Roman" w:eastAsia="宋体" w:cs="Times New Roman"/>
                <w:color w:val="auto"/>
                <w:sz w:val="24"/>
                <w:highlight w:val="none"/>
                <w:lang w:val="en-US" w:eastAsia="zh-CN"/>
              </w:rPr>
              <w:t>《喷涂前处理污染源的分析及其处理措施》（贾文友、刘莉、王立涛，《涂料工业》文章编号：0253-4312(2008)07-0050-03）中表2喷涂前处理污水主要污染物及浓度，</w:t>
            </w:r>
            <w:r>
              <w:rPr>
                <w:rFonts w:hint="eastAsia" w:cs="Times New Roman"/>
                <w:color w:val="auto"/>
                <w:kern w:val="0"/>
                <w:sz w:val="24"/>
                <w:szCs w:val="24"/>
                <w:lang w:val="en-US" w:eastAsia="zh-CN" w:bidi="ar"/>
              </w:rPr>
              <w:t>阴离子表面活性剂浓度范围为5~10</w:t>
            </w:r>
            <w:r>
              <w:rPr>
                <w:rFonts w:hint="default" w:ascii="Times New Roman" w:hAnsi="Times New Roman" w:eastAsia="宋体" w:cs="Times New Roman"/>
                <w:color w:val="auto"/>
                <w:kern w:val="0"/>
                <w:sz w:val="24"/>
                <w:szCs w:val="24"/>
                <w:lang w:val="en-US" w:eastAsia="zh-CN" w:bidi="ar"/>
              </w:rPr>
              <w:t>mg/L</w:t>
            </w:r>
            <w:r>
              <w:rPr>
                <w:rFonts w:hint="eastAsia" w:cs="Times New Roman"/>
                <w:color w:val="auto"/>
                <w:kern w:val="0"/>
                <w:sz w:val="24"/>
                <w:szCs w:val="24"/>
                <w:lang w:val="en-US" w:eastAsia="zh-CN" w:bidi="ar"/>
              </w:rPr>
              <w:t>，本次评价取10</w:t>
            </w:r>
            <w:r>
              <w:rPr>
                <w:rFonts w:hint="default" w:ascii="Times New Roman" w:hAnsi="Times New Roman" w:eastAsia="宋体" w:cs="Times New Roman"/>
                <w:color w:val="auto"/>
                <w:kern w:val="0"/>
                <w:sz w:val="24"/>
                <w:szCs w:val="24"/>
                <w:lang w:val="en-US" w:eastAsia="zh-CN" w:bidi="ar"/>
              </w:rPr>
              <w:t>mg/L</w:t>
            </w:r>
            <w:r>
              <w:rPr>
                <w:rFonts w:hint="eastAsia" w:ascii="Times New Roman" w:hAnsi="Times New Roman" w:eastAsia="宋体" w:cs="Times New Roman"/>
                <w:color w:val="auto"/>
                <w:kern w:val="0"/>
                <w:sz w:val="24"/>
                <w:szCs w:val="24"/>
                <w:lang w:val="en-US" w:eastAsia="zh-CN" w:bidi="ar"/>
              </w:rPr>
              <w:t>分析（</w:t>
            </w:r>
            <w:r>
              <w:rPr>
                <w:rFonts w:hint="eastAsia" w:ascii="Times New Roman" w:hAnsi="Times New Roman" w:eastAsia="宋体" w:cs="Times New Roman"/>
                <w:color w:val="auto"/>
                <w:sz w:val="24"/>
                <w:highlight w:val="none"/>
                <w:lang w:val="en-US" w:eastAsia="zh-CN"/>
              </w:rPr>
              <w:t>喷涂前处理工艺包括：</w:t>
            </w:r>
            <w:r>
              <w:rPr>
                <w:rFonts w:hint="eastAsia" w:ascii="Times New Roman" w:hAnsi="Times New Roman" w:eastAsia="宋体" w:cs="Times New Roman"/>
                <w:b/>
                <w:bCs/>
                <w:color w:val="auto"/>
                <w:sz w:val="24"/>
                <w:highlight w:val="none"/>
                <w:lang w:val="en-US" w:eastAsia="zh-CN"/>
              </w:rPr>
              <w:t>预脱脂、脱脂、水洗、水洗</w:t>
            </w:r>
            <w:r>
              <w:rPr>
                <w:rFonts w:hint="eastAsia" w:ascii="Times New Roman" w:hAnsi="Times New Roman" w:eastAsia="宋体" w:cs="Times New Roman"/>
                <w:color w:val="auto"/>
                <w:sz w:val="24"/>
                <w:highlight w:val="none"/>
                <w:lang w:val="en-US" w:eastAsia="zh-CN"/>
              </w:rPr>
              <w:t>、表调、磷化、水洗、水洗</w:t>
            </w:r>
            <w:r>
              <w:rPr>
                <w:rFonts w:hint="eastAsia" w:ascii="Times New Roman" w:hAnsi="Times New Roman" w:eastAsia="宋体" w:cs="Times New Roman"/>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w:t>
            </w:r>
          </w:p>
          <w:p w14:paraId="1479E641">
            <w:pPr>
              <w:spacing w:line="360" w:lineRule="auto"/>
              <w:ind w:firstLine="480" w:firstLineChars="200"/>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根据建设单位提供</w:t>
            </w:r>
            <w:r>
              <w:rPr>
                <w:rFonts w:hint="eastAsia" w:cs="Times New Roman"/>
                <w:color w:val="auto"/>
                <w:kern w:val="0"/>
                <w:sz w:val="24"/>
                <w:szCs w:val="24"/>
                <w:highlight w:val="none"/>
                <w:lang w:val="en-US" w:eastAsia="zh-CN" w:bidi="ar"/>
              </w:rPr>
              <w:t>污水处理设施设计资料</w:t>
            </w:r>
            <w:r>
              <w:rPr>
                <w:rFonts w:hint="default" w:ascii="Times New Roman" w:hAnsi="Times New Roman" w:eastAsia="宋体" w:cs="Times New Roman"/>
                <w:color w:val="auto"/>
                <w:kern w:val="0"/>
                <w:sz w:val="24"/>
                <w:szCs w:val="24"/>
                <w:highlight w:val="none"/>
                <w:lang w:val="en-US" w:eastAsia="zh-CN" w:bidi="ar"/>
              </w:rPr>
              <w:t>，污水处理设施处理工艺为</w:t>
            </w:r>
            <w:r>
              <w:rPr>
                <w:rFonts w:hint="eastAsia" w:ascii="Times New Roman" w:hAnsi="Times New Roman" w:eastAsia="宋体"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（芬顿氧化+混凝沉淀+</w:t>
            </w:r>
            <w:r>
              <w:rPr>
                <w:rFonts w:hint="eastAsia" w:cs="Times New Roman"/>
                <w:color w:val="auto"/>
                <w:kern w:val="0"/>
                <w:sz w:val="24"/>
                <w:szCs w:val="24"/>
                <w:highlight w:val="none"/>
                <w:lang w:val="en-US" w:eastAsia="zh-CN" w:bidi="ar"/>
              </w:rPr>
              <w:t>改性</w:t>
            </w:r>
            <w:r>
              <w:rPr>
                <w:rFonts w:hint="default" w:ascii="Times New Roman" w:hAnsi="Times New Roman" w:eastAsia="宋体" w:cs="Times New Roman"/>
                <w:color w:val="auto"/>
                <w:kern w:val="0"/>
                <w:sz w:val="24"/>
                <w:szCs w:val="24"/>
                <w:highlight w:val="none"/>
                <w:lang w:val="en-US" w:eastAsia="zh-CN" w:bidi="ar"/>
              </w:rPr>
              <w:t>活性炭吸附</w:t>
            </w:r>
            <w:r>
              <w:rPr>
                <w:rFonts w:hint="eastAsia" w:ascii="Times New Roman" w:hAnsi="Times New Roman" w:eastAsia="宋体" w:cs="Times New Roman"/>
                <w:color w:val="auto"/>
                <w:sz w:val="24"/>
                <w:szCs w:val="24"/>
                <w:highlight w:val="none"/>
                <w:lang w:eastAsia="zh-CN" w:bidi="ar"/>
              </w:rPr>
              <w:t>罐</w:t>
            </w:r>
            <w:r>
              <w:rPr>
                <w:rFonts w:hint="default" w:ascii="Times New Roman" w:hAnsi="Times New Roman" w:eastAsia="宋体" w:cs="Times New Roman"/>
                <w:color w:val="auto"/>
                <w:kern w:val="0"/>
                <w:sz w:val="24"/>
                <w:szCs w:val="24"/>
                <w:highlight w:val="none"/>
                <w:lang w:val="en-US" w:eastAsia="zh-CN" w:bidi="ar"/>
              </w:rPr>
              <w:t>）</w:t>
            </w:r>
            <w:r>
              <w:rPr>
                <w:rFonts w:hint="eastAsia" w:ascii="Times New Roman" w:hAnsi="Times New Roman" w:eastAsia="宋体"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w:t>
            </w:r>
            <w:r>
              <w:rPr>
                <w:rFonts w:hint="eastAsia"/>
                <w:color w:val="auto"/>
                <w:sz w:val="24"/>
                <w:lang w:val="en-US" w:eastAsia="zh-CN"/>
              </w:rPr>
              <w:t>污水处理设施各工序处理效率如下表4.2-2，经处理后脱脂清洗废水回用于清洗工序。</w:t>
            </w:r>
            <w:r>
              <w:rPr>
                <w:rFonts w:hint="default" w:ascii="Times New Roman" w:hAnsi="Times New Roman" w:eastAsia="宋体" w:cs="Times New Roman"/>
                <w:color w:val="auto"/>
                <w:kern w:val="0"/>
                <w:sz w:val="24"/>
                <w:szCs w:val="24"/>
                <w:highlight w:val="none"/>
                <w:lang w:val="en-US" w:eastAsia="zh-CN" w:bidi="ar"/>
              </w:rPr>
              <w:t>污水中各污染物产生情况</w:t>
            </w:r>
            <w:r>
              <w:rPr>
                <w:rFonts w:hint="eastAsia" w:ascii="Times New Roman" w:hAnsi="Times New Roman" w:eastAsia="宋体" w:cs="Times New Roman"/>
                <w:color w:val="auto"/>
                <w:kern w:val="0"/>
                <w:sz w:val="24"/>
                <w:szCs w:val="24"/>
                <w:highlight w:val="none"/>
                <w:lang w:val="en-US" w:eastAsia="zh-CN" w:bidi="ar"/>
              </w:rPr>
              <w:t>如下表。</w:t>
            </w:r>
          </w:p>
          <w:p w14:paraId="4ED28825">
            <w:pPr>
              <w:keepNext/>
              <w:keepLines/>
              <w:jc w:val="center"/>
              <w:outlineLvl w:val="1"/>
              <w:rPr>
                <w:rFonts w:hint="eastAsia"/>
                <w:b/>
                <w:color w:val="auto"/>
                <w:szCs w:val="21"/>
                <w:lang w:val="en-US" w:eastAsia="zh-CN"/>
              </w:rPr>
            </w:pPr>
            <w:r>
              <w:rPr>
                <w:rFonts w:hint="eastAsia"/>
                <w:b/>
                <w:color w:val="auto"/>
                <w:szCs w:val="21"/>
                <w:lang w:val="en-US" w:eastAsia="zh-CN"/>
              </w:rPr>
              <w:t>表4.2-2脱脂清洗废水水质及各污染物排放源强情况表</w:t>
            </w:r>
          </w:p>
          <w:tbl>
            <w:tblPr>
              <w:tblStyle w:val="31"/>
              <w:tblW w:w="8128" w:type="dxa"/>
              <w:tblInd w:w="-73"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507"/>
              <w:gridCol w:w="2799"/>
              <w:gridCol w:w="940"/>
              <w:gridCol w:w="953"/>
              <w:gridCol w:w="861"/>
              <w:gridCol w:w="1068"/>
            </w:tblGrid>
            <w:tr w14:paraId="1756C91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1507" w:type="dxa"/>
                  <w:vAlign w:val="center"/>
                </w:tcPr>
                <w:p w14:paraId="2B0D2475">
                  <w:pPr>
                    <w:pStyle w:val="120"/>
                    <w:adjustRightInd/>
                    <w:snapToGrid/>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废水量</w:t>
                  </w:r>
                </w:p>
              </w:tc>
              <w:tc>
                <w:tcPr>
                  <w:tcW w:w="2799" w:type="dxa"/>
                  <w:vAlign w:val="center"/>
                </w:tcPr>
                <w:p w14:paraId="0706DE80">
                  <w:pPr>
                    <w:pStyle w:val="120"/>
                    <w:adjustRightInd/>
                    <w:snapToGrid/>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项目</w:t>
                  </w:r>
                </w:p>
              </w:tc>
              <w:tc>
                <w:tcPr>
                  <w:tcW w:w="940" w:type="dxa"/>
                  <w:vAlign w:val="center"/>
                </w:tcPr>
                <w:p w14:paraId="567E0130">
                  <w:pPr>
                    <w:pStyle w:val="120"/>
                    <w:adjustRightInd/>
                    <w:snapToGrid/>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COD</w:t>
                  </w:r>
                </w:p>
              </w:tc>
              <w:tc>
                <w:tcPr>
                  <w:tcW w:w="953" w:type="dxa"/>
                  <w:vAlign w:val="center"/>
                </w:tcPr>
                <w:p w14:paraId="12FB4645">
                  <w:pPr>
                    <w:pStyle w:val="120"/>
                    <w:adjustRightInd/>
                    <w:snapToGrid/>
                    <w:jc w:val="center"/>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NH</w:t>
                  </w:r>
                  <w:r>
                    <w:rPr>
                      <w:rFonts w:hint="eastAsia" w:ascii="Times New Roman" w:hAnsi="Times New Roman" w:eastAsia="宋体" w:cs="Times New Roman"/>
                      <w:b/>
                      <w:bCs/>
                      <w:color w:val="auto"/>
                      <w:sz w:val="21"/>
                      <w:szCs w:val="21"/>
                      <w:highlight w:val="none"/>
                      <w:vertAlign w:val="subscript"/>
                      <w:lang w:val="en-US" w:eastAsia="zh-CN"/>
                    </w:rPr>
                    <w:t>3</w:t>
                  </w:r>
                  <w:r>
                    <w:rPr>
                      <w:rFonts w:hint="eastAsia" w:ascii="Times New Roman" w:hAnsi="Times New Roman" w:eastAsia="宋体" w:cs="Times New Roman"/>
                      <w:b/>
                      <w:bCs/>
                      <w:color w:val="auto"/>
                      <w:sz w:val="21"/>
                      <w:szCs w:val="21"/>
                      <w:highlight w:val="none"/>
                      <w:lang w:val="en-US" w:eastAsia="zh-CN"/>
                    </w:rPr>
                    <w:t>-N</w:t>
                  </w:r>
                </w:p>
              </w:tc>
              <w:tc>
                <w:tcPr>
                  <w:tcW w:w="861" w:type="dxa"/>
                  <w:vAlign w:val="center"/>
                </w:tcPr>
                <w:p w14:paraId="48FE7F8F">
                  <w:pPr>
                    <w:pStyle w:val="120"/>
                    <w:adjustRightInd/>
                    <w:snapToGrid/>
                    <w:jc w:val="center"/>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石油类</w:t>
                  </w:r>
                </w:p>
              </w:tc>
              <w:tc>
                <w:tcPr>
                  <w:tcW w:w="1068" w:type="dxa"/>
                  <w:vAlign w:val="center"/>
                </w:tcPr>
                <w:p w14:paraId="4C51E241">
                  <w:pPr>
                    <w:pStyle w:val="120"/>
                    <w:adjustRightInd/>
                    <w:snapToGrid/>
                    <w:jc w:val="center"/>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LAS</w:t>
                  </w:r>
                </w:p>
              </w:tc>
            </w:tr>
            <w:tr w14:paraId="39E20B8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1507" w:type="dxa"/>
                  <w:vAlign w:val="center"/>
                </w:tcPr>
                <w:p w14:paraId="758A2E39">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脱脂清洗废</w:t>
                  </w:r>
                  <w:r>
                    <w:rPr>
                      <w:rFonts w:hint="default" w:ascii="Times New Roman" w:hAnsi="Times New Roman" w:eastAsia="宋体" w:cs="Times New Roman"/>
                      <w:color w:val="auto"/>
                      <w:sz w:val="21"/>
                      <w:szCs w:val="21"/>
                      <w:highlight w:val="none"/>
                      <w:lang w:val="en-US" w:eastAsia="zh-CN"/>
                    </w:rPr>
                    <w:t>水</w:t>
                  </w:r>
                  <w:r>
                    <w:rPr>
                      <w:rFonts w:hint="eastAsia" w:cs="Times New Roman"/>
                      <w:color w:val="auto"/>
                      <w:sz w:val="21"/>
                      <w:szCs w:val="21"/>
                      <w:highlight w:val="none"/>
                      <w:lang w:val="en-US" w:eastAsia="zh-CN"/>
                    </w:rPr>
                    <w:t>（1200</w:t>
                  </w:r>
                  <w:r>
                    <w:rPr>
                      <w:rFonts w:hint="eastAsia" w:cs="宋体"/>
                      <w:bCs/>
                      <w:color w:val="auto"/>
                      <w:sz w:val="24"/>
                      <w:lang w:val="en-US" w:eastAsia="zh-CN"/>
                    </w:rPr>
                    <w:t>m</w:t>
                  </w:r>
                  <w:r>
                    <w:rPr>
                      <w:rFonts w:hint="eastAsia" w:cs="宋体"/>
                      <w:bCs/>
                      <w:color w:val="auto"/>
                      <w:sz w:val="24"/>
                      <w:vertAlign w:val="superscript"/>
                      <w:lang w:val="en-US" w:eastAsia="zh-CN"/>
                    </w:rPr>
                    <w:t>3</w:t>
                  </w:r>
                  <w:r>
                    <w:rPr>
                      <w:rFonts w:hint="eastAsia" w:cs="Times New Roman"/>
                      <w:color w:val="auto"/>
                      <w:sz w:val="21"/>
                      <w:szCs w:val="21"/>
                      <w:highlight w:val="none"/>
                      <w:lang w:val="en-US" w:eastAsia="zh-CN"/>
                    </w:rPr>
                    <w:t>/a）</w:t>
                  </w:r>
                </w:p>
              </w:tc>
              <w:tc>
                <w:tcPr>
                  <w:tcW w:w="2799" w:type="dxa"/>
                  <w:vAlign w:val="center"/>
                </w:tcPr>
                <w:p w14:paraId="6AFA640E">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污染物产生水质</w:t>
                  </w:r>
                  <w:r>
                    <w:rPr>
                      <w:rFonts w:hint="eastAsia"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mg/L</w:t>
                  </w:r>
                  <w:r>
                    <w:rPr>
                      <w:rFonts w:hint="eastAsia" w:cs="Times New Roman"/>
                      <w:color w:val="auto"/>
                      <w:sz w:val="21"/>
                      <w:szCs w:val="21"/>
                      <w:highlight w:val="none"/>
                      <w:lang w:val="en-US" w:eastAsia="zh-CN"/>
                    </w:rPr>
                    <w:t>）</w:t>
                  </w:r>
                </w:p>
              </w:tc>
              <w:tc>
                <w:tcPr>
                  <w:tcW w:w="940" w:type="dxa"/>
                  <w:shd w:val="clear" w:color="auto" w:fill="auto"/>
                  <w:vAlign w:val="center"/>
                </w:tcPr>
                <w:p w14:paraId="211B3FDB">
                  <w:pPr>
                    <w:pStyle w:val="120"/>
                    <w:adjustRightInd/>
                    <w:snapToGrid/>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585</w:t>
                  </w:r>
                </w:p>
              </w:tc>
              <w:tc>
                <w:tcPr>
                  <w:tcW w:w="953" w:type="dxa"/>
                  <w:shd w:val="clear" w:color="auto" w:fill="auto"/>
                  <w:vAlign w:val="center"/>
                </w:tcPr>
                <w:p w14:paraId="15564DD3">
                  <w:pPr>
                    <w:pStyle w:val="120"/>
                    <w:adjustRightInd/>
                    <w:snapToGrid/>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10.8</w:t>
                  </w:r>
                </w:p>
              </w:tc>
              <w:tc>
                <w:tcPr>
                  <w:tcW w:w="861" w:type="dxa"/>
                  <w:shd w:val="clear" w:color="auto" w:fill="auto"/>
                  <w:vAlign w:val="center"/>
                </w:tcPr>
                <w:p w14:paraId="050BA9C1">
                  <w:pPr>
                    <w:pStyle w:val="120"/>
                    <w:adjustRightInd/>
                    <w:snapToGrid/>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195</w:t>
                  </w:r>
                </w:p>
              </w:tc>
              <w:tc>
                <w:tcPr>
                  <w:tcW w:w="1068" w:type="dxa"/>
                  <w:shd w:val="clear" w:color="auto" w:fill="auto"/>
                  <w:vAlign w:val="center"/>
                </w:tcPr>
                <w:p w14:paraId="5C13145B">
                  <w:pPr>
                    <w:pStyle w:val="120"/>
                    <w:adjustRightInd/>
                    <w:snapToGrid/>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10</w:t>
                  </w:r>
                </w:p>
              </w:tc>
            </w:tr>
            <w:tr w14:paraId="33783D5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1507" w:type="dxa"/>
                  <w:vAlign w:val="center"/>
                </w:tcPr>
                <w:p w14:paraId="1E150FB0">
                  <w:pPr>
                    <w:spacing w:line="340" w:lineRule="exact"/>
                    <w:ind w:firstLine="0" w:firstLineChars="0"/>
                    <w:jc w:val="center"/>
                    <w:rPr>
                      <w:rFonts w:hint="default" w:ascii="Times New Roman" w:hAnsi="Times New Roman" w:eastAsia="宋体" w:cs="Times New Roman"/>
                      <w:color w:val="auto"/>
                      <w:sz w:val="21"/>
                      <w:szCs w:val="21"/>
                      <w:highlight w:val="none"/>
                      <w:lang w:bidi="ar"/>
                    </w:rPr>
                  </w:pPr>
                  <w:r>
                    <w:rPr>
                      <w:rFonts w:hint="default" w:ascii="Times New Roman" w:hAnsi="Times New Roman" w:eastAsia="宋体" w:cs="Times New Roman"/>
                      <w:color w:val="auto"/>
                      <w:sz w:val="21"/>
                      <w:szCs w:val="21"/>
                      <w:highlight w:val="none"/>
                      <w:lang w:bidi="ar"/>
                    </w:rPr>
                    <w:t>处理措施</w:t>
                  </w:r>
                </w:p>
              </w:tc>
              <w:tc>
                <w:tcPr>
                  <w:tcW w:w="6621" w:type="dxa"/>
                  <w:gridSpan w:val="5"/>
                  <w:vAlign w:val="center"/>
                </w:tcPr>
                <w:p w14:paraId="05A3661C">
                  <w:pPr>
                    <w:spacing w:line="340" w:lineRule="exact"/>
                    <w:ind w:firstLine="0" w:firstLineChars="0"/>
                    <w:jc w:val="center"/>
                    <w:rPr>
                      <w:rFonts w:hint="eastAsia" w:ascii="Times New Roman" w:hAnsi="Times New Roman" w:eastAsia="宋体" w:cs="Times New Roman"/>
                      <w:color w:val="auto"/>
                      <w:sz w:val="21"/>
                      <w:szCs w:val="21"/>
                      <w:highlight w:val="none"/>
                      <w:lang w:eastAsia="zh-CN" w:bidi="ar"/>
                    </w:rPr>
                  </w:pPr>
                  <w:r>
                    <w:rPr>
                      <w:rFonts w:hint="eastAsia" w:ascii="Times New Roman" w:hAnsi="Times New Roman" w:eastAsia="宋体" w:cs="Times New Roman"/>
                      <w:color w:val="auto"/>
                      <w:sz w:val="21"/>
                      <w:szCs w:val="21"/>
                      <w:highlight w:val="none"/>
                      <w:lang w:eastAsia="zh-CN" w:bidi="ar"/>
                    </w:rPr>
                    <w:t>芬顿氧化+混凝沉淀+活性炭吸附罐</w:t>
                  </w:r>
                </w:p>
              </w:tc>
            </w:tr>
            <w:tr w14:paraId="043199F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4306" w:type="dxa"/>
                  <w:gridSpan w:val="2"/>
                  <w:vAlign w:val="center"/>
                </w:tcPr>
                <w:p w14:paraId="6500557F">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氧化池</w:t>
                  </w:r>
                  <w:r>
                    <w:rPr>
                      <w:rFonts w:hint="default" w:ascii="Times New Roman" w:hAnsi="Times New Roman" w:eastAsia="宋体" w:cs="Times New Roman"/>
                      <w:color w:val="auto"/>
                      <w:sz w:val="21"/>
                      <w:szCs w:val="21"/>
                      <w:highlight w:val="none"/>
                      <w:lang w:val="en-US" w:eastAsia="zh-CN"/>
                    </w:rPr>
                    <w:t>去除效率（%）</w:t>
                  </w:r>
                </w:p>
              </w:tc>
              <w:tc>
                <w:tcPr>
                  <w:tcW w:w="940" w:type="dxa"/>
                  <w:vAlign w:val="center"/>
                </w:tcPr>
                <w:p w14:paraId="468DDAA9">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60</w:t>
                  </w:r>
                </w:p>
              </w:tc>
              <w:tc>
                <w:tcPr>
                  <w:tcW w:w="953" w:type="dxa"/>
                  <w:vAlign w:val="center"/>
                </w:tcPr>
                <w:p w14:paraId="6CB04D0F">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p>
              </w:tc>
              <w:tc>
                <w:tcPr>
                  <w:tcW w:w="861" w:type="dxa"/>
                  <w:vAlign w:val="center"/>
                </w:tcPr>
                <w:p w14:paraId="117EC23B">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45</w:t>
                  </w:r>
                </w:p>
              </w:tc>
              <w:tc>
                <w:tcPr>
                  <w:tcW w:w="1068" w:type="dxa"/>
                  <w:vAlign w:val="center"/>
                </w:tcPr>
                <w:p w14:paraId="09546751">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50</w:t>
                  </w:r>
                </w:p>
              </w:tc>
            </w:tr>
            <w:tr w14:paraId="5ADA7DE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4306" w:type="dxa"/>
                  <w:gridSpan w:val="2"/>
                  <w:vAlign w:val="center"/>
                </w:tcPr>
                <w:p w14:paraId="73F33208">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处理后</w:t>
                  </w:r>
                  <w:r>
                    <w:rPr>
                      <w:rFonts w:hint="default" w:ascii="Times New Roman" w:hAnsi="Times New Roman" w:eastAsia="宋体" w:cs="Times New Roman"/>
                      <w:color w:val="auto"/>
                      <w:sz w:val="21"/>
                      <w:szCs w:val="21"/>
                      <w:highlight w:val="none"/>
                      <w:lang w:val="en-US" w:eastAsia="zh-CN"/>
                    </w:rPr>
                    <w:t>浓度（mg/L）</w:t>
                  </w:r>
                </w:p>
              </w:tc>
              <w:tc>
                <w:tcPr>
                  <w:tcW w:w="940" w:type="dxa"/>
                  <w:vAlign w:val="center"/>
                </w:tcPr>
                <w:p w14:paraId="405D6826">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234</w:t>
                  </w:r>
                </w:p>
              </w:tc>
              <w:tc>
                <w:tcPr>
                  <w:tcW w:w="953" w:type="dxa"/>
                  <w:vAlign w:val="center"/>
                </w:tcPr>
                <w:p w14:paraId="594A0C4A">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10.8</w:t>
                  </w:r>
                </w:p>
              </w:tc>
              <w:tc>
                <w:tcPr>
                  <w:tcW w:w="861" w:type="dxa"/>
                  <w:vAlign w:val="center"/>
                </w:tcPr>
                <w:p w14:paraId="3363E031">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107</w:t>
                  </w:r>
                </w:p>
              </w:tc>
              <w:tc>
                <w:tcPr>
                  <w:tcW w:w="1068" w:type="dxa"/>
                  <w:vAlign w:val="center"/>
                </w:tcPr>
                <w:p w14:paraId="09BB5F8A">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5</w:t>
                  </w:r>
                </w:p>
              </w:tc>
            </w:tr>
            <w:tr w14:paraId="44E4390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4306" w:type="dxa"/>
                  <w:gridSpan w:val="2"/>
                  <w:vAlign w:val="center"/>
                </w:tcPr>
                <w:p w14:paraId="5BD45E5A">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混凝沉淀池</w:t>
                  </w:r>
                  <w:r>
                    <w:rPr>
                      <w:rFonts w:hint="default" w:ascii="Times New Roman" w:hAnsi="Times New Roman" w:eastAsia="宋体" w:cs="Times New Roman"/>
                      <w:color w:val="auto"/>
                      <w:sz w:val="21"/>
                      <w:szCs w:val="21"/>
                      <w:highlight w:val="none"/>
                      <w:lang w:val="en-US" w:eastAsia="zh-CN"/>
                    </w:rPr>
                    <w:t>去除效率（%）</w:t>
                  </w:r>
                </w:p>
              </w:tc>
              <w:tc>
                <w:tcPr>
                  <w:tcW w:w="940" w:type="dxa"/>
                  <w:vAlign w:val="center"/>
                </w:tcPr>
                <w:p w14:paraId="09682BC9">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30</w:t>
                  </w:r>
                </w:p>
              </w:tc>
              <w:tc>
                <w:tcPr>
                  <w:tcW w:w="953" w:type="dxa"/>
                  <w:vAlign w:val="center"/>
                </w:tcPr>
                <w:p w14:paraId="7D580AF6">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p>
              </w:tc>
              <w:tc>
                <w:tcPr>
                  <w:tcW w:w="861" w:type="dxa"/>
                  <w:vAlign w:val="center"/>
                </w:tcPr>
                <w:p w14:paraId="62C1B1BD">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85</w:t>
                  </w:r>
                </w:p>
              </w:tc>
              <w:tc>
                <w:tcPr>
                  <w:tcW w:w="1068" w:type="dxa"/>
                  <w:vAlign w:val="center"/>
                </w:tcPr>
                <w:p w14:paraId="07A8046D">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55</w:t>
                  </w:r>
                </w:p>
              </w:tc>
            </w:tr>
            <w:tr w14:paraId="095D028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4306" w:type="dxa"/>
                  <w:gridSpan w:val="2"/>
                  <w:vAlign w:val="center"/>
                </w:tcPr>
                <w:p w14:paraId="46AF73FE">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处理后</w:t>
                  </w:r>
                  <w:r>
                    <w:rPr>
                      <w:rFonts w:hint="default" w:ascii="Times New Roman" w:hAnsi="Times New Roman" w:eastAsia="宋体" w:cs="Times New Roman"/>
                      <w:color w:val="auto"/>
                      <w:sz w:val="21"/>
                      <w:szCs w:val="21"/>
                      <w:highlight w:val="none"/>
                      <w:lang w:val="en-US" w:eastAsia="zh-CN"/>
                    </w:rPr>
                    <w:t>浓度（mg/L）</w:t>
                  </w:r>
                </w:p>
              </w:tc>
              <w:tc>
                <w:tcPr>
                  <w:tcW w:w="940" w:type="dxa"/>
                  <w:vAlign w:val="center"/>
                </w:tcPr>
                <w:p w14:paraId="54DE3DC0">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163.8</w:t>
                  </w:r>
                </w:p>
              </w:tc>
              <w:tc>
                <w:tcPr>
                  <w:tcW w:w="953" w:type="dxa"/>
                  <w:vAlign w:val="center"/>
                </w:tcPr>
                <w:p w14:paraId="2F6ABD9A">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10.8</w:t>
                  </w:r>
                </w:p>
              </w:tc>
              <w:tc>
                <w:tcPr>
                  <w:tcW w:w="861" w:type="dxa"/>
                  <w:vAlign w:val="center"/>
                </w:tcPr>
                <w:p w14:paraId="4FB70A2B">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16.1</w:t>
                  </w:r>
                </w:p>
              </w:tc>
              <w:tc>
                <w:tcPr>
                  <w:tcW w:w="1068" w:type="dxa"/>
                  <w:vAlign w:val="center"/>
                </w:tcPr>
                <w:p w14:paraId="32D946D4">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2.25</w:t>
                  </w:r>
                </w:p>
              </w:tc>
            </w:tr>
            <w:tr w14:paraId="695B84B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4306" w:type="dxa"/>
                  <w:gridSpan w:val="2"/>
                  <w:vAlign w:val="center"/>
                </w:tcPr>
                <w:p w14:paraId="0CAE1311">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kern w:val="0"/>
                      <w:sz w:val="21"/>
                      <w:szCs w:val="21"/>
                      <w:highlight w:val="none"/>
                      <w:lang w:val="en-US" w:eastAsia="zh-CN" w:bidi="ar"/>
                    </w:rPr>
                    <w:t>改性</w:t>
                  </w:r>
                  <w:r>
                    <w:rPr>
                      <w:rFonts w:hint="default" w:ascii="Times New Roman" w:hAnsi="Times New Roman" w:eastAsia="宋体" w:cs="Times New Roman"/>
                      <w:color w:val="auto"/>
                      <w:sz w:val="21"/>
                      <w:szCs w:val="21"/>
                      <w:highlight w:val="none"/>
                      <w:lang w:val="en-US" w:eastAsia="zh-CN"/>
                    </w:rPr>
                    <w:t>活性炭吸附罐去除效率（%）</w:t>
                  </w:r>
                </w:p>
              </w:tc>
              <w:tc>
                <w:tcPr>
                  <w:tcW w:w="940" w:type="dxa"/>
                  <w:vAlign w:val="center"/>
                </w:tcPr>
                <w:p w14:paraId="120B18F1">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75</w:t>
                  </w:r>
                </w:p>
              </w:tc>
              <w:tc>
                <w:tcPr>
                  <w:tcW w:w="953" w:type="dxa"/>
                  <w:vAlign w:val="center"/>
                </w:tcPr>
                <w:p w14:paraId="4F12CB36">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60</w:t>
                  </w:r>
                </w:p>
              </w:tc>
              <w:tc>
                <w:tcPr>
                  <w:tcW w:w="861" w:type="dxa"/>
                  <w:vAlign w:val="center"/>
                </w:tcPr>
                <w:p w14:paraId="5153B684">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95</w:t>
                  </w:r>
                </w:p>
              </w:tc>
              <w:tc>
                <w:tcPr>
                  <w:tcW w:w="1068" w:type="dxa"/>
                  <w:vAlign w:val="center"/>
                </w:tcPr>
                <w:p w14:paraId="1A92D0F8">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80</w:t>
                  </w:r>
                </w:p>
              </w:tc>
            </w:tr>
            <w:tr w14:paraId="05698CB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4306" w:type="dxa"/>
                  <w:gridSpan w:val="2"/>
                  <w:vAlign w:val="center"/>
                </w:tcPr>
                <w:p w14:paraId="4D15D2D9">
                  <w:pPr>
                    <w:pStyle w:val="120"/>
                    <w:adjustRightInd/>
                    <w:snapToGrid/>
                    <w:jc w:val="center"/>
                    <w:rPr>
                      <w:rFonts w:hint="eastAsia" w:cs="Times New Roman"/>
                      <w:color w:val="auto"/>
                      <w:kern w:val="0"/>
                      <w:sz w:val="24"/>
                      <w:szCs w:val="24"/>
                      <w:highlight w:val="none"/>
                      <w:lang w:val="en-US" w:eastAsia="zh-CN" w:bidi="ar"/>
                    </w:rPr>
                  </w:pPr>
                  <w:r>
                    <w:rPr>
                      <w:rFonts w:hint="eastAsia" w:cs="Times New Roman"/>
                      <w:color w:val="auto"/>
                      <w:sz w:val="21"/>
                      <w:szCs w:val="21"/>
                      <w:highlight w:val="none"/>
                      <w:lang w:val="en-US" w:eastAsia="zh-CN"/>
                    </w:rPr>
                    <w:t>处理后</w:t>
                  </w:r>
                  <w:r>
                    <w:rPr>
                      <w:rFonts w:hint="default" w:ascii="Times New Roman" w:hAnsi="Times New Roman" w:eastAsia="宋体" w:cs="Times New Roman"/>
                      <w:color w:val="auto"/>
                      <w:sz w:val="21"/>
                      <w:szCs w:val="21"/>
                      <w:highlight w:val="none"/>
                      <w:lang w:val="en-US" w:eastAsia="zh-CN"/>
                    </w:rPr>
                    <w:t>浓度（mg/L）</w:t>
                  </w:r>
                </w:p>
              </w:tc>
              <w:tc>
                <w:tcPr>
                  <w:tcW w:w="940" w:type="dxa"/>
                  <w:vAlign w:val="center"/>
                </w:tcPr>
                <w:p w14:paraId="2323ABDC">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41.0</w:t>
                  </w:r>
                </w:p>
              </w:tc>
              <w:tc>
                <w:tcPr>
                  <w:tcW w:w="953" w:type="dxa"/>
                  <w:vAlign w:val="center"/>
                </w:tcPr>
                <w:p w14:paraId="4E57C63F">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4.3</w:t>
                  </w:r>
                </w:p>
              </w:tc>
              <w:tc>
                <w:tcPr>
                  <w:tcW w:w="861" w:type="dxa"/>
                  <w:vAlign w:val="center"/>
                </w:tcPr>
                <w:p w14:paraId="467D8641">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0.81</w:t>
                  </w:r>
                </w:p>
              </w:tc>
              <w:tc>
                <w:tcPr>
                  <w:tcW w:w="1068" w:type="dxa"/>
                  <w:vAlign w:val="center"/>
                </w:tcPr>
                <w:p w14:paraId="3B199F59">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0.45</w:t>
                  </w:r>
                </w:p>
              </w:tc>
            </w:tr>
            <w:tr w14:paraId="71C3E83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4306" w:type="dxa"/>
                  <w:gridSpan w:val="2"/>
                  <w:vAlign w:val="center"/>
                </w:tcPr>
                <w:p w14:paraId="1766A959">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回用</w:t>
                  </w:r>
                  <w:r>
                    <w:rPr>
                      <w:rFonts w:hint="default" w:ascii="Times New Roman" w:hAnsi="Times New Roman" w:eastAsia="宋体" w:cs="Times New Roman"/>
                      <w:color w:val="auto"/>
                      <w:sz w:val="21"/>
                      <w:szCs w:val="21"/>
                      <w:highlight w:val="none"/>
                      <w:lang w:val="en-US" w:eastAsia="zh-CN"/>
                    </w:rPr>
                    <w:t>标准（mg/L）</w:t>
                  </w:r>
                </w:p>
              </w:tc>
              <w:tc>
                <w:tcPr>
                  <w:tcW w:w="940" w:type="dxa"/>
                  <w:vAlign w:val="center"/>
                </w:tcPr>
                <w:p w14:paraId="2B88A226">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50</w:t>
                  </w:r>
                </w:p>
              </w:tc>
              <w:tc>
                <w:tcPr>
                  <w:tcW w:w="953" w:type="dxa"/>
                  <w:vAlign w:val="center"/>
                </w:tcPr>
                <w:p w14:paraId="6AABB733">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5</w:t>
                  </w:r>
                </w:p>
              </w:tc>
              <w:tc>
                <w:tcPr>
                  <w:tcW w:w="861" w:type="dxa"/>
                  <w:vAlign w:val="center"/>
                </w:tcPr>
                <w:p w14:paraId="21E894BB">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1.0</w:t>
                  </w:r>
                </w:p>
              </w:tc>
              <w:tc>
                <w:tcPr>
                  <w:tcW w:w="1068" w:type="dxa"/>
                  <w:vAlign w:val="center"/>
                </w:tcPr>
                <w:p w14:paraId="213B7E82">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0.5</w:t>
                  </w:r>
                </w:p>
              </w:tc>
            </w:tr>
            <w:tr w14:paraId="7AFDBD8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4306" w:type="dxa"/>
                  <w:gridSpan w:val="2"/>
                  <w:vAlign w:val="center"/>
                </w:tcPr>
                <w:p w14:paraId="72B94009">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达标性</w:t>
                  </w:r>
                </w:p>
              </w:tc>
              <w:tc>
                <w:tcPr>
                  <w:tcW w:w="940" w:type="dxa"/>
                  <w:vAlign w:val="center"/>
                </w:tcPr>
                <w:p w14:paraId="3CB8B587">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达标</w:t>
                  </w:r>
                </w:p>
              </w:tc>
              <w:tc>
                <w:tcPr>
                  <w:tcW w:w="953" w:type="dxa"/>
                  <w:vAlign w:val="center"/>
                </w:tcPr>
                <w:p w14:paraId="5A114493">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达标</w:t>
                  </w:r>
                </w:p>
              </w:tc>
              <w:tc>
                <w:tcPr>
                  <w:tcW w:w="861" w:type="dxa"/>
                  <w:vAlign w:val="center"/>
                </w:tcPr>
                <w:p w14:paraId="259DDD7C">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达标</w:t>
                  </w:r>
                </w:p>
              </w:tc>
              <w:tc>
                <w:tcPr>
                  <w:tcW w:w="1068" w:type="dxa"/>
                  <w:vAlign w:val="center"/>
                </w:tcPr>
                <w:p w14:paraId="29491425">
                  <w:pPr>
                    <w:pStyle w:val="120"/>
                    <w:adjustRightInd/>
                    <w:snapToGrid/>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达标</w:t>
                  </w:r>
                </w:p>
              </w:tc>
            </w:tr>
          </w:tbl>
          <w:p w14:paraId="7F160D09">
            <w:pPr>
              <w:pStyle w:val="5"/>
              <w:spacing w:before="120" w:beforeLines="50"/>
              <w:ind w:firstLine="241"/>
              <w:rPr>
                <w:rFonts w:hint="default"/>
                <w:color w:val="auto"/>
              </w:rPr>
            </w:pPr>
            <w:r>
              <w:rPr>
                <w:color w:val="auto"/>
              </w:rPr>
              <w:t>4.2.</w:t>
            </w:r>
            <w:r>
              <w:rPr>
                <w:rFonts w:hint="eastAsia"/>
                <w:color w:val="auto"/>
                <w:lang w:val="en-US" w:eastAsia="zh-CN"/>
              </w:rPr>
              <w:t>1.</w:t>
            </w:r>
            <w:r>
              <w:rPr>
                <w:color w:val="auto"/>
              </w:rPr>
              <w:t>2废水排放信息汇总</w:t>
            </w:r>
          </w:p>
          <w:p w14:paraId="77080888">
            <w:pPr>
              <w:spacing w:line="360" w:lineRule="auto"/>
              <w:ind w:firstLine="480" w:firstLineChars="200"/>
              <w:rPr>
                <w:color w:val="auto"/>
                <w:sz w:val="24"/>
              </w:rPr>
            </w:pPr>
            <w:r>
              <w:rPr>
                <w:rFonts w:hint="eastAsia"/>
                <w:color w:val="auto"/>
                <w:sz w:val="24"/>
              </w:rPr>
              <w:t>项目</w:t>
            </w:r>
            <w:r>
              <w:rPr>
                <w:rFonts w:hint="eastAsia"/>
                <w:color w:val="auto"/>
                <w:sz w:val="24"/>
                <w:lang w:eastAsia="zh-CN"/>
              </w:rPr>
              <w:t>生活污水</w:t>
            </w:r>
            <w:r>
              <w:rPr>
                <w:rFonts w:hint="eastAsia"/>
                <w:color w:val="auto"/>
                <w:sz w:val="24"/>
              </w:rPr>
              <w:t>经处理后排入市政污水管网，纳入</w:t>
            </w:r>
            <w:r>
              <w:rPr>
                <w:rFonts w:hint="eastAsia"/>
                <w:color w:val="auto"/>
                <w:sz w:val="24"/>
                <w:highlight w:val="none"/>
                <w:lang w:eastAsia="zh-CN"/>
              </w:rPr>
              <w:t>竹岐乡污水处理厂</w:t>
            </w:r>
            <w:r>
              <w:rPr>
                <w:rFonts w:hint="eastAsia"/>
                <w:color w:val="auto"/>
                <w:sz w:val="24"/>
              </w:rPr>
              <w:t>进一步处理。</w:t>
            </w:r>
          </w:p>
          <w:p w14:paraId="7CB00DB0">
            <w:pPr>
              <w:pStyle w:val="19"/>
              <w:jc w:val="center"/>
              <w:rPr>
                <w:rStyle w:val="122"/>
                <w:color w:val="auto"/>
                <w:sz w:val="21"/>
              </w:rPr>
            </w:pPr>
            <w:r>
              <w:rPr>
                <w:rStyle w:val="122"/>
                <w:color w:val="auto"/>
                <w:sz w:val="21"/>
              </w:rPr>
              <w:t>表4.2-</w:t>
            </w:r>
            <w:r>
              <w:rPr>
                <w:rStyle w:val="122"/>
                <w:rFonts w:hint="eastAsia"/>
                <w:color w:val="auto"/>
                <w:sz w:val="21"/>
                <w:lang w:val="en-US" w:eastAsia="zh-CN"/>
              </w:rPr>
              <w:t>3</w:t>
            </w:r>
            <w:r>
              <w:rPr>
                <w:rStyle w:val="122"/>
                <w:color w:val="auto"/>
                <w:sz w:val="21"/>
              </w:rPr>
              <w:t>废水间接排放口情况一览表</w:t>
            </w:r>
          </w:p>
          <w:tbl>
            <w:tblPr>
              <w:tblStyle w:val="32"/>
              <w:tblW w:w="8075" w:type="dxa"/>
              <w:tblInd w:w="5"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51" w:type="dxa"/>
                <w:bottom w:w="0" w:type="dxa"/>
                <w:right w:w="51" w:type="dxa"/>
              </w:tblCellMar>
            </w:tblPr>
            <w:tblGrid>
              <w:gridCol w:w="460"/>
              <w:gridCol w:w="612"/>
              <w:gridCol w:w="817"/>
              <w:gridCol w:w="656"/>
              <w:gridCol w:w="700"/>
              <w:gridCol w:w="685"/>
              <w:gridCol w:w="642"/>
              <w:gridCol w:w="671"/>
              <w:gridCol w:w="643"/>
              <w:gridCol w:w="612"/>
              <w:gridCol w:w="755"/>
              <w:gridCol w:w="822"/>
            </w:tblGrid>
            <w:tr w14:paraId="77325EF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299" w:hRule="atLeast"/>
              </w:trPr>
              <w:tc>
                <w:tcPr>
                  <w:tcW w:w="460" w:type="dxa"/>
                  <w:vMerge w:val="restart"/>
                  <w:vAlign w:val="center"/>
                </w:tcPr>
                <w:p w14:paraId="2DDC2B81">
                  <w:pPr>
                    <w:pStyle w:val="19"/>
                    <w:jc w:val="center"/>
                    <w:rPr>
                      <w:rStyle w:val="122"/>
                      <w:b w:val="0"/>
                      <w:bCs/>
                      <w:color w:val="auto"/>
                      <w:sz w:val="21"/>
                    </w:rPr>
                  </w:pPr>
                  <w:r>
                    <w:rPr>
                      <w:rStyle w:val="122"/>
                      <w:b w:val="0"/>
                      <w:bCs/>
                      <w:color w:val="auto"/>
                      <w:sz w:val="21"/>
                    </w:rPr>
                    <w:t>序号</w:t>
                  </w:r>
                </w:p>
              </w:tc>
              <w:tc>
                <w:tcPr>
                  <w:tcW w:w="612" w:type="dxa"/>
                  <w:vMerge w:val="restart"/>
                  <w:vAlign w:val="center"/>
                </w:tcPr>
                <w:p w14:paraId="1305BF7E">
                  <w:pPr>
                    <w:pStyle w:val="19"/>
                    <w:jc w:val="center"/>
                    <w:rPr>
                      <w:rStyle w:val="122"/>
                      <w:b w:val="0"/>
                      <w:bCs/>
                      <w:color w:val="auto"/>
                      <w:sz w:val="21"/>
                    </w:rPr>
                  </w:pPr>
                  <w:r>
                    <w:rPr>
                      <w:rStyle w:val="122"/>
                      <w:b w:val="0"/>
                      <w:bCs/>
                      <w:color w:val="auto"/>
                      <w:sz w:val="21"/>
                    </w:rPr>
                    <w:t>废水类别</w:t>
                  </w:r>
                </w:p>
              </w:tc>
              <w:tc>
                <w:tcPr>
                  <w:tcW w:w="817" w:type="dxa"/>
                  <w:vMerge w:val="restart"/>
                  <w:vAlign w:val="center"/>
                </w:tcPr>
                <w:p w14:paraId="619F5664">
                  <w:pPr>
                    <w:pStyle w:val="19"/>
                    <w:jc w:val="center"/>
                    <w:rPr>
                      <w:rStyle w:val="122"/>
                      <w:b w:val="0"/>
                      <w:bCs/>
                      <w:color w:val="auto"/>
                      <w:sz w:val="21"/>
                    </w:rPr>
                  </w:pPr>
                  <w:r>
                    <w:rPr>
                      <w:rStyle w:val="122"/>
                      <w:b w:val="0"/>
                      <w:bCs/>
                      <w:color w:val="auto"/>
                      <w:sz w:val="21"/>
                    </w:rPr>
                    <w:t>污染物种类</w:t>
                  </w:r>
                </w:p>
              </w:tc>
              <w:tc>
                <w:tcPr>
                  <w:tcW w:w="656" w:type="dxa"/>
                  <w:vMerge w:val="restart"/>
                  <w:vAlign w:val="center"/>
                </w:tcPr>
                <w:p w14:paraId="272F16B5">
                  <w:pPr>
                    <w:pStyle w:val="19"/>
                    <w:jc w:val="center"/>
                    <w:rPr>
                      <w:rStyle w:val="122"/>
                      <w:b w:val="0"/>
                      <w:bCs/>
                      <w:color w:val="auto"/>
                      <w:sz w:val="21"/>
                    </w:rPr>
                  </w:pPr>
                  <w:r>
                    <w:rPr>
                      <w:rStyle w:val="122"/>
                      <w:b w:val="0"/>
                      <w:bCs/>
                      <w:color w:val="auto"/>
                      <w:sz w:val="21"/>
                    </w:rPr>
                    <w:t>排放去向</w:t>
                  </w:r>
                </w:p>
              </w:tc>
              <w:tc>
                <w:tcPr>
                  <w:tcW w:w="700" w:type="dxa"/>
                  <w:vMerge w:val="restart"/>
                  <w:vAlign w:val="center"/>
                </w:tcPr>
                <w:p w14:paraId="4EE89A1D">
                  <w:pPr>
                    <w:pStyle w:val="19"/>
                    <w:jc w:val="center"/>
                    <w:rPr>
                      <w:rStyle w:val="122"/>
                      <w:b w:val="0"/>
                      <w:bCs/>
                      <w:color w:val="auto"/>
                      <w:sz w:val="21"/>
                    </w:rPr>
                  </w:pPr>
                  <w:r>
                    <w:rPr>
                      <w:rStyle w:val="122"/>
                      <w:b w:val="0"/>
                      <w:bCs/>
                      <w:color w:val="auto"/>
                      <w:sz w:val="21"/>
                    </w:rPr>
                    <w:t>排放规律</w:t>
                  </w:r>
                </w:p>
              </w:tc>
              <w:tc>
                <w:tcPr>
                  <w:tcW w:w="2641" w:type="dxa"/>
                  <w:gridSpan w:val="4"/>
                  <w:vAlign w:val="center"/>
                </w:tcPr>
                <w:p w14:paraId="38D6900B">
                  <w:pPr>
                    <w:pStyle w:val="19"/>
                    <w:jc w:val="center"/>
                    <w:rPr>
                      <w:rStyle w:val="122"/>
                      <w:b w:val="0"/>
                      <w:bCs/>
                      <w:color w:val="auto"/>
                      <w:sz w:val="21"/>
                    </w:rPr>
                  </w:pPr>
                  <w:r>
                    <w:rPr>
                      <w:rStyle w:val="122"/>
                      <w:b w:val="0"/>
                      <w:bCs/>
                      <w:color w:val="auto"/>
                      <w:sz w:val="21"/>
                    </w:rPr>
                    <w:t>污染治理设施</w:t>
                  </w:r>
                </w:p>
              </w:tc>
              <w:tc>
                <w:tcPr>
                  <w:tcW w:w="612" w:type="dxa"/>
                  <w:vMerge w:val="restart"/>
                  <w:vAlign w:val="center"/>
                </w:tcPr>
                <w:p w14:paraId="77638F2F">
                  <w:pPr>
                    <w:pStyle w:val="19"/>
                    <w:jc w:val="center"/>
                    <w:rPr>
                      <w:rStyle w:val="122"/>
                      <w:b w:val="0"/>
                      <w:bCs/>
                      <w:color w:val="auto"/>
                      <w:sz w:val="21"/>
                    </w:rPr>
                  </w:pPr>
                  <w:r>
                    <w:rPr>
                      <w:rStyle w:val="122"/>
                      <w:b w:val="0"/>
                      <w:bCs/>
                      <w:color w:val="auto"/>
                      <w:sz w:val="21"/>
                    </w:rPr>
                    <w:t>排放口编号</w:t>
                  </w:r>
                </w:p>
              </w:tc>
              <w:tc>
                <w:tcPr>
                  <w:tcW w:w="755" w:type="dxa"/>
                  <w:vMerge w:val="restart"/>
                  <w:vAlign w:val="center"/>
                </w:tcPr>
                <w:p w14:paraId="0719DAE6">
                  <w:pPr>
                    <w:pStyle w:val="19"/>
                    <w:jc w:val="center"/>
                    <w:rPr>
                      <w:rStyle w:val="122"/>
                      <w:b w:val="0"/>
                      <w:bCs/>
                      <w:color w:val="auto"/>
                      <w:sz w:val="21"/>
                    </w:rPr>
                  </w:pPr>
                  <w:r>
                    <w:rPr>
                      <w:rStyle w:val="122"/>
                      <w:b w:val="0"/>
                      <w:bCs/>
                      <w:color w:val="auto"/>
                      <w:sz w:val="21"/>
                    </w:rPr>
                    <w:t>排放口设施是否符合要求</w:t>
                  </w:r>
                </w:p>
              </w:tc>
              <w:tc>
                <w:tcPr>
                  <w:tcW w:w="822" w:type="dxa"/>
                  <w:vMerge w:val="restart"/>
                  <w:vAlign w:val="center"/>
                </w:tcPr>
                <w:p w14:paraId="656B6668">
                  <w:pPr>
                    <w:pStyle w:val="19"/>
                    <w:jc w:val="center"/>
                    <w:rPr>
                      <w:rStyle w:val="122"/>
                      <w:b w:val="0"/>
                      <w:bCs/>
                      <w:color w:val="auto"/>
                      <w:sz w:val="21"/>
                    </w:rPr>
                  </w:pPr>
                  <w:r>
                    <w:rPr>
                      <w:rStyle w:val="122"/>
                      <w:b w:val="0"/>
                      <w:bCs/>
                      <w:color w:val="auto"/>
                      <w:sz w:val="21"/>
                    </w:rPr>
                    <w:t>排放口类型</w:t>
                  </w:r>
                </w:p>
              </w:tc>
            </w:tr>
            <w:tr w14:paraId="250332B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874" w:hRule="atLeast"/>
              </w:trPr>
              <w:tc>
                <w:tcPr>
                  <w:tcW w:w="460" w:type="dxa"/>
                  <w:vMerge w:val="continue"/>
                  <w:vAlign w:val="center"/>
                </w:tcPr>
                <w:p w14:paraId="63AB135E">
                  <w:pPr>
                    <w:pStyle w:val="19"/>
                    <w:jc w:val="center"/>
                    <w:rPr>
                      <w:rStyle w:val="122"/>
                      <w:b w:val="0"/>
                      <w:bCs/>
                      <w:color w:val="auto"/>
                      <w:sz w:val="21"/>
                    </w:rPr>
                  </w:pPr>
                </w:p>
              </w:tc>
              <w:tc>
                <w:tcPr>
                  <w:tcW w:w="612" w:type="dxa"/>
                  <w:vMerge w:val="continue"/>
                  <w:vAlign w:val="center"/>
                </w:tcPr>
                <w:p w14:paraId="251CC6D8">
                  <w:pPr>
                    <w:pStyle w:val="19"/>
                    <w:jc w:val="center"/>
                    <w:rPr>
                      <w:rStyle w:val="122"/>
                      <w:b w:val="0"/>
                      <w:bCs/>
                      <w:color w:val="auto"/>
                      <w:sz w:val="21"/>
                    </w:rPr>
                  </w:pPr>
                </w:p>
              </w:tc>
              <w:tc>
                <w:tcPr>
                  <w:tcW w:w="817" w:type="dxa"/>
                  <w:vMerge w:val="continue"/>
                  <w:vAlign w:val="center"/>
                </w:tcPr>
                <w:p w14:paraId="6AF1069A">
                  <w:pPr>
                    <w:pStyle w:val="19"/>
                    <w:jc w:val="center"/>
                    <w:rPr>
                      <w:rStyle w:val="122"/>
                      <w:b w:val="0"/>
                      <w:bCs/>
                      <w:color w:val="auto"/>
                      <w:sz w:val="21"/>
                    </w:rPr>
                  </w:pPr>
                </w:p>
              </w:tc>
              <w:tc>
                <w:tcPr>
                  <w:tcW w:w="656" w:type="dxa"/>
                  <w:vMerge w:val="continue"/>
                  <w:vAlign w:val="center"/>
                </w:tcPr>
                <w:p w14:paraId="7C632227">
                  <w:pPr>
                    <w:pStyle w:val="19"/>
                    <w:jc w:val="center"/>
                    <w:rPr>
                      <w:rStyle w:val="122"/>
                      <w:b w:val="0"/>
                      <w:bCs/>
                      <w:color w:val="auto"/>
                      <w:sz w:val="21"/>
                    </w:rPr>
                  </w:pPr>
                </w:p>
              </w:tc>
              <w:tc>
                <w:tcPr>
                  <w:tcW w:w="700" w:type="dxa"/>
                  <w:vMerge w:val="continue"/>
                  <w:vAlign w:val="center"/>
                </w:tcPr>
                <w:p w14:paraId="6A9282D8">
                  <w:pPr>
                    <w:pStyle w:val="19"/>
                    <w:jc w:val="center"/>
                    <w:rPr>
                      <w:rStyle w:val="122"/>
                      <w:b w:val="0"/>
                      <w:bCs/>
                      <w:color w:val="auto"/>
                      <w:sz w:val="21"/>
                    </w:rPr>
                  </w:pPr>
                </w:p>
              </w:tc>
              <w:tc>
                <w:tcPr>
                  <w:tcW w:w="685" w:type="dxa"/>
                  <w:vAlign w:val="center"/>
                </w:tcPr>
                <w:p w14:paraId="2BA01C69">
                  <w:pPr>
                    <w:pStyle w:val="19"/>
                    <w:jc w:val="center"/>
                    <w:rPr>
                      <w:rStyle w:val="122"/>
                      <w:b w:val="0"/>
                      <w:bCs/>
                      <w:color w:val="auto"/>
                      <w:sz w:val="21"/>
                    </w:rPr>
                  </w:pPr>
                  <w:r>
                    <w:rPr>
                      <w:rStyle w:val="122"/>
                      <w:b w:val="0"/>
                      <w:bCs/>
                      <w:color w:val="auto"/>
                      <w:sz w:val="21"/>
                    </w:rPr>
                    <w:t>污染治理设施编号</w:t>
                  </w:r>
                </w:p>
              </w:tc>
              <w:tc>
                <w:tcPr>
                  <w:tcW w:w="642" w:type="dxa"/>
                  <w:vAlign w:val="center"/>
                </w:tcPr>
                <w:p w14:paraId="339C0D84">
                  <w:pPr>
                    <w:pStyle w:val="19"/>
                    <w:jc w:val="center"/>
                    <w:rPr>
                      <w:rStyle w:val="122"/>
                      <w:b w:val="0"/>
                      <w:bCs/>
                      <w:color w:val="auto"/>
                      <w:sz w:val="21"/>
                    </w:rPr>
                  </w:pPr>
                  <w:r>
                    <w:rPr>
                      <w:rStyle w:val="122"/>
                      <w:b w:val="0"/>
                      <w:bCs/>
                      <w:color w:val="auto"/>
                      <w:sz w:val="21"/>
                    </w:rPr>
                    <w:t>污染治理设施名称</w:t>
                  </w:r>
                </w:p>
              </w:tc>
              <w:tc>
                <w:tcPr>
                  <w:tcW w:w="671" w:type="dxa"/>
                  <w:vAlign w:val="center"/>
                </w:tcPr>
                <w:p w14:paraId="11477343">
                  <w:pPr>
                    <w:pStyle w:val="19"/>
                    <w:jc w:val="center"/>
                    <w:rPr>
                      <w:rStyle w:val="122"/>
                      <w:b w:val="0"/>
                      <w:bCs/>
                      <w:color w:val="auto"/>
                      <w:sz w:val="21"/>
                    </w:rPr>
                  </w:pPr>
                  <w:r>
                    <w:rPr>
                      <w:rStyle w:val="122"/>
                      <w:b w:val="0"/>
                      <w:bCs/>
                      <w:color w:val="auto"/>
                      <w:sz w:val="21"/>
                    </w:rPr>
                    <w:t>污染治理设施工艺</w:t>
                  </w:r>
                </w:p>
              </w:tc>
              <w:tc>
                <w:tcPr>
                  <w:tcW w:w="643" w:type="dxa"/>
                  <w:vAlign w:val="center"/>
                </w:tcPr>
                <w:p w14:paraId="1865A213">
                  <w:pPr>
                    <w:pStyle w:val="19"/>
                    <w:jc w:val="center"/>
                    <w:rPr>
                      <w:rStyle w:val="122"/>
                      <w:b w:val="0"/>
                      <w:bCs/>
                      <w:color w:val="auto"/>
                      <w:sz w:val="21"/>
                    </w:rPr>
                  </w:pPr>
                  <w:r>
                    <w:rPr>
                      <w:rStyle w:val="122"/>
                      <w:b w:val="0"/>
                      <w:bCs/>
                      <w:color w:val="auto"/>
                      <w:sz w:val="21"/>
                    </w:rPr>
                    <w:t>是否为可行技术</w:t>
                  </w:r>
                </w:p>
              </w:tc>
              <w:tc>
                <w:tcPr>
                  <w:tcW w:w="612" w:type="dxa"/>
                  <w:vMerge w:val="continue"/>
                  <w:vAlign w:val="center"/>
                </w:tcPr>
                <w:p w14:paraId="2060C7AA">
                  <w:pPr>
                    <w:pStyle w:val="19"/>
                    <w:jc w:val="center"/>
                    <w:rPr>
                      <w:rStyle w:val="122"/>
                      <w:b w:val="0"/>
                      <w:bCs/>
                      <w:color w:val="auto"/>
                      <w:sz w:val="21"/>
                    </w:rPr>
                  </w:pPr>
                </w:p>
              </w:tc>
              <w:tc>
                <w:tcPr>
                  <w:tcW w:w="755" w:type="dxa"/>
                  <w:vMerge w:val="continue"/>
                  <w:vAlign w:val="center"/>
                </w:tcPr>
                <w:p w14:paraId="3A0CC237">
                  <w:pPr>
                    <w:pStyle w:val="19"/>
                    <w:jc w:val="center"/>
                    <w:rPr>
                      <w:rStyle w:val="122"/>
                      <w:b w:val="0"/>
                      <w:bCs/>
                      <w:color w:val="auto"/>
                      <w:sz w:val="21"/>
                    </w:rPr>
                  </w:pPr>
                </w:p>
              </w:tc>
              <w:tc>
                <w:tcPr>
                  <w:tcW w:w="822" w:type="dxa"/>
                  <w:vMerge w:val="continue"/>
                  <w:vAlign w:val="center"/>
                </w:tcPr>
                <w:p w14:paraId="2DB5D7F4">
                  <w:pPr>
                    <w:pStyle w:val="19"/>
                    <w:jc w:val="center"/>
                    <w:rPr>
                      <w:rStyle w:val="122"/>
                      <w:b w:val="0"/>
                      <w:bCs/>
                      <w:color w:val="auto"/>
                      <w:sz w:val="21"/>
                    </w:rPr>
                  </w:pPr>
                </w:p>
              </w:tc>
            </w:tr>
            <w:tr w14:paraId="2A59976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2548" w:hRule="atLeast"/>
              </w:trPr>
              <w:tc>
                <w:tcPr>
                  <w:tcW w:w="460" w:type="dxa"/>
                  <w:vAlign w:val="center"/>
                </w:tcPr>
                <w:p w14:paraId="60C66927">
                  <w:pPr>
                    <w:pStyle w:val="19"/>
                    <w:jc w:val="center"/>
                    <w:rPr>
                      <w:rStyle w:val="122"/>
                      <w:b w:val="0"/>
                      <w:bCs/>
                      <w:color w:val="auto"/>
                      <w:sz w:val="21"/>
                    </w:rPr>
                  </w:pPr>
                  <w:r>
                    <w:rPr>
                      <w:rStyle w:val="122"/>
                      <w:b w:val="0"/>
                      <w:bCs/>
                      <w:color w:val="auto"/>
                      <w:sz w:val="21"/>
                    </w:rPr>
                    <w:t>1</w:t>
                  </w:r>
                </w:p>
              </w:tc>
              <w:tc>
                <w:tcPr>
                  <w:tcW w:w="612" w:type="dxa"/>
                  <w:vAlign w:val="center"/>
                </w:tcPr>
                <w:p w14:paraId="015D5887">
                  <w:pPr>
                    <w:pStyle w:val="19"/>
                    <w:jc w:val="center"/>
                    <w:rPr>
                      <w:rStyle w:val="122"/>
                      <w:b w:val="0"/>
                      <w:bCs/>
                      <w:color w:val="auto"/>
                      <w:sz w:val="21"/>
                    </w:rPr>
                  </w:pPr>
                  <w:r>
                    <w:rPr>
                      <w:rStyle w:val="122"/>
                      <w:rFonts w:hint="eastAsia"/>
                      <w:b w:val="0"/>
                      <w:bCs/>
                      <w:color w:val="auto"/>
                      <w:sz w:val="21"/>
                      <w:lang w:eastAsia="zh-CN"/>
                    </w:rPr>
                    <w:t>生活</w:t>
                  </w:r>
                  <w:r>
                    <w:rPr>
                      <w:rFonts w:hint="eastAsia"/>
                      <w:color w:val="auto"/>
                      <w:sz w:val="24"/>
                      <w:lang w:eastAsia="zh-CN"/>
                    </w:rPr>
                    <w:t>污水</w:t>
                  </w:r>
                </w:p>
              </w:tc>
              <w:tc>
                <w:tcPr>
                  <w:tcW w:w="817" w:type="dxa"/>
                  <w:vAlign w:val="center"/>
                </w:tcPr>
                <w:p w14:paraId="594F6154">
                  <w:pPr>
                    <w:pStyle w:val="19"/>
                    <w:jc w:val="center"/>
                    <w:rPr>
                      <w:rStyle w:val="122"/>
                      <w:b w:val="0"/>
                      <w:bCs/>
                      <w:color w:val="auto"/>
                      <w:sz w:val="21"/>
                    </w:rPr>
                  </w:pPr>
                  <w:r>
                    <w:rPr>
                      <w:rStyle w:val="122"/>
                      <w:b w:val="0"/>
                      <w:bCs/>
                      <w:color w:val="auto"/>
                      <w:sz w:val="21"/>
                    </w:rPr>
                    <w:t>pH、COD、BOD</w:t>
                  </w:r>
                  <w:r>
                    <w:rPr>
                      <w:rStyle w:val="122"/>
                      <w:b w:val="0"/>
                      <w:bCs/>
                      <w:color w:val="auto"/>
                      <w:sz w:val="21"/>
                      <w:vertAlign w:val="subscript"/>
                    </w:rPr>
                    <w:t>5</w:t>
                  </w:r>
                  <w:r>
                    <w:rPr>
                      <w:rStyle w:val="122"/>
                      <w:b w:val="0"/>
                      <w:bCs/>
                      <w:color w:val="auto"/>
                      <w:sz w:val="21"/>
                    </w:rPr>
                    <w:t>、SS、NH</w:t>
                  </w:r>
                  <w:r>
                    <w:rPr>
                      <w:rStyle w:val="122"/>
                      <w:b w:val="0"/>
                      <w:bCs/>
                      <w:color w:val="auto"/>
                      <w:sz w:val="21"/>
                      <w:vertAlign w:val="subscript"/>
                    </w:rPr>
                    <w:t>3</w:t>
                  </w:r>
                  <w:r>
                    <w:rPr>
                      <w:rStyle w:val="122"/>
                      <w:b w:val="0"/>
                      <w:bCs/>
                      <w:color w:val="auto"/>
                      <w:sz w:val="21"/>
                    </w:rPr>
                    <w:t>-N、</w:t>
                  </w:r>
                </w:p>
              </w:tc>
              <w:tc>
                <w:tcPr>
                  <w:tcW w:w="656" w:type="dxa"/>
                  <w:vAlign w:val="center"/>
                </w:tcPr>
                <w:p w14:paraId="7EA7C0D9">
                  <w:pPr>
                    <w:pStyle w:val="19"/>
                    <w:jc w:val="center"/>
                    <w:rPr>
                      <w:rStyle w:val="122"/>
                      <w:rFonts w:hint="eastAsia" w:eastAsia="宋体"/>
                      <w:b w:val="0"/>
                      <w:bCs/>
                      <w:color w:val="auto"/>
                      <w:sz w:val="21"/>
                      <w:lang w:eastAsia="zh-CN"/>
                    </w:rPr>
                  </w:pPr>
                  <w:r>
                    <w:rPr>
                      <w:rFonts w:hint="eastAsia"/>
                      <w:color w:val="auto"/>
                      <w:sz w:val="21"/>
                      <w:szCs w:val="21"/>
                      <w:lang w:eastAsia="zh-CN"/>
                    </w:rPr>
                    <w:t>竹岐乡污水处理厂</w:t>
                  </w:r>
                </w:p>
              </w:tc>
              <w:tc>
                <w:tcPr>
                  <w:tcW w:w="700" w:type="dxa"/>
                  <w:vAlign w:val="center"/>
                </w:tcPr>
                <w:p w14:paraId="449B90A3">
                  <w:pPr>
                    <w:pStyle w:val="19"/>
                    <w:jc w:val="center"/>
                    <w:rPr>
                      <w:rStyle w:val="122"/>
                      <w:b w:val="0"/>
                      <w:bCs/>
                      <w:color w:val="auto"/>
                      <w:sz w:val="21"/>
                    </w:rPr>
                  </w:pPr>
                  <w:r>
                    <w:rPr>
                      <w:rStyle w:val="122"/>
                      <w:b w:val="0"/>
                      <w:bCs/>
                      <w:color w:val="auto"/>
                      <w:sz w:val="21"/>
                    </w:rPr>
                    <w:t>间断排放，排放期间流量不稳定但不属于冲击型</w:t>
                  </w:r>
                </w:p>
              </w:tc>
              <w:tc>
                <w:tcPr>
                  <w:tcW w:w="685" w:type="dxa"/>
                  <w:vAlign w:val="center"/>
                </w:tcPr>
                <w:p w14:paraId="5FB2D9CF">
                  <w:pPr>
                    <w:pStyle w:val="19"/>
                    <w:jc w:val="center"/>
                    <w:rPr>
                      <w:rStyle w:val="122"/>
                      <w:b w:val="0"/>
                      <w:bCs/>
                      <w:color w:val="auto"/>
                      <w:sz w:val="21"/>
                    </w:rPr>
                  </w:pPr>
                  <w:r>
                    <w:rPr>
                      <w:rStyle w:val="122"/>
                      <w:b w:val="0"/>
                      <w:bCs/>
                      <w:color w:val="auto"/>
                      <w:sz w:val="21"/>
                    </w:rPr>
                    <w:t>TW001</w:t>
                  </w:r>
                </w:p>
              </w:tc>
              <w:tc>
                <w:tcPr>
                  <w:tcW w:w="642" w:type="dxa"/>
                  <w:vAlign w:val="center"/>
                </w:tcPr>
                <w:p w14:paraId="48536BDA">
                  <w:pPr>
                    <w:pStyle w:val="19"/>
                    <w:jc w:val="center"/>
                    <w:rPr>
                      <w:rStyle w:val="122"/>
                      <w:b w:val="0"/>
                      <w:bCs/>
                      <w:color w:val="auto"/>
                      <w:sz w:val="21"/>
                    </w:rPr>
                  </w:pPr>
                  <w:r>
                    <w:rPr>
                      <w:rStyle w:val="122"/>
                      <w:b w:val="0"/>
                      <w:bCs/>
                      <w:color w:val="auto"/>
                      <w:sz w:val="21"/>
                    </w:rPr>
                    <w:t>化粪池</w:t>
                  </w:r>
                </w:p>
              </w:tc>
              <w:tc>
                <w:tcPr>
                  <w:tcW w:w="671" w:type="dxa"/>
                  <w:vAlign w:val="center"/>
                </w:tcPr>
                <w:p w14:paraId="79A7319E">
                  <w:pPr>
                    <w:pStyle w:val="19"/>
                    <w:jc w:val="center"/>
                    <w:rPr>
                      <w:rStyle w:val="122"/>
                      <w:b w:val="0"/>
                      <w:bCs/>
                      <w:color w:val="auto"/>
                      <w:sz w:val="21"/>
                    </w:rPr>
                  </w:pPr>
                  <w:r>
                    <w:rPr>
                      <w:rStyle w:val="122"/>
                      <w:b w:val="0"/>
                      <w:bCs/>
                      <w:color w:val="auto"/>
                      <w:sz w:val="21"/>
                    </w:rPr>
                    <w:t>沉淀</w:t>
                  </w:r>
                </w:p>
              </w:tc>
              <w:tc>
                <w:tcPr>
                  <w:tcW w:w="643" w:type="dxa"/>
                  <w:vAlign w:val="center"/>
                </w:tcPr>
                <w:p w14:paraId="460B94D3">
                  <w:pPr>
                    <w:pStyle w:val="19"/>
                    <w:jc w:val="center"/>
                    <w:rPr>
                      <w:rStyle w:val="122"/>
                      <w:b w:val="0"/>
                      <w:bCs/>
                      <w:color w:val="auto"/>
                      <w:sz w:val="21"/>
                    </w:rPr>
                  </w:pPr>
                  <w:r>
                    <w:rPr>
                      <w:rStyle w:val="122"/>
                      <w:rFonts w:hint="eastAsia"/>
                      <w:b w:val="0"/>
                      <w:bCs/>
                      <w:color w:val="auto"/>
                      <w:sz w:val="21"/>
                      <w:lang w:eastAsia="zh-CN"/>
                    </w:rPr>
                    <w:sym w:font="Wingdings" w:char="00FE"/>
                  </w:r>
                  <w:r>
                    <w:rPr>
                      <w:rStyle w:val="122"/>
                      <w:b w:val="0"/>
                      <w:bCs/>
                      <w:color w:val="auto"/>
                      <w:sz w:val="21"/>
                    </w:rPr>
                    <w:t>是</w:t>
                  </w:r>
                </w:p>
                <w:p w14:paraId="15A5904C">
                  <w:pPr>
                    <w:pStyle w:val="19"/>
                    <w:jc w:val="center"/>
                    <w:rPr>
                      <w:rStyle w:val="122"/>
                      <w:b w:val="0"/>
                      <w:bCs/>
                      <w:color w:val="auto"/>
                      <w:sz w:val="21"/>
                    </w:rPr>
                  </w:pPr>
                  <w:r>
                    <w:rPr>
                      <w:rStyle w:val="122"/>
                      <w:rFonts w:hint="eastAsia"/>
                      <w:b w:val="0"/>
                      <w:bCs/>
                      <w:color w:val="auto"/>
                      <w:sz w:val="21"/>
                      <w:lang w:eastAsia="zh-CN"/>
                    </w:rPr>
                    <w:sym w:font="Wingdings" w:char="00A8"/>
                  </w:r>
                  <w:r>
                    <w:rPr>
                      <w:rStyle w:val="122"/>
                      <w:b w:val="0"/>
                      <w:bCs/>
                      <w:color w:val="auto"/>
                      <w:sz w:val="21"/>
                    </w:rPr>
                    <w:t>否</w:t>
                  </w:r>
                </w:p>
                <w:p w14:paraId="1CB4F0F1">
                  <w:pPr>
                    <w:pStyle w:val="19"/>
                    <w:jc w:val="center"/>
                    <w:rPr>
                      <w:rStyle w:val="122"/>
                      <w:b w:val="0"/>
                      <w:bCs/>
                      <w:color w:val="auto"/>
                      <w:sz w:val="21"/>
                    </w:rPr>
                  </w:pPr>
                  <w:r>
                    <w:rPr>
                      <w:rStyle w:val="122"/>
                      <w:b w:val="0"/>
                      <w:bCs/>
                      <w:color w:val="auto"/>
                      <w:sz w:val="21"/>
                    </w:rPr>
                    <w:t>如否，应提供相关证明材料</w:t>
                  </w:r>
                </w:p>
              </w:tc>
              <w:tc>
                <w:tcPr>
                  <w:tcW w:w="612" w:type="dxa"/>
                  <w:vAlign w:val="center"/>
                </w:tcPr>
                <w:p w14:paraId="33ABB5E3">
                  <w:pPr>
                    <w:pStyle w:val="19"/>
                    <w:jc w:val="center"/>
                    <w:rPr>
                      <w:rStyle w:val="122"/>
                      <w:b w:val="0"/>
                      <w:bCs/>
                      <w:color w:val="auto"/>
                      <w:sz w:val="21"/>
                    </w:rPr>
                  </w:pPr>
                  <w:r>
                    <w:rPr>
                      <w:rStyle w:val="122"/>
                      <w:b w:val="0"/>
                      <w:bCs/>
                      <w:color w:val="auto"/>
                      <w:sz w:val="21"/>
                    </w:rPr>
                    <w:t>DW001</w:t>
                  </w:r>
                </w:p>
              </w:tc>
              <w:tc>
                <w:tcPr>
                  <w:tcW w:w="755" w:type="dxa"/>
                  <w:vAlign w:val="center"/>
                </w:tcPr>
                <w:p w14:paraId="58C200B0">
                  <w:pPr>
                    <w:pStyle w:val="19"/>
                    <w:jc w:val="center"/>
                    <w:rPr>
                      <w:rStyle w:val="122"/>
                      <w:b w:val="0"/>
                      <w:bCs/>
                      <w:color w:val="auto"/>
                      <w:sz w:val="21"/>
                    </w:rPr>
                  </w:pPr>
                  <w:r>
                    <w:rPr>
                      <w:rStyle w:val="122"/>
                      <w:rFonts w:hint="eastAsia"/>
                      <w:b w:val="0"/>
                      <w:bCs/>
                      <w:color w:val="auto"/>
                      <w:sz w:val="21"/>
                      <w:lang w:eastAsia="zh-CN"/>
                    </w:rPr>
                    <w:sym w:font="Wingdings" w:char="00FE"/>
                  </w:r>
                  <w:r>
                    <w:rPr>
                      <w:rStyle w:val="122"/>
                      <w:b w:val="0"/>
                      <w:bCs/>
                      <w:color w:val="auto"/>
                      <w:sz w:val="21"/>
                    </w:rPr>
                    <w:t>是</w:t>
                  </w:r>
                </w:p>
                <w:p w14:paraId="278202BC">
                  <w:pPr>
                    <w:pStyle w:val="19"/>
                    <w:jc w:val="center"/>
                    <w:rPr>
                      <w:rStyle w:val="122"/>
                      <w:b w:val="0"/>
                      <w:bCs/>
                      <w:color w:val="auto"/>
                      <w:sz w:val="21"/>
                    </w:rPr>
                  </w:pPr>
                  <w:r>
                    <w:rPr>
                      <w:rStyle w:val="122"/>
                      <w:rFonts w:hint="eastAsia"/>
                      <w:b w:val="0"/>
                      <w:bCs/>
                      <w:color w:val="auto"/>
                      <w:sz w:val="21"/>
                      <w:lang w:eastAsia="zh-CN"/>
                    </w:rPr>
                    <w:sym w:font="Wingdings" w:char="00A8"/>
                  </w:r>
                  <w:r>
                    <w:rPr>
                      <w:rStyle w:val="122"/>
                      <w:b w:val="0"/>
                      <w:bCs/>
                      <w:color w:val="auto"/>
                      <w:sz w:val="21"/>
                    </w:rPr>
                    <w:t>否</w:t>
                  </w:r>
                </w:p>
              </w:tc>
              <w:tc>
                <w:tcPr>
                  <w:tcW w:w="822" w:type="dxa"/>
                  <w:vAlign w:val="center"/>
                </w:tcPr>
                <w:p w14:paraId="10749D0D">
                  <w:pPr>
                    <w:pStyle w:val="19"/>
                    <w:jc w:val="center"/>
                    <w:rPr>
                      <w:rStyle w:val="122"/>
                      <w:b w:val="0"/>
                      <w:bCs/>
                      <w:color w:val="auto"/>
                      <w:sz w:val="21"/>
                    </w:rPr>
                  </w:pPr>
                  <w:r>
                    <w:rPr>
                      <w:rStyle w:val="122"/>
                      <w:rFonts w:hint="eastAsia"/>
                      <w:b w:val="0"/>
                      <w:bCs/>
                      <w:color w:val="auto"/>
                      <w:sz w:val="21"/>
                      <w:lang w:eastAsia="zh-CN"/>
                    </w:rPr>
                    <w:sym w:font="Wingdings" w:char="00A8"/>
                  </w:r>
                  <w:r>
                    <w:rPr>
                      <w:rStyle w:val="122"/>
                      <w:b w:val="0"/>
                      <w:bCs/>
                      <w:color w:val="auto"/>
                      <w:sz w:val="21"/>
                    </w:rPr>
                    <w:t>主要排放口</w:t>
                  </w:r>
                </w:p>
                <w:p w14:paraId="42479C6E">
                  <w:pPr>
                    <w:pStyle w:val="19"/>
                    <w:jc w:val="center"/>
                    <w:rPr>
                      <w:rStyle w:val="122"/>
                      <w:b w:val="0"/>
                      <w:bCs/>
                      <w:color w:val="auto"/>
                      <w:sz w:val="21"/>
                    </w:rPr>
                  </w:pPr>
                </w:p>
                <w:p w14:paraId="2E02CA75">
                  <w:pPr>
                    <w:pStyle w:val="19"/>
                    <w:jc w:val="center"/>
                    <w:rPr>
                      <w:rStyle w:val="122"/>
                      <w:b w:val="0"/>
                      <w:bCs/>
                      <w:color w:val="auto"/>
                      <w:sz w:val="21"/>
                    </w:rPr>
                  </w:pPr>
                  <w:r>
                    <w:rPr>
                      <w:rStyle w:val="122"/>
                      <w:rFonts w:hint="eastAsia"/>
                      <w:b w:val="0"/>
                      <w:bCs/>
                      <w:color w:val="auto"/>
                      <w:sz w:val="21"/>
                      <w:lang w:eastAsia="zh-CN"/>
                    </w:rPr>
                    <w:sym w:font="Wingdings" w:char="00FE"/>
                  </w:r>
                  <w:r>
                    <w:rPr>
                      <w:rStyle w:val="122"/>
                      <w:b w:val="0"/>
                      <w:bCs/>
                      <w:color w:val="auto"/>
                      <w:sz w:val="21"/>
                    </w:rPr>
                    <w:t>一般排放口</w:t>
                  </w:r>
                </w:p>
                <w:p w14:paraId="613B2169">
                  <w:pPr>
                    <w:pStyle w:val="19"/>
                    <w:jc w:val="center"/>
                    <w:rPr>
                      <w:rStyle w:val="122"/>
                      <w:b w:val="0"/>
                      <w:bCs/>
                      <w:color w:val="auto"/>
                      <w:sz w:val="21"/>
                    </w:rPr>
                  </w:pPr>
                </w:p>
                <w:p w14:paraId="62242EB6">
                  <w:pPr>
                    <w:pStyle w:val="19"/>
                    <w:jc w:val="center"/>
                    <w:rPr>
                      <w:rStyle w:val="122"/>
                      <w:b w:val="0"/>
                      <w:bCs/>
                      <w:color w:val="auto"/>
                      <w:sz w:val="21"/>
                    </w:rPr>
                  </w:pPr>
                  <w:r>
                    <w:rPr>
                      <w:rStyle w:val="122"/>
                      <w:rFonts w:hint="eastAsia"/>
                      <w:b w:val="0"/>
                      <w:bCs/>
                      <w:color w:val="auto"/>
                      <w:sz w:val="21"/>
                      <w:lang w:eastAsia="zh-CN"/>
                    </w:rPr>
                    <w:sym w:font="Wingdings" w:char="00A8"/>
                  </w:r>
                  <w:r>
                    <w:rPr>
                      <w:rStyle w:val="122"/>
                      <w:b w:val="0"/>
                      <w:bCs/>
                      <w:color w:val="auto"/>
                      <w:sz w:val="21"/>
                    </w:rPr>
                    <w:t>设施或车间废水排放口</w:t>
                  </w:r>
                </w:p>
              </w:tc>
            </w:tr>
            <w:tr w14:paraId="3C77A17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493" w:hRule="atLeast"/>
              </w:trPr>
              <w:tc>
                <w:tcPr>
                  <w:tcW w:w="8075" w:type="dxa"/>
                  <w:gridSpan w:val="12"/>
                  <w:vAlign w:val="center"/>
                </w:tcPr>
                <w:p w14:paraId="1F4EE5E7">
                  <w:pPr>
                    <w:pStyle w:val="19"/>
                    <w:jc w:val="left"/>
                    <w:rPr>
                      <w:rStyle w:val="122"/>
                      <w:b w:val="0"/>
                      <w:bCs/>
                      <w:color w:val="auto"/>
                      <w:sz w:val="21"/>
                    </w:rPr>
                  </w:pPr>
                  <w:r>
                    <w:rPr>
                      <w:rStyle w:val="122"/>
                      <w:b w:val="0"/>
                      <w:bCs/>
                      <w:color w:val="auto"/>
                      <w:sz w:val="21"/>
                    </w:rPr>
                    <w:t>备注：DW001坐标</w:t>
                  </w:r>
                  <w:r>
                    <w:rPr>
                      <w:rStyle w:val="122"/>
                      <w:rFonts w:hint="default" w:ascii="Times New Roman" w:hAnsi="Times New Roman" w:cs="Times New Roman"/>
                      <w:b w:val="0"/>
                      <w:bCs/>
                      <w:color w:val="auto"/>
                      <w:sz w:val="21"/>
                    </w:rPr>
                    <w:t>：东经</w:t>
                  </w:r>
                  <w:r>
                    <w:rPr>
                      <w:rStyle w:val="122"/>
                      <w:rFonts w:hint="default" w:ascii="Times New Roman" w:hAnsi="Times New Roman" w:eastAsia="宋体" w:cs="Times New Roman"/>
                      <w:b w:val="0"/>
                      <w:bCs/>
                      <w:color w:val="auto"/>
                      <w:sz w:val="21"/>
                    </w:rPr>
                    <w:t>119°</w:t>
                  </w:r>
                  <w:r>
                    <w:rPr>
                      <w:rStyle w:val="122"/>
                      <w:rFonts w:hint="eastAsia" w:cs="Times New Roman"/>
                      <w:b w:val="0"/>
                      <w:bCs/>
                      <w:color w:val="auto"/>
                      <w:sz w:val="21"/>
                      <w:lang w:val="en-US" w:eastAsia="zh-CN"/>
                    </w:rPr>
                    <w:t>7</w:t>
                  </w:r>
                  <w:r>
                    <w:rPr>
                      <w:rStyle w:val="122"/>
                      <w:rFonts w:hint="default" w:ascii="Times New Roman" w:hAnsi="Times New Roman" w:eastAsia="宋体" w:cs="Times New Roman"/>
                      <w:b w:val="0"/>
                      <w:bCs/>
                      <w:color w:val="auto"/>
                      <w:sz w:val="21"/>
                    </w:rPr>
                    <w:t>′</w:t>
                  </w:r>
                  <w:r>
                    <w:rPr>
                      <w:rStyle w:val="122"/>
                      <w:rFonts w:hint="eastAsia" w:cs="Times New Roman"/>
                      <w:b w:val="0"/>
                      <w:bCs/>
                      <w:color w:val="auto"/>
                      <w:sz w:val="21"/>
                      <w:lang w:val="en-US" w:eastAsia="zh-CN"/>
                    </w:rPr>
                    <w:t>48</w:t>
                  </w:r>
                  <w:r>
                    <w:rPr>
                      <w:rStyle w:val="122"/>
                      <w:rFonts w:hint="default" w:ascii="Times New Roman" w:hAnsi="Times New Roman" w:eastAsia="宋体" w:cs="Times New Roman"/>
                      <w:b w:val="0"/>
                      <w:bCs/>
                      <w:color w:val="auto"/>
                      <w:sz w:val="21"/>
                    </w:rPr>
                    <w:t>.</w:t>
                  </w:r>
                  <w:r>
                    <w:rPr>
                      <w:rStyle w:val="122"/>
                      <w:rFonts w:hint="eastAsia" w:cs="Times New Roman"/>
                      <w:b w:val="0"/>
                      <w:bCs/>
                      <w:color w:val="auto"/>
                      <w:sz w:val="21"/>
                      <w:lang w:val="en-US" w:eastAsia="zh-CN"/>
                    </w:rPr>
                    <w:t>274</w:t>
                  </w:r>
                  <w:r>
                    <w:rPr>
                      <w:rStyle w:val="122"/>
                      <w:rFonts w:hint="default" w:ascii="Times New Roman" w:hAnsi="Times New Roman" w:eastAsia="宋体" w:cs="Times New Roman"/>
                      <w:b w:val="0"/>
                      <w:bCs/>
                      <w:color w:val="auto"/>
                      <w:sz w:val="21"/>
                    </w:rPr>
                    <w:t>″</w:t>
                  </w:r>
                  <w:r>
                    <w:rPr>
                      <w:rStyle w:val="122"/>
                      <w:rFonts w:hint="default" w:ascii="Times New Roman" w:hAnsi="Times New Roman" w:cs="Times New Roman"/>
                      <w:b w:val="0"/>
                      <w:bCs/>
                      <w:color w:val="auto"/>
                      <w:sz w:val="21"/>
                    </w:rPr>
                    <w:t>北纬2</w:t>
                  </w:r>
                  <w:r>
                    <w:rPr>
                      <w:rStyle w:val="122"/>
                      <w:rFonts w:hint="eastAsia" w:cs="Times New Roman"/>
                      <w:b w:val="0"/>
                      <w:bCs/>
                      <w:color w:val="auto"/>
                      <w:sz w:val="21"/>
                      <w:lang w:val="en-US" w:eastAsia="zh-CN"/>
                    </w:rPr>
                    <w:t>6</w:t>
                  </w:r>
                  <w:r>
                    <w:rPr>
                      <w:rStyle w:val="122"/>
                      <w:rFonts w:hint="default" w:ascii="Times New Roman" w:hAnsi="Times New Roman" w:cs="Times New Roman"/>
                      <w:b w:val="0"/>
                      <w:bCs/>
                      <w:color w:val="auto"/>
                      <w:sz w:val="21"/>
                    </w:rPr>
                    <w:t>°</w:t>
                  </w:r>
                  <w:r>
                    <w:rPr>
                      <w:rStyle w:val="122"/>
                      <w:rFonts w:hint="eastAsia" w:cs="Times New Roman"/>
                      <w:b w:val="0"/>
                      <w:bCs/>
                      <w:color w:val="auto"/>
                      <w:sz w:val="21"/>
                      <w:lang w:val="en-US" w:eastAsia="zh-CN"/>
                    </w:rPr>
                    <w:t>6</w:t>
                  </w:r>
                  <w:r>
                    <w:rPr>
                      <w:rStyle w:val="122"/>
                      <w:rFonts w:hint="default" w:ascii="Times New Roman" w:hAnsi="Times New Roman" w:cs="Times New Roman"/>
                      <w:b w:val="0"/>
                      <w:bCs/>
                      <w:color w:val="auto"/>
                      <w:sz w:val="21"/>
                    </w:rPr>
                    <w:t>′</w:t>
                  </w:r>
                  <w:r>
                    <w:rPr>
                      <w:rStyle w:val="122"/>
                      <w:rFonts w:hint="eastAsia" w:cs="Times New Roman"/>
                      <w:b w:val="0"/>
                      <w:bCs/>
                      <w:color w:val="auto"/>
                      <w:sz w:val="21"/>
                      <w:lang w:val="en-US" w:eastAsia="zh-CN"/>
                    </w:rPr>
                    <w:t>50.208</w:t>
                  </w:r>
                  <w:r>
                    <w:rPr>
                      <w:rStyle w:val="122"/>
                      <w:rFonts w:hint="default" w:ascii="Times New Roman" w:hAnsi="Times New Roman" w:cs="Times New Roman"/>
                      <w:b w:val="0"/>
                      <w:bCs/>
                      <w:color w:val="auto"/>
                      <w:sz w:val="21"/>
                    </w:rPr>
                    <w:t>″</w:t>
                  </w:r>
                </w:p>
              </w:tc>
            </w:tr>
          </w:tbl>
          <w:p w14:paraId="579CC599">
            <w:pPr>
              <w:pStyle w:val="132"/>
              <w:keepNext w:val="0"/>
              <w:keepLines w:val="0"/>
              <w:pageBreakBefore w:val="0"/>
              <w:widowControl w:val="0"/>
              <w:kinsoku/>
              <w:wordWrap/>
              <w:overflowPunct/>
              <w:topLinePunct w:val="0"/>
              <w:autoSpaceDE/>
              <w:autoSpaceDN/>
              <w:bidi w:val="0"/>
              <w:adjustRightInd/>
              <w:snapToGrid/>
              <w:spacing w:before="157" w:beforeLines="50" w:line="360" w:lineRule="auto"/>
              <w:ind w:firstLine="241" w:firstLineChars="100"/>
              <w:jc w:val="both"/>
              <w:textAlignment w:val="auto"/>
              <w:rPr>
                <w:rFonts w:hint="default" w:ascii="Times New Roman" w:hAnsi="Times New Roman" w:eastAsia="宋体" w:cs="Times New Roman"/>
                <w:b/>
                <w:bCs/>
                <w:color w:val="auto"/>
                <w:sz w:val="24"/>
                <w:highlight w:val="none"/>
                <w:lang w:val="en-US" w:eastAsia="zh-CN"/>
              </w:rPr>
            </w:pPr>
            <w:r>
              <w:rPr>
                <w:rFonts w:hint="default" w:ascii="Times New Roman" w:hAnsi="Times New Roman" w:eastAsia="宋体" w:cs="Times New Roman"/>
                <w:b/>
                <w:bCs/>
                <w:color w:val="auto"/>
                <w:sz w:val="24"/>
                <w:highlight w:val="none"/>
                <w:lang w:val="en-US" w:eastAsia="zh-CN"/>
              </w:rPr>
              <w:t>4.2.</w:t>
            </w:r>
            <w:r>
              <w:rPr>
                <w:rFonts w:hint="eastAsia" w:ascii="Times New Roman" w:hAnsi="Times New Roman" w:eastAsia="宋体" w:cs="Times New Roman"/>
                <w:b/>
                <w:bCs/>
                <w:color w:val="auto"/>
                <w:sz w:val="24"/>
                <w:highlight w:val="none"/>
                <w:lang w:val="en-US" w:eastAsia="zh-CN"/>
              </w:rPr>
              <w:t>1.3</w:t>
            </w:r>
            <w:r>
              <w:rPr>
                <w:rFonts w:hint="default" w:ascii="Times New Roman" w:hAnsi="Times New Roman" w:eastAsia="宋体" w:cs="Times New Roman"/>
                <w:b/>
                <w:bCs/>
                <w:color w:val="auto"/>
                <w:sz w:val="24"/>
                <w:highlight w:val="none"/>
                <w:lang w:val="en-US" w:eastAsia="zh-CN"/>
              </w:rPr>
              <w:t>项目废水处理措施及可行性分析</w:t>
            </w:r>
          </w:p>
          <w:p w14:paraId="000B07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kern w:val="2"/>
                <w:sz w:val="24"/>
                <w:szCs w:val="20"/>
                <w:highlight w:val="none"/>
                <w:lang w:val="en-US" w:eastAsia="zh-CN" w:bidi="ar-SA"/>
              </w:rPr>
            </w:pPr>
            <w:r>
              <w:rPr>
                <w:rFonts w:hint="default" w:ascii="Times New Roman" w:hAnsi="Times New Roman" w:eastAsia="宋体" w:cs="Times New Roman"/>
                <w:bCs/>
                <w:color w:val="auto"/>
                <w:kern w:val="2"/>
                <w:sz w:val="24"/>
                <w:szCs w:val="20"/>
                <w:highlight w:val="none"/>
                <w:lang w:val="en-US" w:eastAsia="zh-CN" w:bidi="ar-SA"/>
              </w:rPr>
              <w:t>项目厂区实行雨污分流，雨水经雨水管网收集后排入市政雨水管网；</w:t>
            </w:r>
            <w:r>
              <w:rPr>
                <w:rFonts w:hint="eastAsia" w:cs="Times New Roman"/>
                <w:bCs/>
                <w:color w:val="auto"/>
                <w:kern w:val="2"/>
                <w:sz w:val="24"/>
                <w:szCs w:val="20"/>
                <w:highlight w:val="none"/>
                <w:lang w:val="en-US" w:eastAsia="zh-CN" w:bidi="ar-SA"/>
              </w:rPr>
              <w:t>项目清洗废水经厂区自建污水处理站处理后回用；</w:t>
            </w:r>
            <w:r>
              <w:rPr>
                <w:rFonts w:hint="default" w:ascii="Times New Roman" w:hAnsi="Times New Roman" w:eastAsia="宋体" w:cs="Times New Roman"/>
                <w:bCs/>
                <w:color w:val="auto"/>
                <w:kern w:val="2"/>
                <w:sz w:val="24"/>
                <w:szCs w:val="20"/>
                <w:highlight w:val="none"/>
                <w:lang w:val="en-US" w:eastAsia="zh-CN" w:bidi="ar-SA"/>
              </w:rPr>
              <w:t>项目</w:t>
            </w:r>
            <w:r>
              <w:rPr>
                <w:rFonts w:hint="eastAsia" w:ascii="Times New Roman" w:hAnsi="Times New Roman" w:eastAsia="宋体" w:cs="Times New Roman"/>
                <w:bCs/>
                <w:color w:val="auto"/>
                <w:kern w:val="2"/>
                <w:sz w:val="24"/>
                <w:szCs w:val="20"/>
                <w:highlight w:val="none"/>
                <w:lang w:val="en-US" w:eastAsia="zh-CN" w:bidi="ar-SA"/>
              </w:rPr>
              <w:t>生活污水</w:t>
            </w:r>
            <w:r>
              <w:rPr>
                <w:rFonts w:hint="default" w:ascii="Times New Roman" w:hAnsi="Times New Roman" w:eastAsia="宋体" w:cs="Times New Roman"/>
                <w:bCs/>
                <w:color w:val="auto"/>
                <w:kern w:val="2"/>
                <w:sz w:val="24"/>
                <w:szCs w:val="20"/>
                <w:highlight w:val="none"/>
                <w:lang w:val="en-US" w:eastAsia="zh-CN" w:bidi="ar-SA"/>
              </w:rPr>
              <w:t>经厂区</w:t>
            </w:r>
            <w:r>
              <w:rPr>
                <w:rFonts w:hint="eastAsia" w:ascii="Times New Roman" w:hAnsi="Times New Roman" w:eastAsia="宋体" w:cs="Times New Roman"/>
                <w:bCs/>
                <w:color w:val="auto"/>
                <w:kern w:val="2"/>
                <w:sz w:val="24"/>
                <w:szCs w:val="20"/>
                <w:highlight w:val="none"/>
                <w:lang w:val="en-US" w:eastAsia="zh-CN" w:bidi="ar-SA"/>
              </w:rPr>
              <w:t>化粪池</w:t>
            </w:r>
            <w:r>
              <w:rPr>
                <w:rFonts w:hint="default" w:ascii="Times New Roman" w:hAnsi="Times New Roman" w:eastAsia="宋体" w:cs="Times New Roman"/>
                <w:bCs/>
                <w:color w:val="auto"/>
                <w:kern w:val="2"/>
                <w:sz w:val="24"/>
                <w:szCs w:val="20"/>
                <w:highlight w:val="none"/>
                <w:lang w:val="en-US" w:eastAsia="zh-CN" w:bidi="ar-SA"/>
              </w:rPr>
              <w:t>预处理达到《污水综合排放标准》（GB8978-1996）表4三级标准（其中氨氮指标参照《污水排入城镇下水道水质标准》（GB/T31962-2015）表1的B级标准）后排入市政污水管网纳入</w:t>
            </w:r>
            <w:r>
              <w:rPr>
                <w:rFonts w:hint="eastAsia" w:cs="Times New Roman"/>
                <w:bCs/>
                <w:color w:val="auto"/>
                <w:kern w:val="2"/>
                <w:sz w:val="24"/>
                <w:szCs w:val="20"/>
                <w:highlight w:val="none"/>
                <w:lang w:val="en-US" w:eastAsia="zh-CN" w:bidi="ar-SA"/>
              </w:rPr>
              <w:t>竹岐乡污水处理厂</w:t>
            </w:r>
            <w:r>
              <w:rPr>
                <w:rFonts w:hint="default" w:ascii="Times New Roman" w:hAnsi="Times New Roman" w:eastAsia="宋体" w:cs="Times New Roman"/>
                <w:bCs/>
                <w:color w:val="auto"/>
                <w:kern w:val="2"/>
                <w:sz w:val="24"/>
                <w:szCs w:val="20"/>
                <w:highlight w:val="none"/>
                <w:lang w:val="en-US" w:eastAsia="zh-CN" w:bidi="ar-SA"/>
              </w:rPr>
              <w:t>进一步处理。</w:t>
            </w:r>
          </w:p>
          <w:p w14:paraId="7629C0A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val="0"/>
                <w:color w:val="auto"/>
                <w:kern w:val="2"/>
                <w:sz w:val="24"/>
                <w:szCs w:val="20"/>
                <w:highlight w:val="none"/>
                <w:lang w:val="en-US" w:eastAsia="zh-CN" w:bidi="ar-SA"/>
              </w:rPr>
            </w:pPr>
            <w:r>
              <w:rPr>
                <w:rFonts w:hint="eastAsia" w:ascii="Times New Roman" w:hAnsi="Times New Roman" w:eastAsia="宋体" w:cs="Times New Roman"/>
                <w:b/>
                <w:bCs w:val="0"/>
                <w:color w:val="auto"/>
                <w:kern w:val="2"/>
                <w:sz w:val="24"/>
                <w:szCs w:val="20"/>
                <w:highlight w:val="none"/>
                <w:lang w:val="en-US" w:eastAsia="zh-CN" w:bidi="ar-SA"/>
              </w:rPr>
              <w:t>1.</w:t>
            </w:r>
            <w:r>
              <w:rPr>
                <w:rFonts w:hint="default" w:ascii="Times New Roman" w:hAnsi="Times New Roman" w:eastAsia="宋体" w:cs="Times New Roman"/>
                <w:b/>
                <w:bCs w:val="0"/>
                <w:color w:val="auto"/>
                <w:kern w:val="2"/>
                <w:sz w:val="24"/>
                <w:szCs w:val="20"/>
                <w:highlight w:val="none"/>
                <w:lang w:val="en-US" w:eastAsia="zh-CN" w:bidi="ar-SA"/>
              </w:rPr>
              <w:t>废水处理措施</w:t>
            </w:r>
            <w:r>
              <w:rPr>
                <w:rFonts w:hint="eastAsia" w:cs="Times New Roman"/>
                <w:b/>
                <w:bCs w:val="0"/>
                <w:color w:val="auto"/>
                <w:kern w:val="2"/>
                <w:sz w:val="24"/>
                <w:szCs w:val="20"/>
                <w:highlight w:val="none"/>
                <w:lang w:val="en-US" w:eastAsia="zh-CN" w:bidi="ar-SA"/>
              </w:rPr>
              <w:t>可行性</w:t>
            </w:r>
          </w:p>
          <w:p w14:paraId="41A7296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kern w:val="2"/>
                <w:sz w:val="24"/>
                <w:szCs w:val="20"/>
                <w:highlight w:val="none"/>
                <w:lang w:val="en-US" w:eastAsia="zh-CN" w:bidi="ar-SA"/>
              </w:rPr>
            </w:pPr>
            <w:r>
              <w:rPr>
                <w:rFonts w:hint="default" w:ascii="Times New Roman" w:hAnsi="Times New Roman" w:eastAsia="宋体" w:cs="Times New Roman"/>
                <w:bCs/>
                <w:color w:val="auto"/>
                <w:kern w:val="2"/>
                <w:sz w:val="24"/>
                <w:szCs w:val="20"/>
                <w:lang w:val="en-US" w:eastAsia="zh-CN" w:bidi="ar-SA"/>
              </w:rPr>
              <w:t>（</w:t>
            </w:r>
            <w:r>
              <w:rPr>
                <w:rFonts w:hint="eastAsia" w:cs="Times New Roman"/>
                <w:bCs/>
                <w:color w:val="auto"/>
                <w:kern w:val="2"/>
                <w:sz w:val="24"/>
                <w:szCs w:val="20"/>
                <w:lang w:val="en-US" w:eastAsia="zh-CN" w:bidi="ar-SA"/>
              </w:rPr>
              <w:t>1</w:t>
            </w:r>
            <w:r>
              <w:rPr>
                <w:rFonts w:hint="default" w:ascii="Times New Roman" w:hAnsi="Times New Roman" w:eastAsia="宋体" w:cs="Times New Roman"/>
                <w:bCs/>
                <w:color w:val="auto"/>
                <w:kern w:val="2"/>
                <w:sz w:val="24"/>
                <w:szCs w:val="20"/>
                <w:lang w:val="en-US" w:eastAsia="zh-CN" w:bidi="ar-SA"/>
              </w:rPr>
              <w:t>）</w:t>
            </w:r>
            <w:r>
              <w:rPr>
                <w:rFonts w:hint="default" w:ascii="Times New Roman" w:hAnsi="Times New Roman" w:eastAsia="宋体" w:cs="Times New Roman"/>
                <w:bCs/>
                <w:color w:val="auto"/>
                <w:kern w:val="2"/>
                <w:sz w:val="24"/>
                <w:szCs w:val="20"/>
                <w:highlight w:val="none"/>
                <w:lang w:val="en-US" w:eastAsia="zh-CN" w:bidi="ar-SA"/>
              </w:rPr>
              <w:t>生产废水</w:t>
            </w:r>
          </w:p>
          <w:p w14:paraId="07935F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kern w:val="2"/>
                <w:sz w:val="24"/>
                <w:szCs w:val="24"/>
                <w:highlight w:val="none"/>
                <w:lang w:val="en-US" w:eastAsia="zh-CN" w:bidi="ar-SA"/>
              </w:rPr>
            </w:pPr>
            <w:r>
              <w:rPr>
                <w:rFonts w:hint="default" w:ascii="Times New Roman" w:hAnsi="Times New Roman" w:eastAsia="宋体" w:cs="Times New Roman"/>
                <w:bCs/>
                <w:color w:val="auto"/>
                <w:kern w:val="2"/>
                <w:sz w:val="24"/>
                <w:szCs w:val="24"/>
                <w:highlight w:val="none"/>
                <w:lang w:val="en-US" w:eastAsia="zh-CN" w:bidi="ar-SA"/>
              </w:rPr>
              <w:t>本项目</w:t>
            </w:r>
            <w:r>
              <w:rPr>
                <w:rFonts w:hint="eastAsia" w:ascii="Times New Roman" w:hAnsi="Times New Roman" w:eastAsia="宋体" w:cs="Times New Roman"/>
                <w:bCs/>
                <w:color w:val="auto"/>
                <w:kern w:val="2"/>
                <w:sz w:val="24"/>
                <w:szCs w:val="24"/>
                <w:highlight w:val="none"/>
                <w:lang w:val="en-US" w:eastAsia="zh-CN" w:bidi="ar-SA"/>
              </w:rPr>
              <w:t>清洗</w:t>
            </w:r>
            <w:r>
              <w:rPr>
                <w:rFonts w:hint="default" w:ascii="Times New Roman" w:hAnsi="Times New Roman" w:eastAsia="宋体" w:cs="Times New Roman"/>
                <w:bCs/>
                <w:color w:val="auto"/>
                <w:kern w:val="2"/>
                <w:sz w:val="24"/>
                <w:szCs w:val="24"/>
                <w:highlight w:val="none"/>
                <w:lang w:val="en-US" w:eastAsia="zh-CN" w:bidi="ar-SA"/>
              </w:rPr>
              <w:t>废水</w:t>
            </w:r>
            <w:r>
              <w:rPr>
                <w:rFonts w:hint="eastAsia" w:ascii="Times New Roman" w:hAnsi="Times New Roman" w:eastAsia="宋体" w:cs="Times New Roman"/>
                <w:bCs/>
                <w:color w:val="auto"/>
                <w:kern w:val="2"/>
                <w:sz w:val="24"/>
                <w:szCs w:val="24"/>
                <w:highlight w:val="none"/>
                <w:lang w:val="en-US" w:eastAsia="zh-CN" w:bidi="ar-SA"/>
              </w:rPr>
              <w:t>循环使用，</w:t>
            </w:r>
            <w:r>
              <w:rPr>
                <w:rFonts w:hint="eastAsia" w:cs="Times New Roman"/>
                <w:bCs/>
                <w:color w:val="auto"/>
                <w:kern w:val="2"/>
                <w:sz w:val="24"/>
                <w:szCs w:val="24"/>
                <w:highlight w:val="none"/>
                <w:lang w:val="en-US" w:eastAsia="zh-CN" w:bidi="ar-SA"/>
              </w:rPr>
              <w:t>循环</w:t>
            </w:r>
            <w:r>
              <w:rPr>
                <w:rFonts w:hint="eastAsia" w:ascii="Times New Roman" w:hAnsi="Times New Roman" w:eastAsia="宋体" w:cs="Times New Roman"/>
                <w:bCs/>
                <w:color w:val="auto"/>
                <w:kern w:val="2"/>
                <w:sz w:val="24"/>
                <w:szCs w:val="24"/>
                <w:highlight w:val="none"/>
                <w:lang w:val="en-US" w:eastAsia="zh-CN" w:bidi="ar-SA"/>
              </w:rPr>
              <w:t>废水量约</w:t>
            </w:r>
            <w:r>
              <w:rPr>
                <w:rFonts w:hint="eastAsia" w:cs="Times New Roman"/>
                <w:bCs/>
                <w:color w:val="auto"/>
                <w:kern w:val="2"/>
                <w:sz w:val="24"/>
                <w:szCs w:val="24"/>
                <w:highlight w:val="none"/>
                <w:lang w:val="en-US" w:eastAsia="zh-CN" w:bidi="ar-SA"/>
              </w:rPr>
              <w:t>12m</w:t>
            </w:r>
            <w:r>
              <w:rPr>
                <w:rFonts w:hint="eastAsia" w:cs="Times New Roman"/>
                <w:bCs/>
                <w:color w:val="auto"/>
                <w:kern w:val="2"/>
                <w:sz w:val="24"/>
                <w:szCs w:val="24"/>
                <w:highlight w:val="none"/>
                <w:vertAlign w:val="superscript"/>
                <w:lang w:val="en-US" w:eastAsia="zh-CN" w:bidi="ar-SA"/>
              </w:rPr>
              <w:t>3</w:t>
            </w:r>
            <w:r>
              <w:rPr>
                <w:rFonts w:hint="default" w:ascii="Times New Roman" w:hAnsi="Times New Roman" w:eastAsia="宋体" w:cs="Times New Roman"/>
                <w:bCs/>
                <w:color w:val="auto"/>
                <w:kern w:val="2"/>
                <w:sz w:val="24"/>
                <w:szCs w:val="24"/>
                <w:highlight w:val="none"/>
                <w:lang w:val="en-US" w:eastAsia="zh-CN" w:bidi="ar-SA"/>
              </w:rPr>
              <w:t>。根据建设单位提供资料</w:t>
            </w:r>
            <w:r>
              <w:rPr>
                <w:rFonts w:hint="default" w:ascii="Times New Roman" w:hAnsi="Times New Roman" w:eastAsia="宋体" w:cs="Times New Roman"/>
                <w:color w:val="auto"/>
                <w:sz w:val="24"/>
                <w:szCs w:val="24"/>
              </w:rPr>
              <w:t>，建设单位拟新建一个污水处理站，用于处理本项目</w:t>
            </w:r>
            <w:r>
              <w:rPr>
                <w:rFonts w:hint="eastAsia" w:ascii="Times New Roman" w:hAnsi="Times New Roman" w:eastAsia="宋体" w:cs="Times New Roman"/>
                <w:color w:val="auto"/>
                <w:sz w:val="24"/>
                <w:szCs w:val="24"/>
                <w:lang w:eastAsia="zh-CN"/>
              </w:rPr>
              <w:t>清洗</w:t>
            </w:r>
            <w:r>
              <w:rPr>
                <w:rFonts w:hint="default" w:ascii="Times New Roman" w:hAnsi="Times New Roman" w:eastAsia="宋体" w:cs="Times New Roman"/>
                <w:color w:val="auto"/>
                <w:sz w:val="24"/>
                <w:szCs w:val="24"/>
              </w:rPr>
              <w:t>废水，设计处理规模</w:t>
            </w:r>
            <w:r>
              <w:rPr>
                <w:rFonts w:hint="eastAsia" w:cs="Times New Roman"/>
                <w:color w:val="auto"/>
                <w:sz w:val="24"/>
                <w:szCs w:val="24"/>
                <w:lang w:val="en-US" w:eastAsia="zh-CN"/>
              </w:rPr>
              <w:t>12</w:t>
            </w:r>
            <w:r>
              <w:rPr>
                <w:rFonts w:hint="eastAsia" w:cs="Times New Roman"/>
                <w:bCs/>
                <w:color w:val="auto"/>
                <w:kern w:val="2"/>
                <w:sz w:val="24"/>
                <w:szCs w:val="24"/>
                <w:highlight w:val="none"/>
                <w:lang w:val="en-US" w:eastAsia="zh-CN" w:bidi="ar-SA"/>
              </w:rPr>
              <w:t>m</w:t>
            </w:r>
            <w:r>
              <w:rPr>
                <w:rFonts w:hint="eastAsia" w:cs="Times New Roman"/>
                <w:bCs/>
                <w:color w:val="auto"/>
                <w:kern w:val="2"/>
                <w:sz w:val="24"/>
                <w:szCs w:val="24"/>
                <w:highlight w:val="none"/>
                <w:vertAlign w:val="superscript"/>
                <w:lang w:val="en-US" w:eastAsia="zh-CN" w:bidi="ar-SA"/>
              </w:rPr>
              <w:t>3</w:t>
            </w:r>
            <w:r>
              <w:rPr>
                <w:rFonts w:hint="default" w:ascii="Times New Roman" w:hAnsi="Times New Roman" w:eastAsia="宋体" w:cs="Times New Roman"/>
                <w:color w:val="auto"/>
                <w:sz w:val="24"/>
                <w:szCs w:val="24"/>
              </w:rPr>
              <w:t>/d。</w:t>
            </w:r>
            <w:r>
              <w:rPr>
                <w:rFonts w:hint="default" w:ascii="Times New Roman" w:hAnsi="Times New Roman" w:eastAsia="宋体" w:cs="Times New Roman"/>
                <w:color w:val="auto"/>
                <w:sz w:val="24"/>
                <w:szCs w:val="24"/>
                <w:lang w:eastAsia="zh-CN"/>
              </w:rPr>
              <w:t>污水处理设施</w:t>
            </w:r>
            <w:r>
              <w:rPr>
                <w:rFonts w:hint="default" w:ascii="Times New Roman" w:hAnsi="Times New Roman" w:eastAsia="宋体" w:cs="Times New Roman"/>
                <w:bCs/>
                <w:color w:val="auto"/>
                <w:kern w:val="2"/>
                <w:sz w:val="24"/>
                <w:szCs w:val="24"/>
                <w:highlight w:val="none"/>
                <w:lang w:val="en-US" w:eastAsia="zh-CN" w:bidi="ar-SA"/>
              </w:rPr>
              <w:t>能够接纳并满足项目清洗废水处理要求。</w:t>
            </w:r>
          </w:p>
          <w:p w14:paraId="71C7BD4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kern w:val="2"/>
                <w:sz w:val="24"/>
                <w:szCs w:val="20"/>
                <w:highlight w:val="none"/>
                <w:lang w:val="en-US" w:eastAsia="zh-CN" w:bidi="ar-SA"/>
              </w:rPr>
            </w:pPr>
            <w:r>
              <w:rPr>
                <w:rFonts w:hint="default" w:ascii="Times New Roman" w:hAnsi="Times New Roman" w:eastAsia="宋体" w:cs="Times New Roman"/>
                <w:bCs/>
                <w:color w:val="auto"/>
                <w:kern w:val="2"/>
                <w:sz w:val="24"/>
                <w:szCs w:val="20"/>
                <w:highlight w:val="none"/>
                <w:lang w:val="en-US" w:eastAsia="zh-CN" w:bidi="ar-SA"/>
              </w:rPr>
              <w:t>污水处理工艺如下：</w:t>
            </w:r>
          </w:p>
          <w:tbl>
            <w:tblPr>
              <w:tblStyle w:val="32"/>
              <w:tblW w:w="8098"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098"/>
            </w:tblGrid>
            <w:tr w14:paraId="28234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098" w:type="dxa"/>
                </w:tcPr>
                <w:p w14:paraId="221BBEF7">
                  <w:pPr>
                    <w:bidi w:val="0"/>
                    <w:jc w:val="center"/>
                    <w:rPr>
                      <w:rFonts w:hint="default"/>
                      <w:color w:val="auto"/>
                      <w:vertAlign w:val="baseline"/>
                      <w:lang w:val="en-US" w:eastAsia="zh-CN"/>
                    </w:rPr>
                  </w:pPr>
                  <w:r>
                    <w:rPr>
                      <w:color w:val="auto"/>
                    </w:rPr>
                    <w:drawing>
                      <wp:inline distT="0" distB="0" distL="114300" distR="114300">
                        <wp:extent cx="5001260" cy="5129530"/>
                        <wp:effectExtent l="0" t="0" r="8890" b="13970"/>
                        <wp:docPr id="5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6"/>
                                <pic:cNvPicPr>
                                  <a:picLocks noChangeAspect="1"/>
                                </pic:cNvPicPr>
                              </pic:nvPicPr>
                              <pic:blipFill>
                                <a:blip r:embed="rId31"/>
                                <a:stretch>
                                  <a:fillRect/>
                                </a:stretch>
                              </pic:blipFill>
                              <pic:spPr>
                                <a:xfrm>
                                  <a:off x="0" y="0"/>
                                  <a:ext cx="5001260" cy="5129530"/>
                                </a:xfrm>
                                <a:prstGeom prst="rect">
                                  <a:avLst/>
                                </a:prstGeom>
                                <a:noFill/>
                                <a:ln>
                                  <a:noFill/>
                                </a:ln>
                              </pic:spPr>
                            </pic:pic>
                          </a:graphicData>
                        </a:graphic>
                      </wp:inline>
                    </w:drawing>
                  </w:r>
                </w:p>
              </w:tc>
            </w:tr>
            <w:tr w14:paraId="42C70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098" w:type="dxa"/>
                </w:tcPr>
                <w:p w14:paraId="226C46F6">
                  <w:pPr>
                    <w:bidi w:val="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图4.2-1自建污水处理厂废水处理工艺流程图</w:t>
                  </w:r>
                </w:p>
              </w:tc>
            </w:tr>
          </w:tbl>
          <w:p w14:paraId="61F2AAF2">
            <w:pPr>
              <w:spacing w:line="360" w:lineRule="auto"/>
              <w:ind w:firstLine="480"/>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lang w:eastAsia="zh-CN"/>
              </w:rPr>
              <w:t>工艺流程简介：</w:t>
            </w:r>
          </w:p>
          <w:p w14:paraId="1E5497D5">
            <w:pPr>
              <w:spacing w:line="360" w:lineRule="auto"/>
              <w:ind w:firstLine="480" w:firstLineChars="200"/>
              <w:rPr>
                <w:rFonts w:hint="eastAsia"/>
                <w:color w:val="auto"/>
                <w:sz w:val="24"/>
              </w:rPr>
            </w:pPr>
            <w:r>
              <w:rPr>
                <w:rFonts w:hint="eastAsia"/>
                <w:color w:val="auto"/>
                <w:sz w:val="24"/>
              </w:rPr>
              <w:t>综合</w:t>
            </w:r>
            <w:r>
              <w:rPr>
                <w:rFonts w:hint="eastAsia"/>
                <w:color w:val="auto"/>
                <w:sz w:val="24"/>
                <w:lang w:eastAsia="zh-CN"/>
              </w:rPr>
              <w:t>废水收集池</w:t>
            </w:r>
            <w:r>
              <w:rPr>
                <w:rFonts w:hint="eastAsia"/>
                <w:color w:val="auto"/>
                <w:sz w:val="24"/>
              </w:rPr>
              <w:t>内</w:t>
            </w:r>
            <w:r>
              <w:rPr>
                <w:rFonts w:hint="eastAsia"/>
                <w:color w:val="auto"/>
                <w:sz w:val="24"/>
                <w:lang w:eastAsia="zh-CN"/>
              </w:rPr>
              <w:t>废</w:t>
            </w:r>
            <w:r>
              <w:rPr>
                <w:rFonts w:hint="eastAsia"/>
                <w:color w:val="auto"/>
                <w:sz w:val="24"/>
              </w:rPr>
              <w:t>水通过提升泵提升至氧化反应池进行强氧化反应，氧化反应池内依次加入FeSO</w:t>
            </w:r>
            <w:r>
              <w:rPr>
                <w:rFonts w:hint="eastAsia"/>
                <w:color w:val="auto"/>
                <w:sz w:val="24"/>
                <w:vertAlign w:val="subscript"/>
              </w:rPr>
              <w:t>4</w:t>
            </w:r>
            <w:r>
              <w:rPr>
                <w:rFonts w:hint="eastAsia"/>
                <w:color w:val="auto"/>
                <w:sz w:val="24"/>
              </w:rPr>
              <w:t>、 H</w:t>
            </w:r>
            <w:r>
              <w:rPr>
                <w:rFonts w:hint="eastAsia"/>
                <w:color w:val="auto"/>
                <w:sz w:val="24"/>
                <w:vertAlign w:val="subscript"/>
              </w:rPr>
              <w:t>2</w:t>
            </w:r>
            <w:r>
              <w:rPr>
                <w:rFonts w:hint="eastAsia"/>
                <w:color w:val="auto"/>
                <w:sz w:val="24"/>
              </w:rPr>
              <w:t>O</w:t>
            </w:r>
            <w:r>
              <w:rPr>
                <w:rFonts w:hint="eastAsia"/>
                <w:color w:val="auto"/>
                <w:sz w:val="24"/>
                <w:vertAlign w:val="subscript"/>
                <w:lang w:val="en-US" w:eastAsia="zh-CN"/>
              </w:rPr>
              <w:t>2</w:t>
            </w:r>
            <w:r>
              <w:rPr>
                <w:rFonts w:hint="eastAsia"/>
                <w:color w:val="auto"/>
                <w:sz w:val="24"/>
              </w:rPr>
              <w:t>，反应完成后自流进入混凝反应池，通过中和反应、混凝反应、絮凝反应后进入沉淀池内进行固液分离作用，上清液自流进入</w:t>
            </w:r>
            <w:r>
              <w:rPr>
                <w:rFonts w:hint="eastAsia"/>
                <w:color w:val="auto"/>
                <w:sz w:val="24"/>
                <w:lang w:val="en-US" w:eastAsia="zh-CN"/>
              </w:rPr>
              <w:t>活性炭吸附罐吸附处理后储存于清水箱内回用于生产线脱脂清洗工序</w:t>
            </w:r>
            <w:r>
              <w:rPr>
                <w:rFonts w:hint="eastAsia"/>
                <w:color w:val="auto"/>
                <w:sz w:val="24"/>
              </w:rPr>
              <w:t>，沉淀池污泥通过板框压滤机进行压滤脱水作业后</w:t>
            </w:r>
            <w:r>
              <w:rPr>
                <w:rFonts w:hint="eastAsia"/>
                <w:color w:val="auto"/>
                <w:sz w:val="24"/>
                <w:lang w:eastAsia="zh-CN"/>
              </w:rPr>
              <w:t>泥饼</w:t>
            </w:r>
            <w:r>
              <w:rPr>
                <w:rFonts w:hint="eastAsia"/>
                <w:color w:val="auto"/>
                <w:sz w:val="24"/>
              </w:rPr>
              <w:t>外运处置。</w:t>
            </w:r>
          </w:p>
          <w:p w14:paraId="7A7AA5F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kern w:val="2"/>
                <w:sz w:val="24"/>
                <w:szCs w:val="20"/>
                <w:highlight w:val="none"/>
                <w:lang w:val="en-US" w:eastAsia="zh-CN" w:bidi="ar-SA"/>
              </w:rPr>
            </w:pPr>
            <w:r>
              <w:rPr>
                <w:rFonts w:hint="eastAsia" w:cs="Times New Roman"/>
                <w:color w:val="auto"/>
                <w:sz w:val="24"/>
                <w:szCs w:val="24"/>
                <w:lang w:eastAsia="zh-CN"/>
              </w:rPr>
              <w:t>根据表</w:t>
            </w:r>
            <w:r>
              <w:rPr>
                <w:rFonts w:hint="eastAsia" w:cs="Times New Roman"/>
                <w:color w:val="auto"/>
                <w:sz w:val="24"/>
                <w:szCs w:val="24"/>
                <w:lang w:val="en-US" w:eastAsia="zh-CN"/>
              </w:rPr>
              <w:t>4.2-2可知，</w:t>
            </w:r>
            <w:r>
              <w:rPr>
                <w:rFonts w:hint="default" w:ascii="Times New Roman" w:hAnsi="Times New Roman" w:eastAsia="宋体" w:cs="Times New Roman"/>
                <w:color w:val="auto"/>
                <w:sz w:val="24"/>
                <w:szCs w:val="24"/>
              </w:rPr>
              <w:t>本项目</w:t>
            </w:r>
            <w:r>
              <w:rPr>
                <w:rFonts w:hint="eastAsia" w:cs="Times New Roman"/>
                <w:color w:val="auto"/>
                <w:sz w:val="24"/>
                <w:szCs w:val="24"/>
                <w:lang w:eastAsia="zh-CN"/>
              </w:rPr>
              <w:t>脱脂清洗废水经</w:t>
            </w:r>
            <w:r>
              <w:rPr>
                <w:rFonts w:hint="default" w:ascii="Times New Roman" w:hAnsi="Times New Roman" w:eastAsia="宋体" w:cs="Times New Roman"/>
                <w:color w:val="auto"/>
                <w:sz w:val="24"/>
                <w:szCs w:val="24"/>
              </w:rPr>
              <w:t>污水处理站</w:t>
            </w:r>
            <w:r>
              <w:rPr>
                <w:rFonts w:hint="eastAsia" w:cs="Times New Roman"/>
                <w:color w:val="auto"/>
                <w:sz w:val="24"/>
                <w:szCs w:val="24"/>
                <w:lang w:eastAsia="zh-CN"/>
              </w:rPr>
              <w:t>处理后能够达到《城市污水再生利用</w:t>
            </w:r>
            <w:r>
              <w:rPr>
                <w:rFonts w:hint="eastAsia" w:cs="Times New Roman"/>
                <w:color w:val="auto"/>
                <w:sz w:val="24"/>
                <w:szCs w:val="24"/>
                <w:lang w:val="en-US" w:eastAsia="zh-CN"/>
              </w:rPr>
              <w:t xml:space="preserve"> </w:t>
            </w:r>
            <w:r>
              <w:rPr>
                <w:rFonts w:hint="eastAsia" w:cs="Times New Roman"/>
                <w:color w:val="auto"/>
                <w:sz w:val="24"/>
                <w:szCs w:val="24"/>
                <w:lang w:eastAsia="zh-CN"/>
              </w:rPr>
              <w:t>工业用水水质》（</w:t>
            </w:r>
            <w:r>
              <w:rPr>
                <w:rFonts w:hint="eastAsia" w:cs="Times New Roman"/>
                <w:color w:val="auto"/>
                <w:sz w:val="24"/>
                <w:szCs w:val="24"/>
                <w:lang w:val="en-US" w:eastAsia="zh-CN"/>
              </w:rPr>
              <w:t>GB/T19923-2024</w:t>
            </w:r>
            <w:r>
              <w:rPr>
                <w:rFonts w:hint="eastAsia" w:cs="Times New Roman"/>
                <w:color w:val="auto"/>
                <w:sz w:val="24"/>
                <w:szCs w:val="24"/>
                <w:lang w:eastAsia="zh-CN"/>
              </w:rPr>
              <w:t>）表</w:t>
            </w:r>
            <w:r>
              <w:rPr>
                <w:rFonts w:hint="eastAsia" w:cs="Times New Roman"/>
                <w:color w:val="auto"/>
                <w:sz w:val="24"/>
                <w:szCs w:val="24"/>
                <w:lang w:val="en-US" w:eastAsia="zh-CN"/>
              </w:rPr>
              <w:t>1再生水用作工业用水水质基本控制项目及限值的要求</w:t>
            </w:r>
            <w:r>
              <w:rPr>
                <w:rFonts w:hint="default" w:ascii="Times New Roman" w:hAnsi="Times New Roman" w:eastAsia="宋体" w:cs="Times New Roman"/>
                <w:color w:val="auto"/>
                <w:sz w:val="24"/>
                <w:szCs w:val="24"/>
              </w:rPr>
              <w:t>，</w:t>
            </w:r>
            <w:r>
              <w:rPr>
                <w:rFonts w:hint="eastAsia" w:cs="Times New Roman"/>
                <w:color w:val="auto"/>
                <w:sz w:val="24"/>
                <w:szCs w:val="24"/>
                <w:lang w:eastAsia="zh-CN"/>
              </w:rPr>
              <w:t>项目</w:t>
            </w:r>
            <w:r>
              <w:rPr>
                <w:rFonts w:hint="default" w:ascii="Times New Roman" w:hAnsi="Times New Roman" w:eastAsia="宋体" w:cs="Times New Roman"/>
                <w:color w:val="auto"/>
                <w:sz w:val="24"/>
                <w:szCs w:val="24"/>
              </w:rPr>
              <w:t>生产废水得到有效处理，</w:t>
            </w:r>
            <w:r>
              <w:rPr>
                <w:rFonts w:hint="eastAsia" w:cs="Times New Roman"/>
                <w:color w:val="auto"/>
                <w:sz w:val="24"/>
                <w:szCs w:val="24"/>
                <w:lang w:eastAsia="zh-CN"/>
              </w:rPr>
              <w:t>污水处理设施可行</w:t>
            </w:r>
            <w:r>
              <w:rPr>
                <w:rFonts w:hint="default" w:ascii="Times New Roman" w:hAnsi="Times New Roman" w:eastAsia="宋体" w:cs="Times New Roman"/>
                <w:color w:val="auto"/>
                <w:sz w:val="24"/>
                <w:szCs w:val="24"/>
              </w:rPr>
              <w:t>。</w:t>
            </w:r>
          </w:p>
          <w:p w14:paraId="3197641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Times New Roman"/>
                <w:bCs/>
                <w:color w:val="auto"/>
                <w:kern w:val="2"/>
                <w:sz w:val="24"/>
                <w:szCs w:val="20"/>
                <w:highlight w:val="none"/>
                <w:lang w:val="en-US" w:eastAsia="zh-CN" w:bidi="ar-SA"/>
              </w:rPr>
            </w:pPr>
            <w:r>
              <w:rPr>
                <w:rFonts w:hint="eastAsia" w:cs="Times New Roman"/>
                <w:bCs/>
                <w:color w:val="auto"/>
                <w:kern w:val="2"/>
                <w:sz w:val="24"/>
                <w:szCs w:val="20"/>
                <w:highlight w:val="none"/>
                <w:lang w:val="en-US" w:eastAsia="zh-CN" w:bidi="ar-SA"/>
              </w:rPr>
              <w:t>（2）生活污水</w:t>
            </w:r>
          </w:p>
          <w:p w14:paraId="0DD9608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kern w:val="2"/>
                <w:sz w:val="24"/>
                <w:szCs w:val="20"/>
                <w:highlight w:val="none"/>
                <w:lang w:val="en-US" w:eastAsia="zh-CN" w:bidi="ar-SA"/>
              </w:rPr>
            </w:pPr>
            <w:r>
              <w:rPr>
                <w:rFonts w:hint="eastAsia" w:cs="Times New Roman"/>
                <w:bCs/>
                <w:color w:val="auto"/>
                <w:kern w:val="2"/>
                <w:sz w:val="24"/>
                <w:szCs w:val="20"/>
                <w:highlight w:val="none"/>
                <w:lang w:val="en-US" w:eastAsia="zh-CN" w:bidi="ar-SA"/>
              </w:rPr>
              <w:t>拟建项目新增生活污水排放量为12</w:t>
            </w:r>
            <w:r>
              <w:rPr>
                <w:rFonts w:hint="default" w:ascii="Times New Roman" w:hAnsi="Times New Roman" w:eastAsia="宋体" w:cs="Times New Roman"/>
                <w:bCs/>
                <w:color w:val="auto"/>
                <w:kern w:val="2"/>
                <w:sz w:val="24"/>
                <w:szCs w:val="20"/>
                <w:highlight w:val="none"/>
                <w:lang w:val="en-US" w:eastAsia="zh-CN" w:bidi="ar-SA"/>
              </w:rPr>
              <w:t>m</w:t>
            </w:r>
            <w:r>
              <w:rPr>
                <w:rFonts w:hint="default" w:ascii="Times New Roman" w:hAnsi="Times New Roman" w:eastAsia="宋体" w:cs="Times New Roman"/>
                <w:bCs/>
                <w:color w:val="auto"/>
                <w:kern w:val="2"/>
                <w:sz w:val="24"/>
                <w:szCs w:val="20"/>
                <w:highlight w:val="none"/>
                <w:vertAlign w:val="superscript"/>
                <w:lang w:val="en-US" w:eastAsia="zh-CN" w:bidi="ar-SA"/>
              </w:rPr>
              <w:t>3</w:t>
            </w:r>
            <w:r>
              <w:rPr>
                <w:rFonts w:hint="eastAsia" w:cs="Times New Roman"/>
                <w:bCs/>
                <w:color w:val="auto"/>
                <w:kern w:val="2"/>
                <w:sz w:val="24"/>
                <w:szCs w:val="20"/>
                <w:highlight w:val="none"/>
                <w:lang w:val="en-US" w:eastAsia="zh-CN" w:bidi="ar-SA"/>
              </w:rPr>
              <w:t>/d（3600</w:t>
            </w:r>
            <w:r>
              <w:rPr>
                <w:rFonts w:hint="default" w:ascii="Times New Roman" w:hAnsi="Times New Roman" w:eastAsia="宋体" w:cs="Times New Roman"/>
                <w:bCs/>
                <w:color w:val="auto"/>
                <w:kern w:val="2"/>
                <w:sz w:val="24"/>
                <w:szCs w:val="20"/>
                <w:highlight w:val="none"/>
                <w:lang w:val="en-US" w:eastAsia="zh-CN" w:bidi="ar-SA"/>
              </w:rPr>
              <w:t>m</w:t>
            </w:r>
            <w:r>
              <w:rPr>
                <w:rFonts w:hint="default" w:ascii="Times New Roman" w:hAnsi="Times New Roman" w:eastAsia="宋体" w:cs="Times New Roman"/>
                <w:bCs/>
                <w:color w:val="auto"/>
                <w:kern w:val="2"/>
                <w:sz w:val="24"/>
                <w:szCs w:val="20"/>
                <w:highlight w:val="none"/>
                <w:vertAlign w:val="superscript"/>
                <w:lang w:val="en-US" w:eastAsia="zh-CN" w:bidi="ar-SA"/>
              </w:rPr>
              <w:t>3</w:t>
            </w:r>
            <w:r>
              <w:rPr>
                <w:rFonts w:hint="default" w:ascii="Times New Roman" w:hAnsi="Times New Roman" w:eastAsia="宋体" w:cs="Times New Roman"/>
                <w:bCs/>
                <w:color w:val="auto"/>
                <w:kern w:val="2"/>
                <w:sz w:val="24"/>
                <w:szCs w:val="20"/>
                <w:highlight w:val="none"/>
                <w:lang w:val="en-US" w:eastAsia="zh-CN" w:bidi="ar-SA"/>
              </w:rPr>
              <w:t>/a</w:t>
            </w:r>
            <w:r>
              <w:rPr>
                <w:rFonts w:hint="eastAsia" w:cs="Times New Roman"/>
                <w:bCs/>
                <w:color w:val="auto"/>
                <w:kern w:val="2"/>
                <w:sz w:val="24"/>
                <w:szCs w:val="20"/>
                <w:highlight w:val="none"/>
                <w:lang w:val="en-US" w:eastAsia="zh-CN" w:bidi="ar-SA"/>
              </w:rPr>
              <w:t>），</w:t>
            </w:r>
            <w:r>
              <w:rPr>
                <w:rFonts w:hint="eastAsia"/>
                <w:color w:val="auto"/>
                <w:sz w:val="24"/>
                <w:lang w:eastAsia="zh-CN"/>
              </w:rPr>
              <w:t>建设单位拟</w:t>
            </w:r>
            <w:r>
              <w:rPr>
                <w:rFonts w:hint="default" w:ascii="Times New Roman" w:hAnsi="Times New Roman" w:eastAsia="宋体" w:cs="Times New Roman"/>
                <w:bCs/>
                <w:color w:val="auto"/>
                <w:kern w:val="2"/>
                <w:sz w:val="24"/>
                <w:szCs w:val="20"/>
                <w:highlight w:val="none"/>
                <w:lang w:val="en-US" w:eastAsia="zh-CN" w:bidi="ar-SA"/>
              </w:rPr>
              <w:t>建设</w:t>
            </w:r>
            <w:r>
              <w:rPr>
                <w:rFonts w:hint="eastAsia" w:ascii="Times New Roman" w:hAnsi="Times New Roman" w:eastAsia="宋体" w:cs="Times New Roman"/>
                <w:bCs/>
                <w:color w:val="auto"/>
                <w:kern w:val="2"/>
                <w:sz w:val="24"/>
                <w:szCs w:val="20"/>
                <w:highlight w:val="none"/>
                <w:lang w:val="en-US" w:eastAsia="zh-CN" w:bidi="ar-SA"/>
              </w:rPr>
              <w:t>1个</w:t>
            </w:r>
            <w:r>
              <w:rPr>
                <w:rFonts w:hint="eastAsia" w:cs="Times New Roman"/>
                <w:bCs/>
                <w:color w:val="auto"/>
                <w:kern w:val="2"/>
                <w:sz w:val="24"/>
                <w:szCs w:val="20"/>
                <w:highlight w:val="none"/>
                <w:lang w:val="en-US" w:eastAsia="zh-CN" w:bidi="ar-SA"/>
              </w:rPr>
              <w:t>6</w:t>
            </w:r>
            <w:r>
              <w:rPr>
                <w:rFonts w:hint="eastAsia" w:ascii="Times New Roman" w:hAnsi="Times New Roman" w:eastAsia="宋体" w:cs="Times New Roman"/>
                <w:bCs/>
                <w:color w:val="auto"/>
                <w:kern w:val="2"/>
                <w:sz w:val="24"/>
                <w:szCs w:val="20"/>
                <w:highlight w:val="none"/>
                <w:lang w:val="en-US" w:eastAsia="zh-CN" w:bidi="ar-SA"/>
              </w:rPr>
              <w:t>0</w:t>
            </w:r>
            <w:r>
              <w:rPr>
                <w:rFonts w:hint="default" w:ascii="Times New Roman" w:hAnsi="Times New Roman" w:eastAsia="宋体" w:cs="Times New Roman"/>
                <w:bCs/>
                <w:color w:val="auto"/>
                <w:kern w:val="2"/>
                <w:sz w:val="24"/>
                <w:szCs w:val="20"/>
                <w:highlight w:val="none"/>
                <w:lang w:val="en-US" w:eastAsia="zh-CN" w:bidi="ar-SA"/>
              </w:rPr>
              <w:t>m</w:t>
            </w:r>
            <w:r>
              <w:rPr>
                <w:rFonts w:hint="default" w:ascii="Times New Roman" w:hAnsi="Times New Roman" w:eastAsia="宋体" w:cs="Times New Roman"/>
                <w:bCs/>
                <w:color w:val="auto"/>
                <w:kern w:val="2"/>
                <w:sz w:val="24"/>
                <w:szCs w:val="20"/>
                <w:highlight w:val="none"/>
                <w:vertAlign w:val="superscript"/>
                <w:lang w:val="en-US" w:eastAsia="zh-CN" w:bidi="ar-SA"/>
              </w:rPr>
              <w:t>3</w:t>
            </w:r>
            <w:r>
              <w:rPr>
                <w:rFonts w:hint="default" w:ascii="Times New Roman" w:hAnsi="Times New Roman" w:eastAsia="宋体" w:cs="Times New Roman"/>
                <w:bCs/>
                <w:color w:val="auto"/>
                <w:kern w:val="2"/>
                <w:sz w:val="24"/>
                <w:szCs w:val="20"/>
                <w:highlight w:val="none"/>
                <w:lang w:val="en-US" w:eastAsia="zh-CN" w:bidi="ar-SA"/>
              </w:rPr>
              <w:t>化粪池供企业</w:t>
            </w:r>
            <w:r>
              <w:rPr>
                <w:rFonts w:hint="eastAsia" w:cs="Times New Roman"/>
                <w:bCs/>
                <w:color w:val="auto"/>
                <w:kern w:val="2"/>
                <w:sz w:val="24"/>
                <w:szCs w:val="20"/>
                <w:highlight w:val="none"/>
                <w:lang w:val="en-US" w:eastAsia="zh-CN" w:bidi="ar-SA"/>
              </w:rPr>
              <w:t>处理</w:t>
            </w:r>
            <w:r>
              <w:rPr>
                <w:rFonts w:hint="default" w:ascii="Times New Roman" w:hAnsi="Times New Roman" w:eastAsia="宋体" w:cs="Times New Roman"/>
                <w:bCs/>
                <w:color w:val="auto"/>
                <w:kern w:val="2"/>
                <w:sz w:val="24"/>
                <w:szCs w:val="20"/>
                <w:highlight w:val="none"/>
                <w:lang w:val="en-US" w:eastAsia="zh-CN" w:bidi="ar-SA"/>
              </w:rPr>
              <w:t>生活污水，</w:t>
            </w:r>
            <w:r>
              <w:rPr>
                <w:rFonts w:hint="eastAsia" w:ascii="Times New Roman" w:hAnsi="Times New Roman" w:eastAsia="宋体" w:cs="Times New Roman"/>
                <w:bCs/>
                <w:color w:val="auto"/>
                <w:kern w:val="2"/>
                <w:sz w:val="24"/>
                <w:szCs w:val="20"/>
                <w:highlight w:val="none"/>
                <w:lang w:val="en-US" w:eastAsia="zh-CN" w:bidi="ar-SA"/>
              </w:rPr>
              <w:t>化粪池</w:t>
            </w:r>
            <w:r>
              <w:rPr>
                <w:rFonts w:hint="eastAsia" w:cs="Times New Roman"/>
                <w:bCs/>
                <w:color w:val="auto"/>
                <w:kern w:val="2"/>
                <w:sz w:val="24"/>
                <w:szCs w:val="20"/>
                <w:highlight w:val="none"/>
                <w:lang w:val="en-US" w:eastAsia="zh-CN" w:bidi="ar-SA"/>
              </w:rPr>
              <w:t>生活污水停留时间约12~24h（以24h计），化粪池处理能力为60</w:t>
            </w:r>
            <w:r>
              <w:rPr>
                <w:rFonts w:hint="default" w:ascii="Times New Roman" w:hAnsi="Times New Roman" w:eastAsia="宋体" w:cs="Times New Roman"/>
                <w:bCs/>
                <w:color w:val="auto"/>
                <w:kern w:val="2"/>
                <w:sz w:val="24"/>
                <w:szCs w:val="20"/>
                <w:highlight w:val="none"/>
                <w:lang w:val="en-US" w:eastAsia="zh-CN" w:bidi="ar-SA"/>
              </w:rPr>
              <w:t>m</w:t>
            </w:r>
            <w:r>
              <w:rPr>
                <w:rFonts w:hint="default" w:ascii="Times New Roman" w:hAnsi="Times New Roman" w:eastAsia="宋体" w:cs="Times New Roman"/>
                <w:bCs/>
                <w:color w:val="auto"/>
                <w:kern w:val="2"/>
                <w:sz w:val="24"/>
                <w:szCs w:val="20"/>
                <w:highlight w:val="none"/>
                <w:vertAlign w:val="superscript"/>
                <w:lang w:val="en-US" w:eastAsia="zh-CN" w:bidi="ar-SA"/>
              </w:rPr>
              <w:t>3</w:t>
            </w:r>
            <w:r>
              <w:rPr>
                <w:rFonts w:hint="eastAsia" w:cs="Times New Roman"/>
                <w:bCs/>
                <w:color w:val="auto"/>
                <w:kern w:val="2"/>
                <w:sz w:val="24"/>
                <w:szCs w:val="20"/>
                <w:highlight w:val="none"/>
                <w:lang w:val="en-US" w:eastAsia="zh-CN" w:bidi="ar-SA"/>
              </w:rPr>
              <w:t>/d，</w:t>
            </w:r>
            <w:r>
              <w:rPr>
                <w:rFonts w:hint="default" w:ascii="Times New Roman" w:hAnsi="Times New Roman" w:eastAsia="宋体" w:cs="Times New Roman"/>
                <w:bCs/>
                <w:color w:val="auto"/>
                <w:kern w:val="2"/>
                <w:sz w:val="24"/>
                <w:szCs w:val="20"/>
                <w:highlight w:val="none"/>
                <w:lang w:val="en-US" w:eastAsia="zh-CN" w:bidi="ar-SA"/>
              </w:rPr>
              <w:t>因此该化粪池能够接纳并满足项目</w:t>
            </w:r>
            <w:r>
              <w:rPr>
                <w:rFonts w:hint="eastAsia" w:ascii="Times New Roman" w:hAnsi="Times New Roman" w:eastAsia="宋体" w:cs="Times New Roman"/>
                <w:bCs/>
                <w:color w:val="auto"/>
                <w:kern w:val="2"/>
                <w:sz w:val="24"/>
                <w:szCs w:val="20"/>
                <w:highlight w:val="none"/>
                <w:lang w:val="en-US" w:eastAsia="zh-CN" w:bidi="ar-SA"/>
              </w:rPr>
              <w:t>生活污水</w:t>
            </w:r>
            <w:r>
              <w:rPr>
                <w:rFonts w:hint="default" w:ascii="Times New Roman" w:hAnsi="Times New Roman" w:eastAsia="宋体" w:cs="Times New Roman"/>
                <w:bCs/>
                <w:color w:val="auto"/>
                <w:kern w:val="2"/>
                <w:sz w:val="24"/>
                <w:szCs w:val="20"/>
                <w:highlight w:val="none"/>
                <w:lang w:val="en-US" w:eastAsia="zh-CN" w:bidi="ar-SA"/>
              </w:rPr>
              <w:t>处理要求，并保证在污水处理设施正常运行情况下，废水出水水质能够稳定达到《污水综合排放标准》（GB8978-1996）表4三级标准要求（其中氨氮指标参照《污水排入城镇下水道水质标准》（GB/T31962-2015）表1的B级标准）。</w:t>
            </w:r>
          </w:p>
          <w:p w14:paraId="5A889FD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val="0"/>
                <w:color w:val="auto"/>
                <w:kern w:val="2"/>
                <w:sz w:val="24"/>
                <w:szCs w:val="20"/>
                <w:highlight w:val="none"/>
                <w:lang w:val="en-US" w:eastAsia="zh-CN" w:bidi="ar-SA"/>
              </w:rPr>
            </w:pPr>
            <w:r>
              <w:rPr>
                <w:rFonts w:hint="default" w:ascii="Times New Roman" w:hAnsi="Times New Roman" w:eastAsia="宋体" w:cs="Times New Roman"/>
                <w:b/>
                <w:bCs w:val="0"/>
                <w:color w:val="auto"/>
                <w:kern w:val="2"/>
                <w:sz w:val="24"/>
                <w:szCs w:val="20"/>
                <w:highlight w:val="none"/>
                <w:lang w:val="en-US" w:eastAsia="zh-CN" w:bidi="ar-SA"/>
              </w:rPr>
              <w:t>①</w:t>
            </w:r>
            <w:r>
              <w:rPr>
                <w:rFonts w:hint="default" w:ascii="Times New Roman" w:hAnsi="Times New Roman" w:cs="Times New Roman"/>
                <w:b/>
                <w:bCs w:val="0"/>
                <w:color w:val="auto"/>
                <w:kern w:val="2"/>
                <w:sz w:val="24"/>
                <w:szCs w:val="20"/>
                <w:highlight w:val="none"/>
                <w:lang w:val="en-US" w:eastAsia="zh-CN" w:bidi="ar-SA"/>
              </w:rPr>
              <w:t>生活污</w:t>
            </w:r>
            <w:r>
              <w:rPr>
                <w:rFonts w:hint="default" w:ascii="Times New Roman" w:hAnsi="Times New Roman" w:eastAsia="宋体" w:cs="Times New Roman"/>
                <w:b/>
                <w:bCs w:val="0"/>
                <w:color w:val="auto"/>
                <w:kern w:val="2"/>
                <w:sz w:val="24"/>
                <w:szCs w:val="20"/>
                <w:highlight w:val="none"/>
                <w:lang w:val="en-US" w:eastAsia="zh-CN" w:bidi="ar-SA"/>
              </w:rPr>
              <w:t>水环境影响减缓措施有效性评价</w:t>
            </w:r>
          </w:p>
          <w:p w14:paraId="43F773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kern w:val="2"/>
                <w:sz w:val="24"/>
                <w:szCs w:val="20"/>
                <w:highlight w:val="none"/>
                <w:lang w:val="en-US" w:eastAsia="zh-CN" w:bidi="ar-SA"/>
              </w:rPr>
            </w:pPr>
            <w:r>
              <w:rPr>
                <w:rFonts w:hint="default" w:ascii="Times New Roman" w:hAnsi="Times New Roman" w:eastAsia="宋体" w:cs="Times New Roman"/>
                <w:bCs/>
                <w:color w:val="auto"/>
                <w:kern w:val="2"/>
                <w:sz w:val="24"/>
                <w:szCs w:val="20"/>
                <w:highlight w:val="none"/>
                <w:lang w:val="en-US" w:eastAsia="zh-CN" w:bidi="ar-SA"/>
              </w:rPr>
              <w:t>根据《常用污水处理设备及去除率》可知，化粪池对生活</w:t>
            </w:r>
            <w:r>
              <w:rPr>
                <w:rFonts w:hint="eastAsia" w:ascii="Times New Roman" w:hAnsi="Times New Roman" w:eastAsia="宋体" w:cs="Times New Roman"/>
                <w:bCs/>
                <w:color w:val="auto"/>
                <w:kern w:val="2"/>
                <w:sz w:val="24"/>
                <w:szCs w:val="20"/>
                <w:highlight w:val="none"/>
                <w:lang w:val="en-US" w:eastAsia="zh-CN" w:bidi="ar-SA"/>
              </w:rPr>
              <w:t>污</w:t>
            </w:r>
            <w:r>
              <w:rPr>
                <w:rFonts w:hint="default" w:ascii="Times New Roman" w:hAnsi="Times New Roman" w:eastAsia="宋体" w:cs="Times New Roman"/>
                <w:bCs/>
                <w:color w:val="auto"/>
                <w:kern w:val="2"/>
                <w:sz w:val="24"/>
                <w:szCs w:val="20"/>
                <w:highlight w:val="none"/>
                <w:lang w:val="en-US" w:eastAsia="zh-CN" w:bidi="ar-SA"/>
              </w:rPr>
              <w:t>水中主要污染物的去除率分别为：COD</w:t>
            </w:r>
            <w:r>
              <w:rPr>
                <w:rFonts w:hint="eastAsia" w:ascii="Times New Roman" w:hAnsi="Times New Roman" w:eastAsia="宋体" w:cs="Times New Roman"/>
                <w:bCs/>
                <w:color w:val="auto"/>
                <w:kern w:val="2"/>
                <w:sz w:val="24"/>
                <w:szCs w:val="20"/>
                <w:highlight w:val="none"/>
                <w:lang w:val="en-US" w:eastAsia="zh-CN" w:bidi="ar-SA"/>
              </w:rPr>
              <w:t xml:space="preserve"> </w:t>
            </w:r>
            <w:r>
              <w:rPr>
                <w:rFonts w:hint="default" w:ascii="Times New Roman" w:hAnsi="Times New Roman" w:eastAsia="宋体" w:cs="Times New Roman"/>
                <w:bCs/>
                <w:color w:val="auto"/>
                <w:kern w:val="2"/>
                <w:sz w:val="24"/>
                <w:szCs w:val="20"/>
                <w:highlight w:val="none"/>
                <w:lang w:val="en-US" w:eastAsia="zh-CN" w:bidi="ar-SA"/>
              </w:rPr>
              <w:t>15%、BOD</w:t>
            </w:r>
            <w:r>
              <w:rPr>
                <w:rFonts w:hint="default" w:ascii="Times New Roman" w:hAnsi="Times New Roman" w:eastAsia="宋体" w:cs="Times New Roman"/>
                <w:bCs/>
                <w:color w:val="auto"/>
                <w:kern w:val="2"/>
                <w:sz w:val="24"/>
                <w:szCs w:val="20"/>
                <w:highlight w:val="none"/>
                <w:vertAlign w:val="subscript"/>
                <w:lang w:val="en-US" w:eastAsia="zh-CN" w:bidi="ar-SA"/>
              </w:rPr>
              <w:t>5</w:t>
            </w:r>
            <w:r>
              <w:rPr>
                <w:rFonts w:hint="eastAsia" w:ascii="Times New Roman" w:hAnsi="Times New Roman" w:eastAsia="宋体" w:cs="Times New Roman"/>
                <w:bCs/>
                <w:color w:val="auto"/>
                <w:kern w:val="2"/>
                <w:sz w:val="24"/>
                <w:szCs w:val="20"/>
                <w:highlight w:val="none"/>
                <w:vertAlign w:val="subscript"/>
                <w:lang w:val="en-US" w:eastAsia="zh-CN" w:bidi="ar-SA"/>
              </w:rPr>
              <w:t xml:space="preserve"> </w:t>
            </w:r>
            <w:r>
              <w:rPr>
                <w:rFonts w:hint="default" w:ascii="Times New Roman" w:hAnsi="Times New Roman" w:eastAsia="宋体" w:cs="Times New Roman"/>
                <w:bCs/>
                <w:color w:val="auto"/>
                <w:kern w:val="2"/>
                <w:sz w:val="24"/>
                <w:szCs w:val="20"/>
                <w:highlight w:val="none"/>
                <w:lang w:val="en-US" w:eastAsia="zh-CN" w:bidi="ar-SA"/>
              </w:rPr>
              <w:t>9%、氨氮3%、SS</w:t>
            </w:r>
            <w:r>
              <w:rPr>
                <w:rFonts w:hint="eastAsia" w:ascii="Times New Roman" w:hAnsi="Times New Roman" w:eastAsia="宋体" w:cs="Times New Roman"/>
                <w:bCs/>
                <w:color w:val="auto"/>
                <w:kern w:val="2"/>
                <w:sz w:val="24"/>
                <w:szCs w:val="20"/>
                <w:highlight w:val="none"/>
                <w:lang w:val="en-US" w:eastAsia="zh-CN" w:bidi="ar-SA"/>
              </w:rPr>
              <w:t xml:space="preserve"> </w:t>
            </w:r>
            <w:r>
              <w:rPr>
                <w:rFonts w:hint="default" w:ascii="Times New Roman" w:hAnsi="Times New Roman" w:eastAsia="宋体" w:cs="Times New Roman"/>
                <w:bCs/>
                <w:color w:val="auto"/>
                <w:kern w:val="2"/>
                <w:sz w:val="24"/>
                <w:szCs w:val="20"/>
                <w:highlight w:val="none"/>
                <w:lang w:val="en-US" w:eastAsia="zh-CN" w:bidi="ar-SA"/>
              </w:rPr>
              <w:t>30%。项目生活</w:t>
            </w:r>
            <w:r>
              <w:rPr>
                <w:rFonts w:hint="eastAsia" w:ascii="Times New Roman" w:hAnsi="Times New Roman" w:eastAsia="宋体" w:cs="Times New Roman"/>
                <w:bCs/>
                <w:color w:val="auto"/>
                <w:kern w:val="2"/>
                <w:sz w:val="24"/>
                <w:szCs w:val="20"/>
                <w:highlight w:val="none"/>
                <w:lang w:val="en-US" w:eastAsia="zh-CN" w:bidi="ar-SA"/>
              </w:rPr>
              <w:t>污水</w:t>
            </w:r>
            <w:r>
              <w:rPr>
                <w:rFonts w:hint="default" w:ascii="Times New Roman" w:hAnsi="Times New Roman" w:eastAsia="宋体" w:cs="Times New Roman"/>
                <w:bCs/>
                <w:color w:val="auto"/>
                <w:kern w:val="2"/>
                <w:sz w:val="24"/>
                <w:szCs w:val="20"/>
                <w:highlight w:val="none"/>
                <w:lang w:val="en-US" w:eastAsia="zh-CN" w:bidi="ar-SA"/>
              </w:rPr>
              <w:t>经</w:t>
            </w:r>
            <w:r>
              <w:rPr>
                <w:rFonts w:hint="eastAsia" w:cs="Times New Roman"/>
                <w:bCs/>
                <w:color w:val="auto"/>
                <w:kern w:val="2"/>
                <w:sz w:val="24"/>
                <w:szCs w:val="20"/>
                <w:highlight w:val="none"/>
                <w:lang w:val="en-US" w:eastAsia="zh-CN" w:bidi="ar-SA"/>
              </w:rPr>
              <w:t>厂区</w:t>
            </w:r>
            <w:r>
              <w:rPr>
                <w:rFonts w:hint="default" w:ascii="Times New Roman" w:hAnsi="Times New Roman" w:eastAsia="宋体" w:cs="Times New Roman"/>
                <w:bCs/>
                <w:color w:val="auto"/>
                <w:kern w:val="2"/>
                <w:sz w:val="24"/>
                <w:szCs w:val="20"/>
                <w:highlight w:val="none"/>
                <w:lang w:val="en-US" w:eastAsia="zh-CN" w:bidi="ar-SA"/>
              </w:rPr>
              <w:t>三级化粪池预处理后外排。外排综合废水各主要污染物排放浓度为：COD：</w:t>
            </w:r>
            <w:r>
              <w:rPr>
                <w:rFonts w:hint="eastAsia" w:ascii="Times New Roman" w:hAnsi="Times New Roman" w:eastAsia="宋体" w:cs="Times New Roman"/>
                <w:bCs/>
                <w:color w:val="auto"/>
                <w:kern w:val="2"/>
                <w:sz w:val="24"/>
                <w:szCs w:val="20"/>
                <w:highlight w:val="none"/>
                <w:lang w:val="en-US" w:eastAsia="zh-CN" w:bidi="ar-SA"/>
              </w:rPr>
              <w:t>340</w:t>
            </w:r>
            <w:r>
              <w:rPr>
                <w:rFonts w:hint="default" w:ascii="Times New Roman" w:hAnsi="Times New Roman" w:eastAsia="宋体" w:cs="Times New Roman"/>
                <w:bCs/>
                <w:color w:val="auto"/>
                <w:kern w:val="2"/>
                <w:sz w:val="24"/>
                <w:szCs w:val="20"/>
                <w:highlight w:val="none"/>
                <w:lang w:val="en-US" w:eastAsia="zh-CN" w:bidi="ar-SA"/>
              </w:rPr>
              <w:t>mg/L，BOD</w:t>
            </w:r>
            <w:r>
              <w:rPr>
                <w:rFonts w:hint="default" w:ascii="Times New Roman" w:hAnsi="Times New Roman" w:eastAsia="宋体" w:cs="Times New Roman"/>
                <w:bCs/>
                <w:color w:val="auto"/>
                <w:kern w:val="2"/>
                <w:sz w:val="24"/>
                <w:szCs w:val="20"/>
                <w:highlight w:val="none"/>
                <w:vertAlign w:val="subscript"/>
                <w:lang w:val="en-US" w:eastAsia="zh-CN" w:bidi="ar-SA"/>
              </w:rPr>
              <w:t>5</w:t>
            </w:r>
            <w:r>
              <w:rPr>
                <w:rFonts w:hint="eastAsia" w:cs="Times New Roman"/>
                <w:bCs/>
                <w:color w:val="auto"/>
                <w:kern w:val="2"/>
                <w:sz w:val="24"/>
                <w:szCs w:val="20"/>
                <w:highlight w:val="none"/>
                <w:vertAlign w:val="subscript"/>
                <w:lang w:val="en-US" w:eastAsia="zh-CN" w:bidi="ar-SA"/>
              </w:rPr>
              <w:t>:</w:t>
            </w:r>
            <w:r>
              <w:rPr>
                <w:rFonts w:hint="eastAsia" w:ascii="Times New Roman" w:hAnsi="Times New Roman" w:eastAsia="宋体" w:cs="Times New Roman"/>
                <w:bCs/>
                <w:color w:val="auto"/>
                <w:kern w:val="2"/>
                <w:sz w:val="24"/>
                <w:szCs w:val="20"/>
                <w:highlight w:val="none"/>
                <w:lang w:val="en-US" w:eastAsia="zh-CN" w:bidi="ar-SA"/>
              </w:rPr>
              <w:t>200</w:t>
            </w:r>
            <w:r>
              <w:rPr>
                <w:rFonts w:hint="default" w:ascii="Times New Roman" w:hAnsi="Times New Roman" w:eastAsia="宋体" w:cs="Times New Roman"/>
                <w:bCs/>
                <w:color w:val="auto"/>
                <w:kern w:val="2"/>
                <w:sz w:val="24"/>
                <w:szCs w:val="20"/>
                <w:highlight w:val="none"/>
                <w:lang w:val="en-US" w:eastAsia="zh-CN" w:bidi="ar-SA"/>
              </w:rPr>
              <w:t>mg/L，SS：</w:t>
            </w:r>
            <w:r>
              <w:rPr>
                <w:rFonts w:hint="eastAsia" w:ascii="Times New Roman" w:hAnsi="Times New Roman" w:eastAsia="宋体" w:cs="Times New Roman"/>
                <w:bCs/>
                <w:color w:val="auto"/>
                <w:kern w:val="2"/>
                <w:sz w:val="24"/>
                <w:szCs w:val="20"/>
                <w:highlight w:val="none"/>
                <w:lang w:val="en-US" w:eastAsia="zh-CN" w:bidi="ar-SA"/>
              </w:rPr>
              <w:t>140</w:t>
            </w:r>
            <w:r>
              <w:rPr>
                <w:rFonts w:hint="default" w:ascii="Times New Roman" w:hAnsi="Times New Roman" w:eastAsia="宋体" w:cs="Times New Roman"/>
                <w:bCs/>
                <w:color w:val="auto"/>
                <w:kern w:val="2"/>
                <w:sz w:val="24"/>
                <w:szCs w:val="20"/>
                <w:highlight w:val="none"/>
                <w:lang w:val="en-US" w:eastAsia="zh-CN" w:bidi="ar-SA"/>
              </w:rPr>
              <w:t>mg/L，NH</w:t>
            </w:r>
            <w:r>
              <w:rPr>
                <w:rFonts w:hint="default" w:ascii="Times New Roman" w:hAnsi="Times New Roman" w:eastAsia="宋体" w:cs="Times New Roman"/>
                <w:bCs/>
                <w:color w:val="auto"/>
                <w:kern w:val="2"/>
                <w:sz w:val="24"/>
                <w:szCs w:val="20"/>
                <w:highlight w:val="none"/>
                <w:vertAlign w:val="subscript"/>
                <w:lang w:val="en-US" w:eastAsia="zh-CN" w:bidi="ar-SA"/>
              </w:rPr>
              <w:t>3</w:t>
            </w:r>
            <w:r>
              <w:rPr>
                <w:rFonts w:hint="default" w:ascii="Times New Roman" w:hAnsi="Times New Roman" w:eastAsia="宋体" w:cs="Times New Roman"/>
                <w:bCs/>
                <w:color w:val="auto"/>
                <w:kern w:val="2"/>
                <w:sz w:val="24"/>
                <w:szCs w:val="20"/>
                <w:highlight w:val="none"/>
                <w:lang w:val="en-US" w:eastAsia="zh-CN" w:bidi="ar-SA"/>
              </w:rPr>
              <w:t>-N：</w:t>
            </w:r>
            <w:r>
              <w:rPr>
                <w:rFonts w:hint="eastAsia" w:ascii="Times New Roman" w:hAnsi="Times New Roman" w:eastAsia="宋体" w:cs="Times New Roman"/>
                <w:bCs/>
                <w:color w:val="auto"/>
                <w:kern w:val="2"/>
                <w:sz w:val="24"/>
                <w:szCs w:val="20"/>
                <w:highlight w:val="none"/>
                <w:lang w:val="en-US" w:eastAsia="zh-CN" w:bidi="ar-SA"/>
              </w:rPr>
              <w:t>34</w:t>
            </w:r>
            <w:r>
              <w:rPr>
                <w:rFonts w:hint="default" w:ascii="Times New Roman" w:hAnsi="Times New Roman" w:eastAsia="宋体" w:cs="Times New Roman"/>
                <w:bCs/>
                <w:color w:val="auto"/>
                <w:kern w:val="2"/>
                <w:sz w:val="24"/>
                <w:szCs w:val="20"/>
                <w:highlight w:val="none"/>
                <w:lang w:val="en-US" w:eastAsia="zh-CN" w:bidi="ar-SA"/>
              </w:rPr>
              <w:t>mg/L，均能满足《污水综合排放标准》（GB8978-1996）表4三级标准（其中NH</w:t>
            </w:r>
            <w:r>
              <w:rPr>
                <w:rFonts w:hint="default" w:ascii="Times New Roman" w:hAnsi="Times New Roman" w:eastAsia="宋体" w:cs="Times New Roman"/>
                <w:bCs/>
                <w:color w:val="auto"/>
                <w:kern w:val="2"/>
                <w:sz w:val="24"/>
                <w:szCs w:val="20"/>
                <w:highlight w:val="none"/>
                <w:vertAlign w:val="subscript"/>
                <w:lang w:val="en-US" w:eastAsia="zh-CN" w:bidi="ar-SA"/>
              </w:rPr>
              <w:t>3</w:t>
            </w:r>
            <w:r>
              <w:rPr>
                <w:rFonts w:hint="default" w:ascii="Times New Roman" w:hAnsi="Times New Roman" w:eastAsia="宋体" w:cs="Times New Roman"/>
                <w:bCs/>
                <w:color w:val="auto"/>
                <w:kern w:val="2"/>
                <w:sz w:val="24"/>
                <w:szCs w:val="20"/>
                <w:highlight w:val="none"/>
                <w:lang w:val="en-US" w:eastAsia="zh-CN" w:bidi="ar-SA"/>
              </w:rPr>
              <w:t>-N参照《污水排入城镇下水道水质标准》（GB/T31962-2015）表1中的B级标准），措施有效。</w:t>
            </w:r>
          </w:p>
          <w:p w14:paraId="4F52802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Cs/>
                <w:color w:val="auto"/>
                <w:kern w:val="2"/>
                <w:sz w:val="24"/>
                <w:szCs w:val="20"/>
                <w:highlight w:val="none"/>
                <w:lang w:val="en-US" w:eastAsia="zh-CN" w:bidi="ar-SA"/>
              </w:rPr>
            </w:pPr>
            <w:r>
              <w:rPr>
                <w:rFonts w:hint="default" w:ascii="Times New Roman" w:hAnsi="Times New Roman" w:eastAsia="宋体" w:cs="Times New Roman"/>
                <w:b/>
                <w:bCs w:val="0"/>
                <w:color w:val="auto"/>
                <w:kern w:val="2"/>
                <w:sz w:val="24"/>
                <w:szCs w:val="20"/>
                <w:highlight w:val="none"/>
                <w:lang w:val="en-US" w:eastAsia="zh-CN" w:bidi="ar-SA"/>
              </w:rPr>
              <w:t>②依托集中污水处理厂的可行性分析</w:t>
            </w:r>
          </w:p>
          <w:p w14:paraId="5AE7D8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kern w:val="2"/>
                <w:sz w:val="24"/>
                <w:szCs w:val="20"/>
                <w:highlight w:val="none"/>
                <w:lang w:val="en-US" w:eastAsia="zh-CN" w:bidi="ar-SA"/>
              </w:rPr>
            </w:pPr>
            <w:r>
              <w:rPr>
                <w:rFonts w:hint="eastAsia" w:cs="Times New Roman"/>
                <w:bCs/>
                <w:color w:val="auto"/>
                <w:kern w:val="2"/>
                <w:sz w:val="24"/>
                <w:szCs w:val="20"/>
                <w:highlight w:val="none"/>
                <w:lang w:val="en-US" w:eastAsia="zh-CN" w:bidi="ar-SA"/>
              </w:rPr>
              <w:t>a.竹岐乡污水处理厂</w:t>
            </w:r>
            <w:r>
              <w:rPr>
                <w:rFonts w:hint="default" w:ascii="Times New Roman" w:hAnsi="Times New Roman" w:eastAsia="宋体" w:cs="Times New Roman"/>
                <w:bCs/>
                <w:color w:val="auto"/>
                <w:kern w:val="2"/>
                <w:sz w:val="24"/>
                <w:szCs w:val="20"/>
                <w:highlight w:val="none"/>
                <w:lang w:val="en-US" w:eastAsia="zh-CN" w:bidi="ar-SA"/>
              </w:rPr>
              <w:t>概况</w:t>
            </w:r>
          </w:p>
          <w:p w14:paraId="254E3AA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bCs/>
                <w:color w:val="auto"/>
                <w:kern w:val="2"/>
                <w:sz w:val="24"/>
                <w:szCs w:val="20"/>
                <w:highlight w:val="none"/>
                <w:lang w:val="en-US" w:eastAsia="zh-CN" w:bidi="ar-SA"/>
              </w:rPr>
            </w:pPr>
            <w:r>
              <w:rPr>
                <w:rFonts w:hint="eastAsia"/>
                <w:color w:val="auto"/>
                <w:sz w:val="24"/>
                <w:szCs w:val="24"/>
                <w:highlight w:val="none"/>
                <w:lang w:val="zh-CN" w:bidi="ar"/>
              </w:rPr>
              <w:t>闽侯县竹岐乡污水处理厂位于闽侯县竹岐乡白龙村，近期规模2.0万m</w:t>
            </w:r>
            <w:r>
              <w:rPr>
                <w:rFonts w:hint="eastAsia"/>
                <w:color w:val="auto"/>
                <w:sz w:val="24"/>
                <w:szCs w:val="24"/>
                <w:highlight w:val="none"/>
                <w:vertAlign w:val="superscript"/>
                <w:lang w:val="zh-CN" w:bidi="ar"/>
              </w:rPr>
              <w:t>3</w:t>
            </w:r>
            <w:r>
              <w:rPr>
                <w:rFonts w:hint="eastAsia"/>
                <w:color w:val="auto"/>
                <w:sz w:val="24"/>
                <w:szCs w:val="24"/>
                <w:highlight w:val="none"/>
                <w:lang w:val="zh-CN" w:bidi="ar"/>
              </w:rPr>
              <w:t>/d，远期总规模达到5.0万m</w:t>
            </w:r>
            <w:r>
              <w:rPr>
                <w:rFonts w:hint="eastAsia"/>
                <w:color w:val="auto"/>
                <w:sz w:val="24"/>
                <w:szCs w:val="24"/>
                <w:highlight w:val="none"/>
                <w:vertAlign w:val="superscript"/>
                <w:lang w:val="zh-CN" w:bidi="ar"/>
              </w:rPr>
              <w:t>3</w:t>
            </w:r>
            <w:r>
              <w:rPr>
                <w:rFonts w:hint="eastAsia"/>
                <w:color w:val="auto"/>
                <w:sz w:val="24"/>
                <w:szCs w:val="24"/>
                <w:highlight w:val="none"/>
                <w:lang w:val="zh-CN" w:bidi="ar"/>
              </w:rPr>
              <w:t>/d，目前剩余处理规模0.2万m</w:t>
            </w:r>
            <w:r>
              <w:rPr>
                <w:rFonts w:hint="eastAsia"/>
                <w:color w:val="auto"/>
                <w:sz w:val="24"/>
                <w:szCs w:val="24"/>
                <w:highlight w:val="none"/>
                <w:vertAlign w:val="superscript"/>
                <w:lang w:val="zh-CN" w:bidi="ar"/>
              </w:rPr>
              <w:t>3</w:t>
            </w:r>
            <w:r>
              <w:rPr>
                <w:rFonts w:hint="eastAsia"/>
                <w:color w:val="auto"/>
                <w:sz w:val="24"/>
                <w:szCs w:val="24"/>
                <w:highlight w:val="none"/>
                <w:lang w:val="zh-CN" w:bidi="ar"/>
              </w:rPr>
              <w:t>/d。污水处理采用氧化沟为主体的处理工艺；消毒采用紫外线消毒工艺；污泥处理采用污泥浓缩池+调理+自动隔膜压榨脱水工艺，技术成熟适用。污水经过处理后达到《城镇污水处理厂污染物排放标准》GB18918-2002的一级A类标准后就近排入高洲河，随后尾水流入闽江</w:t>
            </w:r>
            <w:r>
              <w:rPr>
                <w:rFonts w:hint="eastAsia" w:ascii="Times New Roman" w:hAnsi="Times New Roman" w:eastAsia="宋体" w:cs="Times New Roman"/>
                <w:bCs/>
                <w:color w:val="auto"/>
                <w:kern w:val="2"/>
                <w:sz w:val="24"/>
                <w:szCs w:val="20"/>
                <w:highlight w:val="none"/>
                <w:lang w:val="en-US" w:eastAsia="zh-CN" w:bidi="ar-SA"/>
              </w:rPr>
              <w:t>。</w:t>
            </w:r>
          </w:p>
          <w:p w14:paraId="1E1720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color w:val="auto"/>
                <w:kern w:val="2"/>
                <w:sz w:val="24"/>
                <w:szCs w:val="24"/>
                <w:highlight w:val="none"/>
                <w:lang w:val="en-US" w:eastAsia="zh-CN" w:bidi="ar-SA"/>
              </w:rPr>
            </w:pPr>
            <w:r>
              <w:rPr>
                <w:rFonts w:hint="eastAsia" w:cs="Times New Roman"/>
                <w:b w:val="0"/>
                <w:bCs/>
                <w:color w:val="auto"/>
                <w:kern w:val="2"/>
                <w:sz w:val="24"/>
                <w:szCs w:val="24"/>
                <w:highlight w:val="none"/>
                <w:lang w:val="en-US" w:eastAsia="zh-CN" w:bidi="ar-SA"/>
              </w:rPr>
              <w:t>b.</w:t>
            </w:r>
            <w:r>
              <w:rPr>
                <w:rFonts w:hint="default" w:ascii="Times New Roman" w:hAnsi="Times New Roman" w:eastAsia="宋体" w:cs="Times New Roman"/>
                <w:b w:val="0"/>
                <w:bCs/>
                <w:color w:val="auto"/>
                <w:kern w:val="2"/>
                <w:sz w:val="24"/>
                <w:szCs w:val="24"/>
                <w:highlight w:val="none"/>
                <w:lang w:val="en-US" w:eastAsia="zh-CN" w:bidi="ar-SA"/>
              </w:rPr>
              <w:t>管网衔接可行性分析</w:t>
            </w:r>
          </w:p>
          <w:p w14:paraId="53F69AC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kern w:val="2"/>
                <w:sz w:val="24"/>
                <w:szCs w:val="24"/>
                <w:highlight w:val="none"/>
                <w:lang w:val="en-US" w:eastAsia="zh-CN" w:bidi="ar-SA"/>
              </w:rPr>
            </w:pPr>
            <w:r>
              <w:rPr>
                <w:color w:val="auto"/>
                <w:sz w:val="24"/>
                <w:szCs w:val="24"/>
                <w:highlight w:val="none"/>
              </w:rPr>
              <w:t>闽侯县竹岐乡污水处理厂的服务范围为</w:t>
            </w:r>
            <w:r>
              <w:rPr>
                <w:rFonts w:hint="eastAsia"/>
                <w:color w:val="auto"/>
                <w:sz w:val="24"/>
                <w:szCs w:val="24"/>
                <w:highlight w:val="none"/>
                <w:lang w:eastAsia="zh-CN"/>
              </w:rPr>
              <w:t>：</w:t>
            </w:r>
            <w:r>
              <w:rPr>
                <w:color w:val="auto"/>
                <w:sz w:val="24"/>
                <w:szCs w:val="24"/>
                <w:highlight w:val="none"/>
              </w:rPr>
              <w:t>白沙片区</w:t>
            </w:r>
            <w:r>
              <w:rPr>
                <w:rFonts w:hint="eastAsia"/>
                <w:color w:val="auto"/>
                <w:sz w:val="24"/>
                <w:szCs w:val="24"/>
                <w:highlight w:val="none"/>
                <w:lang w:eastAsia="zh-CN"/>
              </w:rPr>
              <w:t>（</w:t>
            </w:r>
            <w:r>
              <w:rPr>
                <w:color w:val="auto"/>
                <w:sz w:val="24"/>
                <w:szCs w:val="24"/>
                <w:highlight w:val="none"/>
              </w:rPr>
              <w:t>闽江西侧用地</w:t>
            </w:r>
            <w:r>
              <w:rPr>
                <w:rFonts w:hint="eastAsia"/>
                <w:color w:val="auto"/>
                <w:sz w:val="24"/>
                <w:szCs w:val="24"/>
                <w:highlight w:val="none"/>
                <w:lang w:eastAsia="zh-CN"/>
              </w:rPr>
              <w:t>）</w:t>
            </w:r>
            <w:r>
              <w:rPr>
                <w:color w:val="auto"/>
                <w:sz w:val="24"/>
                <w:szCs w:val="24"/>
                <w:highlight w:val="none"/>
              </w:rPr>
              <w:t>、金水湖片区和竹岐片区。</w:t>
            </w:r>
            <w:r>
              <w:rPr>
                <w:rFonts w:hint="default" w:ascii="Times New Roman" w:hAnsi="Times New Roman" w:eastAsia="宋体" w:cs="Times New Roman"/>
                <w:bCs/>
                <w:color w:val="auto"/>
                <w:kern w:val="2"/>
                <w:sz w:val="24"/>
                <w:szCs w:val="24"/>
                <w:highlight w:val="none"/>
                <w:lang w:val="en-US" w:eastAsia="zh-CN" w:bidi="ar-SA"/>
              </w:rPr>
              <w:t>本项目</w:t>
            </w:r>
            <w:r>
              <w:rPr>
                <w:rFonts w:hint="eastAsia" w:ascii="Times New Roman" w:hAnsi="Times New Roman" w:eastAsia="宋体" w:cs="Times New Roman"/>
                <w:bCs/>
                <w:color w:val="auto"/>
                <w:kern w:val="2"/>
                <w:sz w:val="24"/>
                <w:szCs w:val="24"/>
                <w:highlight w:val="none"/>
                <w:lang w:val="en-US" w:eastAsia="zh-CN" w:bidi="ar-SA"/>
              </w:rPr>
              <w:t>位于</w:t>
            </w:r>
            <w:r>
              <w:rPr>
                <w:rFonts w:hint="eastAsia"/>
                <w:color w:val="auto"/>
                <w:sz w:val="24"/>
                <w:szCs w:val="24"/>
              </w:rPr>
              <w:t>福州市闽侯县</w:t>
            </w:r>
            <w:r>
              <w:rPr>
                <w:rFonts w:hint="eastAsia"/>
                <w:color w:val="auto"/>
                <w:sz w:val="24"/>
                <w:szCs w:val="24"/>
                <w:lang w:eastAsia="zh-CN"/>
              </w:rPr>
              <w:t>竹岐乡，</w:t>
            </w:r>
            <w:r>
              <w:rPr>
                <w:rFonts w:hint="default" w:ascii="Times New Roman" w:hAnsi="Times New Roman" w:eastAsia="宋体" w:cs="Times New Roman"/>
                <w:bCs/>
                <w:color w:val="auto"/>
                <w:kern w:val="2"/>
                <w:sz w:val="24"/>
                <w:szCs w:val="24"/>
                <w:highlight w:val="none"/>
                <w:lang w:val="en-US" w:eastAsia="zh-CN" w:bidi="ar-SA"/>
              </w:rPr>
              <w:t>所在区域属于</w:t>
            </w:r>
            <w:r>
              <w:rPr>
                <w:rFonts w:hint="eastAsia" w:cs="Times New Roman"/>
                <w:bCs/>
                <w:color w:val="auto"/>
                <w:kern w:val="2"/>
                <w:sz w:val="24"/>
                <w:szCs w:val="24"/>
                <w:highlight w:val="none"/>
                <w:lang w:val="en-US" w:eastAsia="zh-CN" w:bidi="ar-SA"/>
              </w:rPr>
              <w:t>竹岐乡污水处理厂</w:t>
            </w:r>
            <w:r>
              <w:rPr>
                <w:rFonts w:hint="default" w:ascii="Times New Roman" w:hAnsi="Times New Roman" w:eastAsia="宋体" w:cs="Times New Roman"/>
                <w:bCs/>
                <w:color w:val="auto"/>
                <w:kern w:val="2"/>
                <w:sz w:val="24"/>
                <w:szCs w:val="24"/>
                <w:highlight w:val="none"/>
                <w:lang w:val="en-US" w:eastAsia="zh-CN" w:bidi="ar-SA"/>
              </w:rPr>
              <w:t>设计纳污范围内。</w:t>
            </w:r>
          </w:p>
          <w:p w14:paraId="73CA368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kern w:val="2"/>
                <w:sz w:val="24"/>
                <w:szCs w:val="24"/>
                <w:highlight w:val="none"/>
                <w:lang w:val="en-US" w:eastAsia="zh-CN" w:bidi="ar-SA"/>
              </w:rPr>
            </w:pPr>
            <w:r>
              <w:rPr>
                <w:rFonts w:hint="default" w:ascii="Times New Roman" w:hAnsi="Times New Roman" w:eastAsia="宋体" w:cs="Times New Roman"/>
                <w:bCs/>
                <w:color w:val="auto"/>
                <w:kern w:val="2"/>
                <w:sz w:val="24"/>
                <w:szCs w:val="24"/>
                <w:highlight w:val="none"/>
                <w:lang w:val="en-US" w:eastAsia="zh-CN" w:bidi="ar-SA"/>
              </w:rPr>
              <w:t>据现场调查，目前项目周边市政污水管网配套完善，</w:t>
            </w:r>
            <w:r>
              <w:rPr>
                <w:rFonts w:hint="eastAsia" w:ascii="Times New Roman" w:hAnsi="Times New Roman" w:eastAsia="宋体" w:cs="Times New Roman"/>
                <w:bCs/>
                <w:color w:val="auto"/>
                <w:kern w:val="2"/>
                <w:sz w:val="24"/>
                <w:szCs w:val="24"/>
                <w:highlight w:val="none"/>
                <w:lang w:val="en-US" w:eastAsia="zh-CN" w:bidi="ar-SA"/>
              </w:rPr>
              <w:t>项目生活污水经化粪池预处理后排入市政污水管网，最终汇入</w:t>
            </w:r>
            <w:r>
              <w:rPr>
                <w:rFonts w:hint="eastAsia" w:cs="Times New Roman"/>
                <w:bCs/>
                <w:color w:val="auto"/>
                <w:kern w:val="2"/>
                <w:sz w:val="24"/>
                <w:szCs w:val="24"/>
                <w:highlight w:val="none"/>
                <w:lang w:val="en-US" w:eastAsia="zh-CN" w:bidi="ar-SA"/>
              </w:rPr>
              <w:t>竹岐乡污水处理厂</w:t>
            </w:r>
            <w:r>
              <w:rPr>
                <w:rFonts w:hint="default" w:ascii="Times New Roman" w:hAnsi="Times New Roman" w:eastAsia="宋体" w:cs="Times New Roman"/>
                <w:bCs/>
                <w:color w:val="auto"/>
                <w:kern w:val="2"/>
                <w:sz w:val="24"/>
                <w:szCs w:val="24"/>
                <w:highlight w:val="none"/>
                <w:lang w:val="en-US" w:eastAsia="zh-CN" w:bidi="ar-SA"/>
              </w:rPr>
              <w:t>集中处理，</w:t>
            </w:r>
            <w:r>
              <w:rPr>
                <w:rFonts w:hint="eastAsia" w:ascii="Times New Roman" w:hAnsi="Times New Roman" w:eastAsia="宋体" w:cs="Times New Roman"/>
                <w:bCs/>
                <w:color w:val="auto"/>
                <w:kern w:val="2"/>
                <w:sz w:val="24"/>
                <w:szCs w:val="24"/>
                <w:highlight w:val="none"/>
                <w:lang w:val="en-US" w:eastAsia="zh-CN" w:bidi="ar-SA"/>
              </w:rPr>
              <w:t>项</w:t>
            </w:r>
            <w:r>
              <w:rPr>
                <w:rFonts w:hint="default" w:ascii="Times New Roman" w:hAnsi="Times New Roman" w:eastAsia="宋体" w:cs="Times New Roman"/>
                <w:bCs/>
                <w:color w:val="auto"/>
                <w:kern w:val="2"/>
                <w:sz w:val="24"/>
                <w:szCs w:val="24"/>
                <w:highlight w:val="none"/>
                <w:lang w:val="en-US" w:eastAsia="zh-CN" w:bidi="ar-SA"/>
              </w:rPr>
              <w:t>目接管可行。</w:t>
            </w:r>
          </w:p>
          <w:p w14:paraId="132B5D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kern w:val="2"/>
                <w:sz w:val="24"/>
                <w:szCs w:val="24"/>
                <w:highlight w:val="none"/>
                <w:lang w:val="en-US" w:eastAsia="zh-CN" w:bidi="ar-SA"/>
              </w:rPr>
            </w:pPr>
            <w:r>
              <w:rPr>
                <w:rFonts w:hint="eastAsia" w:cs="Times New Roman"/>
                <w:bCs/>
                <w:color w:val="auto"/>
                <w:kern w:val="2"/>
                <w:sz w:val="24"/>
                <w:szCs w:val="24"/>
                <w:highlight w:val="none"/>
                <w:lang w:val="en-US" w:eastAsia="zh-CN" w:bidi="ar-SA"/>
              </w:rPr>
              <w:t>c.</w:t>
            </w:r>
            <w:r>
              <w:rPr>
                <w:rFonts w:hint="default" w:ascii="Times New Roman" w:hAnsi="Times New Roman" w:eastAsia="宋体" w:cs="Times New Roman"/>
                <w:bCs/>
                <w:color w:val="auto"/>
                <w:kern w:val="2"/>
                <w:sz w:val="24"/>
                <w:szCs w:val="24"/>
                <w:highlight w:val="none"/>
                <w:lang w:val="en-US" w:eastAsia="zh-CN" w:bidi="ar-SA"/>
              </w:rPr>
              <w:t>污水处理厂接纳可行性分析</w:t>
            </w:r>
          </w:p>
          <w:p w14:paraId="214E437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kern w:val="2"/>
                <w:sz w:val="24"/>
                <w:szCs w:val="24"/>
                <w:highlight w:val="none"/>
                <w:lang w:val="en-US" w:eastAsia="zh-CN" w:bidi="ar-SA"/>
              </w:rPr>
            </w:pPr>
            <w:r>
              <w:rPr>
                <w:rFonts w:hint="default" w:ascii="Times New Roman" w:hAnsi="Times New Roman" w:eastAsia="宋体" w:cs="Times New Roman"/>
                <w:bCs/>
                <w:color w:val="auto"/>
                <w:kern w:val="2"/>
                <w:sz w:val="24"/>
                <w:szCs w:val="24"/>
                <w:highlight w:val="none"/>
                <w:lang w:val="en-US" w:eastAsia="zh-CN" w:bidi="ar-SA"/>
              </w:rPr>
              <w:t>1）废水水质的影响分析</w:t>
            </w:r>
          </w:p>
          <w:p w14:paraId="67A16B5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kern w:val="2"/>
                <w:sz w:val="24"/>
                <w:szCs w:val="24"/>
                <w:highlight w:val="none"/>
                <w:lang w:val="en-US" w:eastAsia="zh-CN" w:bidi="ar-SA"/>
              </w:rPr>
            </w:pPr>
            <w:r>
              <w:rPr>
                <w:rFonts w:hint="default" w:ascii="Times New Roman" w:hAnsi="Times New Roman" w:eastAsia="宋体" w:cs="Times New Roman"/>
                <w:bCs/>
                <w:color w:val="auto"/>
                <w:kern w:val="2"/>
                <w:sz w:val="24"/>
                <w:szCs w:val="24"/>
                <w:highlight w:val="none"/>
                <w:lang w:val="en-US" w:eastAsia="zh-CN" w:bidi="ar-SA"/>
              </w:rPr>
              <w:t>项目运营期外排废水主要为生活污水，由于项目生活</w:t>
            </w:r>
            <w:r>
              <w:rPr>
                <w:rFonts w:hint="eastAsia" w:ascii="Times New Roman" w:hAnsi="Times New Roman" w:eastAsia="宋体" w:cs="Times New Roman"/>
                <w:bCs/>
                <w:color w:val="auto"/>
                <w:kern w:val="2"/>
                <w:sz w:val="24"/>
                <w:szCs w:val="24"/>
                <w:highlight w:val="none"/>
                <w:lang w:val="en-US" w:eastAsia="zh-CN" w:bidi="ar-SA"/>
              </w:rPr>
              <w:t>污水</w:t>
            </w:r>
            <w:r>
              <w:rPr>
                <w:rFonts w:hint="default" w:ascii="Times New Roman" w:hAnsi="Times New Roman" w:eastAsia="宋体" w:cs="Times New Roman"/>
                <w:bCs/>
                <w:color w:val="auto"/>
                <w:kern w:val="2"/>
                <w:sz w:val="24"/>
                <w:szCs w:val="24"/>
                <w:highlight w:val="none"/>
                <w:lang w:val="en-US" w:eastAsia="zh-CN" w:bidi="ar-SA"/>
              </w:rPr>
              <w:t>所含的污染因子浓度低，污染物成分简单，</w:t>
            </w:r>
            <w:r>
              <w:rPr>
                <w:rFonts w:hint="eastAsia" w:ascii="宋体" w:hAnsi="宋体" w:eastAsia="宋体" w:cs="宋体"/>
                <w:color w:val="auto"/>
                <w:kern w:val="0"/>
                <w:sz w:val="24"/>
                <w:szCs w:val="24"/>
                <w:lang w:val="en-US" w:eastAsia="zh-CN" w:bidi="ar"/>
              </w:rPr>
              <w:t>不涉及有毒有害污染物，不涉及持久性、重金属，也不含有腐蚀成分</w:t>
            </w:r>
            <w:r>
              <w:rPr>
                <w:rFonts w:hint="default" w:ascii="Times New Roman" w:hAnsi="Times New Roman" w:eastAsia="宋体" w:cs="Times New Roman"/>
                <w:bCs/>
                <w:color w:val="auto"/>
                <w:kern w:val="2"/>
                <w:sz w:val="24"/>
                <w:szCs w:val="24"/>
                <w:highlight w:val="none"/>
                <w:lang w:val="en-US" w:eastAsia="zh-CN" w:bidi="ar-SA"/>
              </w:rPr>
              <w:t>，</w:t>
            </w:r>
            <w:r>
              <w:rPr>
                <w:rFonts w:hint="eastAsia" w:ascii="Times New Roman" w:hAnsi="Times New Roman" w:eastAsia="宋体" w:cs="Times New Roman"/>
                <w:bCs/>
                <w:color w:val="auto"/>
                <w:kern w:val="2"/>
                <w:sz w:val="24"/>
                <w:szCs w:val="24"/>
                <w:highlight w:val="none"/>
                <w:lang w:val="en-US" w:eastAsia="zh-CN" w:bidi="ar-SA"/>
              </w:rPr>
              <w:t>厂区</w:t>
            </w:r>
            <w:r>
              <w:rPr>
                <w:rFonts w:hint="default" w:ascii="Times New Roman" w:hAnsi="Times New Roman" w:eastAsia="宋体" w:cs="Times New Roman"/>
                <w:bCs/>
                <w:color w:val="auto"/>
                <w:kern w:val="2"/>
                <w:sz w:val="24"/>
                <w:szCs w:val="24"/>
                <w:highlight w:val="none"/>
                <w:lang w:val="en-US" w:eastAsia="zh-CN" w:bidi="ar-SA"/>
              </w:rPr>
              <w:t>内</w:t>
            </w:r>
            <w:r>
              <w:rPr>
                <w:rFonts w:hint="eastAsia" w:ascii="Times New Roman" w:hAnsi="Times New Roman" w:eastAsia="宋体" w:cs="Times New Roman"/>
                <w:bCs/>
                <w:color w:val="auto"/>
                <w:kern w:val="2"/>
                <w:sz w:val="24"/>
                <w:szCs w:val="24"/>
                <w:highlight w:val="none"/>
                <w:lang w:val="en-US" w:eastAsia="zh-CN" w:bidi="ar-SA"/>
              </w:rPr>
              <w:t>生活</w:t>
            </w:r>
            <w:r>
              <w:rPr>
                <w:rFonts w:hint="default" w:ascii="Times New Roman" w:hAnsi="Times New Roman" w:eastAsia="宋体" w:cs="Times New Roman"/>
                <w:bCs/>
                <w:color w:val="auto"/>
                <w:kern w:val="2"/>
                <w:sz w:val="24"/>
                <w:szCs w:val="24"/>
                <w:highlight w:val="none"/>
                <w:lang w:val="en-US" w:eastAsia="zh-CN" w:bidi="ar-SA"/>
              </w:rPr>
              <w:t>污水经过化粪池处理后，出水水质可满足《污水综合排放标准》</w:t>
            </w:r>
            <w:r>
              <w:rPr>
                <w:rFonts w:hint="eastAsia" w:ascii="Times New Roman" w:hAnsi="Times New Roman" w:eastAsia="宋体" w:cs="Times New Roman"/>
                <w:bCs/>
                <w:color w:val="auto"/>
                <w:kern w:val="2"/>
                <w:sz w:val="24"/>
                <w:szCs w:val="24"/>
                <w:highlight w:val="none"/>
                <w:lang w:val="en-US" w:eastAsia="zh-CN" w:bidi="ar-SA"/>
              </w:rPr>
              <w:t>（</w:t>
            </w:r>
            <w:r>
              <w:rPr>
                <w:rFonts w:hint="default" w:ascii="Times New Roman" w:hAnsi="Times New Roman" w:eastAsia="宋体" w:cs="Times New Roman"/>
                <w:bCs/>
                <w:color w:val="auto"/>
                <w:kern w:val="2"/>
                <w:sz w:val="24"/>
                <w:szCs w:val="24"/>
                <w:highlight w:val="none"/>
                <w:lang w:val="en-US" w:eastAsia="zh-CN" w:bidi="ar-SA"/>
              </w:rPr>
              <w:t>GB8978-1996</w:t>
            </w:r>
            <w:r>
              <w:rPr>
                <w:rFonts w:hint="eastAsia" w:ascii="Times New Roman" w:hAnsi="Times New Roman" w:eastAsia="宋体" w:cs="Times New Roman"/>
                <w:bCs/>
                <w:color w:val="auto"/>
                <w:kern w:val="2"/>
                <w:sz w:val="24"/>
                <w:szCs w:val="24"/>
                <w:highlight w:val="none"/>
                <w:lang w:val="en-US" w:eastAsia="zh-CN" w:bidi="ar-SA"/>
              </w:rPr>
              <w:t>）</w:t>
            </w:r>
            <w:r>
              <w:rPr>
                <w:rFonts w:hint="default" w:ascii="Times New Roman" w:hAnsi="Times New Roman" w:eastAsia="宋体" w:cs="Times New Roman"/>
                <w:bCs/>
                <w:color w:val="auto"/>
                <w:kern w:val="2"/>
                <w:sz w:val="24"/>
                <w:szCs w:val="24"/>
                <w:highlight w:val="none"/>
                <w:lang w:val="en-US" w:eastAsia="zh-CN" w:bidi="ar-SA"/>
              </w:rPr>
              <w:t>表4三级标准要求</w:t>
            </w:r>
            <w:r>
              <w:rPr>
                <w:rFonts w:hint="eastAsia" w:ascii="Times New Roman" w:hAnsi="Times New Roman" w:eastAsia="宋体" w:cs="Times New Roman"/>
                <w:bCs/>
                <w:color w:val="auto"/>
                <w:kern w:val="2"/>
                <w:sz w:val="24"/>
                <w:szCs w:val="24"/>
                <w:highlight w:val="none"/>
                <w:lang w:val="en-US" w:eastAsia="zh-CN" w:bidi="ar-SA"/>
              </w:rPr>
              <w:t>（</w:t>
            </w:r>
            <w:r>
              <w:rPr>
                <w:rFonts w:hint="default" w:ascii="Times New Roman" w:hAnsi="Times New Roman" w:eastAsia="宋体" w:cs="Times New Roman"/>
                <w:bCs/>
                <w:color w:val="auto"/>
                <w:kern w:val="2"/>
                <w:sz w:val="24"/>
                <w:szCs w:val="24"/>
                <w:highlight w:val="none"/>
                <w:lang w:val="en-US" w:eastAsia="zh-CN" w:bidi="ar-SA"/>
              </w:rPr>
              <w:t xml:space="preserve">其中氨氮参照执行《污水排入城镇下水道水质标准》 </w:t>
            </w:r>
            <w:r>
              <w:rPr>
                <w:rFonts w:hint="eastAsia" w:cs="Times New Roman"/>
                <w:bCs/>
                <w:color w:val="auto"/>
                <w:kern w:val="2"/>
                <w:sz w:val="24"/>
                <w:szCs w:val="24"/>
                <w:highlight w:val="none"/>
                <w:lang w:val="en-US" w:eastAsia="zh-CN" w:bidi="ar-SA"/>
              </w:rPr>
              <w:t>（</w:t>
            </w:r>
            <w:r>
              <w:rPr>
                <w:rFonts w:hint="default" w:ascii="Times New Roman" w:hAnsi="Times New Roman" w:eastAsia="宋体" w:cs="Times New Roman"/>
                <w:bCs/>
                <w:color w:val="auto"/>
                <w:kern w:val="2"/>
                <w:sz w:val="24"/>
                <w:szCs w:val="24"/>
                <w:highlight w:val="none"/>
                <w:lang w:val="en-US" w:eastAsia="zh-CN" w:bidi="ar-SA"/>
              </w:rPr>
              <w:t>GB/T 31962-2015</w:t>
            </w:r>
            <w:r>
              <w:rPr>
                <w:rFonts w:hint="eastAsia" w:cs="Times New Roman"/>
                <w:bCs/>
                <w:color w:val="auto"/>
                <w:kern w:val="2"/>
                <w:sz w:val="24"/>
                <w:szCs w:val="24"/>
                <w:highlight w:val="none"/>
                <w:lang w:val="en-US" w:eastAsia="zh-CN" w:bidi="ar-SA"/>
              </w:rPr>
              <w:t>）</w:t>
            </w:r>
            <w:r>
              <w:rPr>
                <w:rFonts w:hint="default" w:ascii="Times New Roman" w:hAnsi="Times New Roman" w:eastAsia="宋体" w:cs="Times New Roman"/>
                <w:bCs/>
                <w:color w:val="auto"/>
                <w:kern w:val="2"/>
                <w:sz w:val="24"/>
                <w:szCs w:val="24"/>
                <w:highlight w:val="none"/>
                <w:lang w:val="en-US" w:eastAsia="zh-CN" w:bidi="ar-SA"/>
              </w:rPr>
              <w:t>表1中B级标准限值</w:t>
            </w:r>
            <w:r>
              <w:rPr>
                <w:rFonts w:hint="eastAsia" w:ascii="Times New Roman" w:hAnsi="Times New Roman" w:eastAsia="宋体" w:cs="Times New Roman"/>
                <w:bCs/>
                <w:color w:val="auto"/>
                <w:kern w:val="2"/>
                <w:sz w:val="24"/>
                <w:szCs w:val="24"/>
                <w:highlight w:val="none"/>
                <w:lang w:val="en-US" w:eastAsia="zh-CN" w:bidi="ar-SA"/>
              </w:rPr>
              <w:t>）</w:t>
            </w:r>
            <w:r>
              <w:rPr>
                <w:rFonts w:hint="default" w:ascii="Times New Roman" w:hAnsi="Times New Roman" w:eastAsia="宋体" w:cs="Times New Roman"/>
                <w:bCs/>
                <w:color w:val="auto"/>
                <w:kern w:val="2"/>
                <w:sz w:val="24"/>
                <w:szCs w:val="24"/>
                <w:highlight w:val="none"/>
                <w:lang w:val="en-US" w:eastAsia="zh-CN" w:bidi="ar-SA"/>
              </w:rPr>
              <w:t>，水质能满足</w:t>
            </w:r>
            <w:r>
              <w:rPr>
                <w:rFonts w:hint="eastAsia" w:cs="Times New Roman"/>
                <w:bCs/>
                <w:color w:val="auto"/>
                <w:kern w:val="2"/>
                <w:sz w:val="24"/>
                <w:szCs w:val="24"/>
                <w:highlight w:val="none"/>
                <w:lang w:val="en-US" w:eastAsia="zh-CN" w:bidi="ar-SA"/>
              </w:rPr>
              <w:t>竹岐乡污水处理厂</w:t>
            </w:r>
            <w:r>
              <w:rPr>
                <w:rFonts w:hint="default" w:ascii="Times New Roman" w:hAnsi="Times New Roman" w:eastAsia="宋体" w:cs="Times New Roman"/>
                <w:bCs/>
                <w:color w:val="auto"/>
                <w:kern w:val="2"/>
                <w:sz w:val="24"/>
                <w:szCs w:val="24"/>
                <w:highlight w:val="none"/>
                <w:lang w:val="en-US" w:eastAsia="zh-CN" w:bidi="ar-SA"/>
              </w:rPr>
              <w:t>的接管标准，不会对该污水处理厂造成污染负荷冲击，不会影响该污水处理厂污水处理效果。</w:t>
            </w:r>
          </w:p>
          <w:p w14:paraId="4F7E73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kern w:val="2"/>
                <w:sz w:val="24"/>
                <w:szCs w:val="24"/>
                <w:highlight w:val="none"/>
                <w:lang w:val="en-US" w:eastAsia="zh-CN" w:bidi="ar-SA"/>
              </w:rPr>
            </w:pPr>
            <w:r>
              <w:rPr>
                <w:rFonts w:hint="default" w:ascii="Times New Roman" w:hAnsi="Times New Roman" w:eastAsia="宋体" w:cs="Times New Roman"/>
                <w:bCs/>
                <w:color w:val="auto"/>
                <w:kern w:val="2"/>
                <w:sz w:val="24"/>
                <w:szCs w:val="24"/>
                <w:highlight w:val="none"/>
                <w:lang w:val="en-US" w:eastAsia="zh-CN" w:bidi="ar-SA"/>
              </w:rPr>
              <w:t>2）污水水量的影响分析</w:t>
            </w:r>
          </w:p>
          <w:p w14:paraId="6943DC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kern w:val="2"/>
                <w:sz w:val="24"/>
                <w:szCs w:val="24"/>
                <w:highlight w:val="none"/>
                <w:lang w:val="en-US" w:eastAsia="zh-CN" w:bidi="ar-SA"/>
              </w:rPr>
            </w:pPr>
            <w:r>
              <w:rPr>
                <w:rFonts w:hint="default" w:ascii="Times New Roman" w:hAnsi="Times New Roman" w:eastAsia="宋体" w:cs="Times New Roman"/>
                <w:bCs/>
                <w:color w:val="auto"/>
                <w:kern w:val="2"/>
                <w:sz w:val="24"/>
                <w:szCs w:val="24"/>
                <w:highlight w:val="none"/>
                <w:lang w:val="en-US" w:eastAsia="zh-CN" w:bidi="ar-SA"/>
              </w:rPr>
              <w:t>根据调查，</w:t>
            </w:r>
            <w:r>
              <w:rPr>
                <w:rFonts w:hint="eastAsia" w:cs="Times New Roman"/>
                <w:bCs/>
                <w:color w:val="auto"/>
                <w:kern w:val="2"/>
                <w:sz w:val="24"/>
                <w:szCs w:val="24"/>
                <w:highlight w:val="none"/>
                <w:lang w:val="en-US" w:eastAsia="zh-CN" w:bidi="ar-SA"/>
              </w:rPr>
              <w:t>竹岐乡污水处理厂</w:t>
            </w:r>
            <w:r>
              <w:rPr>
                <w:rFonts w:hint="eastAsia"/>
                <w:color w:val="auto"/>
                <w:sz w:val="24"/>
                <w:szCs w:val="24"/>
                <w:highlight w:val="none"/>
                <w:lang w:val="zh-CN" w:bidi="ar"/>
              </w:rPr>
              <w:t>目前剩余处理规模0.2万m</w:t>
            </w:r>
            <w:r>
              <w:rPr>
                <w:rFonts w:hint="eastAsia"/>
                <w:color w:val="auto"/>
                <w:sz w:val="24"/>
                <w:szCs w:val="24"/>
                <w:highlight w:val="none"/>
                <w:vertAlign w:val="superscript"/>
                <w:lang w:val="zh-CN" w:bidi="ar"/>
              </w:rPr>
              <w:t>3</w:t>
            </w:r>
            <w:r>
              <w:rPr>
                <w:rFonts w:hint="eastAsia"/>
                <w:color w:val="auto"/>
                <w:sz w:val="24"/>
                <w:szCs w:val="24"/>
                <w:highlight w:val="none"/>
                <w:lang w:val="zh-CN" w:bidi="ar"/>
              </w:rPr>
              <w:t>/d</w:t>
            </w:r>
            <w:r>
              <w:rPr>
                <w:rFonts w:hint="default" w:ascii="Times New Roman" w:hAnsi="Times New Roman" w:eastAsia="宋体" w:cs="Times New Roman"/>
                <w:bCs/>
                <w:color w:val="auto"/>
                <w:kern w:val="2"/>
                <w:sz w:val="24"/>
                <w:szCs w:val="24"/>
                <w:highlight w:val="none"/>
                <w:lang w:val="en-US" w:eastAsia="zh-CN" w:bidi="ar-SA"/>
              </w:rPr>
              <w:t>，</w:t>
            </w:r>
            <w:r>
              <w:rPr>
                <w:rFonts w:hint="eastAsia" w:cs="Times New Roman"/>
                <w:bCs/>
                <w:color w:val="auto"/>
                <w:kern w:val="2"/>
                <w:sz w:val="24"/>
                <w:szCs w:val="24"/>
                <w:highlight w:val="none"/>
                <w:lang w:val="en-US" w:eastAsia="zh-CN" w:bidi="ar-SA"/>
              </w:rPr>
              <w:t>本</w:t>
            </w:r>
            <w:r>
              <w:rPr>
                <w:rFonts w:hint="default" w:ascii="Times New Roman" w:hAnsi="Times New Roman" w:eastAsia="宋体" w:cs="Times New Roman"/>
                <w:bCs/>
                <w:color w:val="auto"/>
                <w:kern w:val="2"/>
                <w:sz w:val="24"/>
                <w:szCs w:val="24"/>
                <w:highlight w:val="none"/>
                <w:lang w:val="en-US" w:eastAsia="zh-CN" w:bidi="ar-SA"/>
              </w:rPr>
              <w:t>项目建成投入使用后</w:t>
            </w:r>
            <w:r>
              <w:rPr>
                <w:rFonts w:hint="eastAsia" w:cs="Times New Roman"/>
                <w:bCs/>
                <w:color w:val="auto"/>
                <w:kern w:val="2"/>
                <w:sz w:val="24"/>
                <w:szCs w:val="24"/>
                <w:highlight w:val="none"/>
                <w:lang w:val="en-US" w:eastAsia="zh-CN" w:bidi="ar-SA"/>
              </w:rPr>
              <w:t>生活污水</w:t>
            </w:r>
            <w:r>
              <w:rPr>
                <w:rFonts w:hint="default" w:ascii="Times New Roman" w:hAnsi="Times New Roman" w:eastAsia="宋体" w:cs="Times New Roman"/>
                <w:bCs/>
                <w:color w:val="auto"/>
                <w:kern w:val="2"/>
                <w:sz w:val="24"/>
                <w:szCs w:val="24"/>
                <w:highlight w:val="none"/>
                <w:lang w:val="en-US" w:eastAsia="zh-CN" w:bidi="ar-SA"/>
              </w:rPr>
              <w:t>排放量为</w:t>
            </w:r>
            <w:r>
              <w:rPr>
                <w:rFonts w:hint="eastAsia" w:cs="Times New Roman"/>
                <w:bCs/>
                <w:color w:val="auto"/>
                <w:kern w:val="2"/>
                <w:sz w:val="24"/>
                <w:szCs w:val="24"/>
                <w:highlight w:val="none"/>
                <w:lang w:val="en-US" w:eastAsia="zh-CN" w:bidi="ar-SA"/>
              </w:rPr>
              <w:t>12</w:t>
            </w:r>
            <w:r>
              <w:rPr>
                <w:rFonts w:hint="eastAsia" w:ascii="Times New Roman" w:hAnsi="Times New Roman" w:eastAsia="宋体" w:cs="Times New Roman"/>
                <w:bCs/>
                <w:color w:val="auto"/>
                <w:kern w:val="2"/>
                <w:sz w:val="24"/>
                <w:szCs w:val="24"/>
                <w:highlight w:val="none"/>
                <w:lang w:val="en-US" w:eastAsia="zh-CN" w:bidi="ar-SA"/>
              </w:rPr>
              <w:t>m</w:t>
            </w:r>
            <w:r>
              <w:rPr>
                <w:rFonts w:hint="eastAsia" w:ascii="Times New Roman" w:hAnsi="Times New Roman" w:eastAsia="宋体" w:cs="Times New Roman"/>
                <w:bCs/>
                <w:color w:val="auto"/>
                <w:kern w:val="2"/>
                <w:sz w:val="24"/>
                <w:szCs w:val="24"/>
                <w:highlight w:val="none"/>
                <w:vertAlign w:val="superscript"/>
                <w:lang w:val="en-US" w:eastAsia="zh-CN" w:bidi="ar-SA"/>
              </w:rPr>
              <w:t>3</w:t>
            </w:r>
            <w:r>
              <w:rPr>
                <w:rFonts w:hint="eastAsia" w:ascii="Times New Roman" w:hAnsi="Times New Roman" w:eastAsia="宋体" w:cs="Times New Roman"/>
                <w:bCs/>
                <w:color w:val="auto"/>
                <w:kern w:val="2"/>
                <w:sz w:val="24"/>
                <w:szCs w:val="24"/>
                <w:highlight w:val="none"/>
                <w:vertAlign w:val="baseline"/>
                <w:lang w:val="en-US" w:eastAsia="zh-CN" w:bidi="ar-SA"/>
              </w:rPr>
              <w:t>/d</w:t>
            </w:r>
            <w:r>
              <w:rPr>
                <w:rFonts w:hint="default" w:ascii="Times New Roman" w:hAnsi="Times New Roman" w:eastAsia="宋体" w:cs="Times New Roman"/>
                <w:bCs/>
                <w:color w:val="auto"/>
                <w:kern w:val="2"/>
                <w:sz w:val="24"/>
                <w:szCs w:val="24"/>
                <w:highlight w:val="none"/>
                <w:lang w:val="en-US" w:eastAsia="zh-CN" w:bidi="ar-SA"/>
              </w:rPr>
              <w:t>，</w:t>
            </w:r>
            <w:r>
              <w:rPr>
                <w:rFonts w:hint="eastAsia" w:ascii="Times New Roman" w:hAnsi="Times New Roman" w:eastAsia="宋体" w:cs="Times New Roman"/>
                <w:bCs/>
                <w:color w:val="auto"/>
                <w:kern w:val="2"/>
                <w:sz w:val="24"/>
                <w:szCs w:val="24"/>
                <w:highlight w:val="none"/>
                <w:lang w:val="en-US" w:eastAsia="zh-CN" w:bidi="ar-SA"/>
              </w:rPr>
              <w:t>仅占</w:t>
            </w:r>
            <w:r>
              <w:rPr>
                <w:rFonts w:hint="eastAsia" w:cs="Times New Roman"/>
                <w:bCs/>
                <w:color w:val="auto"/>
                <w:kern w:val="2"/>
                <w:sz w:val="24"/>
                <w:szCs w:val="24"/>
                <w:highlight w:val="none"/>
                <w:lang w:val="en-US" w:eastAsia="zh-CN" w:bidi="ar-SA"/>
              </w:rPr>
              <w:t>竹岐乡污水处理厂</w:t>
            </w:r>
            <w:r>
              <w:rPr>
                <w:rFonts w:hint="default" w:ascii="Times New Roman" w:hAnsi="Times New Roman" w:eastAsia="宋体" w:cs="Times New Roman"/>
                <w:bCs/>
                <w:color w:val="auto"/>
                <w:kern w:val="2"/>
                <w:sz w:val="24"/>
                <w:szCs w:val="24"/>
                <w:highlight w:val="none"/>
                <w:lang w:val="en-US" w:eastAsia="zh-CN" w:bidi="ar-SA"/>
              </w:rPr>
              <w:t>处理余量</w:t>
            </w:r>
            <w:r>
              <w:rPr>
                <w:rFonts w:hint="eastAsia" w:ascii="Times New Roman" w:hAnsi="Times New Roman" w:eastAsia="宋体" w:cs="Times New Roman"/>
                <w:bCs/>
                <w:color w:val="auto"/>
                <w:kern w:val="2"/>
                <w:sz w:val="24"/>
                <w:szCs w:val="24"/>
                <w:highlight w:val="none"/>
                <w:lang w:val="en-US" w:eastAsia="zh-CN" w:bidi="ar-SA"/>
              </w:rPr>
              <w:t>的</w:t>
            </w:r>
            <w:r>
              <w:rPr>
                <w:rFonts w:hint="eastAsia" w:cs="Times New Roman"/>
                <w:bCs/>
                <w:color w:val="auto"/>
                <w:kern w:val="2"/>
                <w:sz w:val="24"/>
                <w:szCs w:val="24"/>
                <w:highlight w:val="none"/>
                <w:lang w:val="en-US" w:eastAsia="zh-CN" w:bidi="ar-SA"/>
              </w:rPr>
              <w:t>0.6</w:t>
            </w:r>
            <w:r>
              <w:rPr>
                <w:rFonts w:hint="eastAsia" w:ascii="Times New Roman" w:hAnsi="Times New Roman" w:eastAsia="宋体" w:cs="Times New Roman"/>
                <w:bCs/>
                <w:color w:val="auto"/>
                <w:kern w:val="2"/>
                <w:sz w:val="24"/>
                <w:szCs w:val="24"/>
                <w:highlight w:val="none"/>
                <w:lang w:val="en-US" w:eastAsia="zh-CN" w:bidi="ar-SA"/>
              </w:rPr>
              <w:t>%</w:t>
            </w:r>
            <w:r>
              <w:rPr>
                <w:rFonts w:hint="default" w:ascii="Times New Roman" w:hAnsi="Times New Roman" w:eastAsia="宋体" w:cs="Times New Roman"/>
                <w:bCs/>
                <w:color w:val="auto"/>
                <w:kern w:val="2"/>
                <w:sz w:val="24"/>
                <w:szCs w:val="24"/>
                <w:highlight w:val="none"/>
                <w:lang w:val="en-US" w:eastAsia="zh-CN" w:bidi="ar-SA"/>
              </w:rPr>
              <w:t>，项目废水排放量不会对污水处理厂造成负荷冲击，可纳入污水处理厂处理。</w:t>
            </w:r>
          </w:p>
          <w:p w14:paraId="7258C0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kern w:val="2"/>
                <w:sz w:val="24"/>
                <w:szCs w:val="24"/>
                <w:highlight w:val="none"/>
                <w:lang w:val="en-US" w:eastAsia="zh-CN" w:bidi="ar-SA"/>
              </w:rPr>
            </w:pPr>
            <w:r>
              <w:rPr>
                <w:rFonts w:hint="eastAsia" w:ascii="Times New Roman" w:hAnsi="Times New Roman" w:eastAsia="宋体" w:cs="Times New Roman"/>
                <w:bCs/>
                <w:color w:val="auto"/>
                <w:kern w:val="2"/>
                <w:sz w:val="24"/>
                <w:szCs w:val="24"/>
                <w:highlight w:val="none"/>
                <w:lang w:val="en-US" w:eastAsia="zh-CN" w:bidi="ar-SA"/>
              </w:rPr>
              <w:t>综</w:t>
            </w:r>
            <w:r>
              <w:rPr>
                <w:rFonts w:hint="default" w:ascii="Times New Roman" w:hAnsi="Times New Roman" w:eastAsia="宋体" w:cs="Times New Roman"/>
                <w:bCs/>
                <w:color w:val="auto"/>
                <w:kern w:val="2"/>
                <w:sz w:val="24"/>
                <w:szCs w:val="24"/>
                <w:highlight w:val="none"/>
                <w:lang w:val="en-US" w:eastAsia="zh-CN" w:bidi="ar-SA"/>
              </w:rPr>
              <w:t>上，本项目</w:t>
            </w:r>
            <w:r>
              <w:rPr>
                <w:rFonts w:hint="eastAsia" w:ascii="Times New Roman" w:hAnsi="Times New Roman" w:eastAsia="宋体" w:cs="Times New Roman"/>
                <w:bCs/>
                <w:color w:val="auto"/>
                <w:kern w:val="2"/>
                <w:sz w:val="24"/>
                <w:szCs w:val="24"/>
                <w:highlight w:val="none"/>
                <w:lang w:val="en-US" w:eastAsia="zh-CN" w:bidi="ar-SA"/>
              </w:rPr>
              <w:t>生活污</w:t>
            </w:r>
            <w:r>
              <w:rPr>
                <w:rFonts w:hint="default" w:ascii="Times New Roman" w:hAnsi="Times New Roman" w:eastAsia="宋体" w:cs="Times New Roman"/>
                <w:bCs/>
                <w:color w:val="auto"/>
                <w:kern w:val="2"/>
                <w:sz w:val="24"/>
                <w:szCs w:val="24"/>
                <w:highlight w:val="none"/>
                <w:lang w:val="en-US" w:eastAsia="zh-CN" w:bidi="ar-SA"/>
              </w:rPr>
              <w:t>水经厂区化粪池处理达标后，沿市政污水管网纳入</w:t>
            </w:r>
            <w:r>
              <w:rPr>
                <w:rFonts w:hint="eastAsia" w:cs="Times New Roman"/>
                <w:bCs/>
                <w:color w:val="auto"/>
                <w:kern w:val="2"/>
                <w:sz w:val="24"/>
                <w:szCs w:val="24"/>
                <w:highlight w:val="none"/>
                <w:lang w:val="en-US" w:eastAsia="zh-CN" w:bidi="ar-SA"/>
              </w:rPr>
              <w:t>竹岐乡污水处理厂</w:t>
            </w:r>
            <w:r>
              <w:rPr>
                <w:rFonts w:hint="default" w:ascii="Times New Roman" w:hAnsi="Times New Roman" w:eastAsia="宋体" w:cs="Times New Roman"/>
                <w:bCs/>
                <w:color w:val="auto"/>
                <w:kern w:val="2"/>
                <w:sz w:val="24"/>
                <w:szCs w:val="24"/>
                <w:highlight w:val="none"/>
                <w:lang w:val="en-US" w:eastAsia="zh-CN" w:bidi="ar-SA"/>
              </w:rPr>
              <w:t>集中处理，不会对</w:t>
            </w:r>
            <w:r>
              <w:rPr>
                <w:rFonts w:hint="eastAsia" w:cs="Times New Roman"/>
                <w:bCs/>
                <w:color w:val="auto"/>
                <w:kern w:val="2"/>
                <w:sz w:val="24"/>
                <w:szCs w:val="24"/>
                <w:highlight w:val="none"/>
                <w:lang w:val="en-US" w:eastAsia="zh-CN" w:bidi="ar-SA"/>
              </w:rPr>
              <w:t>竹岐乡污水处理厂</w:t>
            </w:r>
            <w:r>
              <w:rPr>
                <w:rFonts w:hint="default" w:ascii="Times New Roman" w:hAnsi="Times New Roman" w:eastAsia="宋体" w:cs="Times New Roman"/>
                <w:bCs/>
                <w:color w:val="auto"/>
                <w:kern w:val="2"/>
                <w:sz w:val="24"/>
                <w:szCs w:val="24"/>
                <w:highlight w:val="none"/>
                <w:lang w:val="en-US" w:eastAsia="zh-CN" w:bidi="ar-SA"/>
              </w:rPr>
              <w:t>的正常运行造成不利影响，项目废水环境影响减缓措施和接管可行、有效。</w:t>
            </w:r>
          </w:p>
          <w:p w14:paraId="53741609">
            <w:pPr>
              <w:pStyle w:val="132"/>
              <w:keepNext w:val="0"/>
              <w:keepLines w:val="0"/>
              <w:pageBreakBefore w:val="0"/>
              <w:widowControl w:val="0"/>
              <w:kinsoku/>
              <w:wordWrap/>
              <w:overflowPunct/>
              <w:topLinePunct w:val="0"/>
              <w:autoSpaceDE/>
              <w:autoSpaceDN/>
              <w:bidi w:val="0"/>
              <w:adjustRightInd/>
              <w:snapToGrid/>
              <w:spacing w:before="0" w:line="360" w:lineRule="auto"/>
              <w:ind w:firstLine="241" w:firstLineChars="100"/>
              <w:jc w:val="both"/>
              <w:textAlignment w:val="auto"/>
              <w:rPr>
                <w:rFonts w:hint="eastAsia" w:ascii="Times New Roman" w:hAnsi="Times New Roman" w:eastAsia="宋体" w:cs="Times New Roman"/>
                <w:b/>
                <w:bCs/>
                <w:color w:val="auto"/>
                <w:sz w:val="24"/>
                <w:highlight w:val="none"/>
                <w:lang w:val="en-US" w:eastAsia="zh-CN"/>
              </w:rPr>
            </w:pPr>
            <w:r>
              <w:rPr>
                <w:rFonts w:hint="default" w:ascii="Times New Roman" w:hAnsi="Times New Roman" w:eastAsia="宋体" w:cs="Times New Roman"/>
                <w:b/>
                <w:bCs/>
                <w:color w:val="auto"/>
                <w:sz w:val="24"/>
                <w:highlight w:val="none"/>
                <w:lang w:val="en-US" w:eastAsia="zh-CN"/>
              </w:rPr>
              <w:t>4.</w:t>
            </w:r>
            <w:r>
              <w:rPr>
                <w:rFonts w:hint="eastAsia" w:ascii="Times New Roman" w:hAnsi="Times New Roman" w:eastAsia="宋体" w:cs="Times New Roman"/>
                <w:b/>
                <w:bCs/>
                <w:color w:val="auto"/>
                <w:sz w:val="24"/>
                <w:highlight w:val="none"/>
                <w:lang w:val="en-US" w:eastAsia="zh-CN"/>
              </w:rPr>
              <w:t>2</w:t>
            </w:r>
            <w:r>
              <w:rPr>
                <w:rFonts w:hint="default" w:ascii="Times New Roman" w:hAnsi="Times New Roman" w:eastAsia="宋体" w:cs="Times New Roman"/>
                <w:b/>
                <w:bCs/>
                <w:color w:val="auto"/>
                <w:sz w:val="24"/>
                <w:highlight w:val="none"/>
                <w:lang w:val="en-US" w:eastAsia="zh-CN"/>
              </w:rPr>
              <w:t>.</w:t>
            </w:r>
            <w:r>
              <w:rPr>
                <w:rFonts w:hint="eastAsia" w:ascii="Times New Roman" w:hAnsi="Times New Roman" w:eastAsia="宋体" w:cs="Times New Roman"/>
                <w:b/>
                <w:bCs/>
                <w:color w:val="auto"/>
                <w:sz w:val="24"/>
                <w:highlight w:val="none"/>
                <w:lang w:val="en-US" w:eastAsia="zh-CN"/>
              </w:rPr>
              <w:t>1.4运营期废水自行监测计划</w:t>
            </w:r>
          </w:p>
          <w:p w14:paraId="25AB781B">
            <w:pPr>
              <w:pStyle w:val="133"/>
              <w:adjustRightInd w:val="0"/>
              <w:snapToGrid w:val="0"/>
              <w:ind w:firstLine="480"/>
              <w:rPr>
                <w:b/>
                <w:bCs/>
                <w:color w:val="auto"/>
                <w:highlight w:val="none"/>
              </w:rPr>
            </w:pPr>
            <w:r>
              <w:rPr>
                <w:rFonts w:hint="eastAsia"/>
                <w:bCs/>
                <w:color w:val="auto"/>
                <w:highlight w:val="none"/>
              </w:rPr>
              <w:t>本项目属于电机制造，</w:t>
            </w:r>
            <w:r>
              <w:rPr>
                <w:rFonts w:hint="eastAsia"/>
                <w:bCs/>
                <w:color w:val="auto"/>
                <w:highlight w:val="none"/>
                <w:lang w:eastAsia="zh-CN"/>
              </w:rPr>
              <w:t>参照</w:t>
            </w:r>
            <w:r>
              <w:rPr>
                <w:rFonts w:hint="eastAsia" w:cs="宋体"/>
                <w:color w:val="auto"/>
                <w:sz w:val="24"/>
                <w:szCs w:val="20"/>
                <w:highlight w:val="none"/>
                <w:lang w:bidi="ar"/>
              </w:rPr>
              <w:t>《排污单位自行监测技术指南总则》</w:t>
            </w:r>
            <w:r>
              <w:rPr>
                <w:rFonts w:hint="eastAsia" w:cs="宋体"/>
                <w:color w:val="auto"/>
                <w:sz w:val="24"/>
                <w:szCs w:val="20"/>
                <w:highlight w:val="none"/>
                <w:lang w:eastAsia="zh-CN" w:bidi="ar"/>
              </w:rPr>
              <w:t>（</w:t>
            </w:r>
            <w:r>
              <w:rPr>
                <w:rFonts w:hint="eastAsia" w:cs="宋体"/>
                <w:color w:val="auto"/>
                <w:sz w:val="24"/>
                <w:szCs w:val="20"/>
                <w:highlight w:val="none"/>
                <w:lang w:bidi="ar"/>
              </w:rPr>
              <w:t>HJ819-2017</w:t>
            </w:r>
            <w:r>
              <w:rPr>
                <w:rFonts w:hint="eastAsia" w:cs="宋体"/>
                <w:color w:val="auto"/>
                <w:sz w:val="24"/>
                <w:szCs w:val="20"/>
                <w:highlight w:val="none"/>
                <w:lang w:eastAsia="zh-CN" w:bidi="ar"/>
              </w:rPr>
              <w:t>）</w:t>
            </w:r>
            <w:r>
              <w:rPr>
                <w:rFonts w:hint="eastAsia"/>
                <w:bCs/>
                <w:color w:val="auto"/>
                <w:highlight w:val="none"/>
                <w:lang w:eastAsia="zh-CN"/>
              </w:rPr>
              <w:t>文件要求，单独排入城镇集中污水处理设施的生活污水不需监测，仅说明排放去向，生活污水无需开展自行监测。</w:t>
            </w:r>
          </w:p>
          <w:p w14:paraId="3F9F3FE1">
            <w:pPr>
              <w:pStyle w:val="4"/>
              <w:ind w:firstLine="120"/>
              <w:rPr>
                <w:rFonts w:hint="default"/>
                <w:color w:val="auto"/>
              </w:rPr>
            </w:pPr>
            <w:r>
              <w:rPr>
                <w:color w:val="auto"/>
              </w:rPr>
              <w:t>4.2</w:t>
            </w:r>
            <w:r>
              <w:rPr>
                <w:rFonts w:hint="eastAsia"/>
                <w:color w:val="auto"/>
                <w:lang w:val="en-US" w:eastAsia="zh-CN"/>
              </w:rPr>
              <w:t>.2</w:t>
            </w:r>
            <w:r>
              <w:rPr>
                <w:color w:val="auto"/>
              </w:rPr>
              <w:t>运营期</w:t>
            </w:r>
            <w:r>
              <w:rPr>
                <w:rFonts w:hint="eastAsia"/>
                <w:color w:val="auto"/>
                <w:lang w:eastAsia="zh-CN"/>
              </w:rPr>
              <w:t>大气</w:t>
            </w:r>
            <w:r>
              <w:rPr>
                <w:color w:val="auto"/>
              </w:rPr>
              <w:t>环境影响分析和污染防治措施</w:t>
            </w:r>
          </w:p>
          <w:p w14:paraId="7B64E566">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241" w:firstLineChars="100"/>
              <w:textAlignment w:val="baseline"/>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4.2.</w:t>
            </w:r>
            <w:r>
              <w:rPr>
                <w:rFonts w:hint="eastAsia" w:ascii="Times New Roman" w:hAnsi="Times New Roman" w:cs="Times New Roman"/>
                <w:b/>
                <w:bCs/>
                <w:color w:val="auto"/>
                <w:sz w:val="24"/>
                <w:highlight w:val="none"/>
                <w:lang w:val="en-US" w:eastAsia="zh-CN"/>
              </w:rPr>
              <w:t>2</w:t>
            </w:r>
            <w:r>
              <w:rPr>
                <w:rFonts w:hint="default" w:ascii="Times New Roman" w:hAnsi="Times New Roman" w:eastAsia="宋体" w:cs="Times New Roman"/>
                <w:b/>
                <w:bCs/>
                <w:color w:val="auto"/>
                <w:sz w:val="24"/>
                <w:highlight w:val="none"/>
              </w:rPr>
              <w:t>.1运营期废气源强核算</w:t>
            </w:r>
          </w:p>
          <w:p w14:paraId="57F26F7C">
            <w:pPr>
              <w:pStyle w:val="133"/>
              <w:adjustRightInd w:val="0"/>
              <w:snapToGrid w:val="0"/>
              <w:ind w:firstLine="480"/>
              <w:rPr>
                <w:rFonts w:hint="eastAsia" w:cs="Times New Roman"/>
                <w:color w:val="auto"/>
                <w:sz w:val="24"/>
                <w:szCs w:val="24"/>
                <w:lang w:val="en-US" w:eastAsia="zh-CN"/>
              </w:rPr>
            </w:pPr>
            <w:r>
              <w:rPr>
                <w:rFonts w:hint="eastAsia"/>
                <w:bCs/>
                <w:color w:val="auto"/>
                <w:highlight w:val="none"/>
                <w:lang w:eastAsia="zh-CN"/>
              </w:rPr>
              <w:t>根据项目工艺流程分析，项目主要产污工序为切割、打磨、抛丸、喷砂等工序产生的粉尘废气；焊接工序产生的焊接烟尘；测试工序产生的测试废气</w:t>
            </w:r>
            <w:r>
              <w:rPr>
                <w:rFonts w:hint="eastAsia" w:cs="Times New Roman"/>
                <w:color w:val="auto"/>
                <w:sz w:val="24"/>
                <w:szCs w:val="24"/>
                <w:lang w:val="en-US" w:eastAsia="zh-CN"/>
              </w:rPr>
              <w:t>。</w:t>
            </w:r>
          </w:p>
          <w:p w14:paraId="286264E9">
            <w:pPr>
              <w:pStyle w:val="133"/>
              <w:adjustRightInd w:val="0"/>
              <w:snapToGrid w:val="0"/>
              <w:ind w:firstLine="480"/>
              <w:rPr>
                <w:rFonts w:hint="eastAsia" w:cs="Times New Roman"/>
                <w:color w:val="auto"/>
                <w:sz w:val="24"/>
                <w:szCs w:val="24"/>
                <w:lang w:val="en-US" w:eastAsia="zh-CN"/>
              </w:rPr>
            </w:pPr>
            <w:r>
              <w:rPr>
                <w:rFonts w:hint="eastAsia" w:cs="Times New Roman"/>
                <w:color w:val="auto"/>
                <w:sz w:val="24"/>
                <w:szCs w:val="24"/>
                <w:lang w:val="en-US" w:eastAsia="zh-CN"/>
              </w:rPr>
              <w:t>（1）激光切割废气</w:t>
            </w:r>
          </w:p>
          <w:p w14:paraId="67495929">
            <w:pPr>
              <w:pStyle w:val="133"/>
              <w:adjustRightInd w:val="0"/>
              <w:snapToGrid w:val="0"/>
              <w:ind w:firstLine="480"/>
              <w:rPr>
                <w:rFonts w:hint="eastAsia" w:cs="Times New Roman"/>
                <w:color w:val="auto"/>
                <w:sz w:val="24"/>
                <w:szCs w:val="24"/>
                <w:lang w:val="en-US" w:eastAsia="zh-CN"/>
              </w:rPr>
            </w:pPr>
            <w:r>
              <w:rPr>
                <w:rFonts w:hint="eastAsia" w:cs="Times New Roman"/>
                <w:color w:val="auto"/>
                <w:sz w:val="24"/>
                <w:szCs w:val="24"/>
                <w:lang w:val="en-US" w:eastAsia="zh-CN"/>
              </w:rPr>
              <w:t>本项目切割工序选用激光切割，根据《排放源统计调查产排污核算方法和系数手册》（机械行业系数手册）-04下料，切割工序颗粒物产生系数为1.10千克/吨－原料。项目需要抛丸钢板约3700t/a，则切割工序产生的颗粒物约为4.07t/a，1.13kg/h。项目共5台激光切割机，激光切割</w:t>
            </w:r>
            <w:r>
              <w:rPr>
                <w:rFonts w:hint="eastAsia" w:ascii="Times New Roman" w:hAnsi="Times New Roman" w:eastAsia="宋体"/>
                <w:color w:val="auto"/>
                <w:sz w:val="24"/>
                <w:highlight w:val="none"/>
                <w:lang w:val="en-US" w:eastAsia="zh-CN"/>
              </w:rPr>
              <w:t>工序均设置</w:t>
            </w:r>
            <w:r>
              <w:rPr>
                <w:rFonts w:hint="eastAsia" w:ascii="Times New Roman" w:hAnsi="Times New Roman"/>
                <w:color w:val="auto"/>
                <w:sz w:val="24"/>
                <w:highlight w:val="none"/>
                <w:lang w:val="en-US" w:eastAsia="zh-CN"/>
              </w:rPr>
              <w:t>上吸式</w:t>
            </w:r>
            <w:r>
              <w:rPr>
                <w:rFonts w:hint="eastAsia" w:ascii="Times New Roman" w:hAnsi="Times New Roman" w:eastAsia="宋体"/>
                <w:color w:val="auto"/>
                <w:sz w:val="24"/>
                <w:highlight w:val="none"/>
                <w:lang w:val="en-US" w:eastAsia="zh-CN"/>
              </w:rPr>
              <w:t>集气罩</w:t>
            </w:r>
            <w:r>
              <w:rPr>
                <w:rFonts w:hint="eastAsia" w:ascii="Times New Roman" w:hAnsi="Times New Roman"/>
                <w:color w:val="auto"/>
                <w:sz w:val="24"/>
                <w:highlight w:val="none"/>
                <w:lang w:val="en-US" w:eastAsia="zh-CN"/>
              </w:rPr>
              <w:t>，</w:t>
            </w:r>
            <w:r>
              <w:rPr>
                <w:rFonts w:hint="eastAsia" w:cs="Times New Roman"/>
                <w:color w:val="auto"/>
                <w:sz w:val="24"/>
                <w:szCs w:val="24"/>
                <w:lang w:val="en-US" w:eastAsia="zh-CN"/>
              </w:rPr>
              <w:t>机关切割</w:t>
            </w:r>
            <w:r>
              <w:rPr>
                <w:rFonts w:hint="eastAsia" w:ascii="Times New Roman" w:hAnsi="Times New Roman" w:eastAsia="宋体"/>
                <w:color w:val="auto"/>
                <w:sz w:val="24"/>
                <w:highlight w:val="none"/>
                <w:lang w:val="en-US" w:eastAsia="zh-CN"/>
              </w:rPr>
              <w:t>区长</w:t>
            </w:r>
            <w:r>
              <w:rPr>
                <w:rFonts w:hint="eastAsia" w:ascii="Times New Roman" w:hAnsi="Times New Roman"/>
                <w:color w:val="auto"/>
                <w:sz w:val="24"/>
                <w:highlight w:val="none"/>
                <w:lang w:val="en-US" w:eastAsia="zh-CN"/>
              </w:rPr>
              <w:t>1.2</w:t>
            </w:r>
            <w:r>
              <w:rPr>
                <w:rFonts w:hint="eastAsia" w:ascii="Times New Roman" w:hAnsi="Times New Roman" w:eastAsia="宋体"/>
                <w:color w:val="auto"/>
                <w:sz w:val="24"/>
                <w:highlight w:val="none"/>
                <w:lang w:val="en-US" w:eastAsia="zh-CN"/>
              </w:rPr>
              <w:t>m，宽</w:t>
            </w:r>
            <w:r>
              <w:rPr>
                <w:rFonts w:hint="eastAsia" w:ascii="Times New Roman" w:hAnsi="Times New Roman"/>
                <w:color w:val="auto"/>
                <w:sz w:val="24"/>
                <w:highlight w:val="none"/>
                <w:lang w:val="en-US" w:eastAsia="zh-CN"/>
              </w:rPr>
              <w:t>0.9</w:t>
            </w:r>
            <w:r>
              <w:rPr>
                <w:rFonts w:hint="eastAsia" w:ascii="Times New Roman" w:hAnsi="Times New Roman" w:eastAsia="宋体"/>
                <w:color w:val="auto"/>
                <w:sz w:val="24"/>
                <w:highlight w:val="none"/>
                <w:lang w:val="en-US" w:eastAsia="zh-CN"/>
              </w:rPr>
              <w:t>m。参照《局部排风设施控制风速检测与评估技术规范》（AQ/T4274一2016）表1局部排风设施控制风速限值标准，</w:t>
            </w:r>
            <w:r>
              <w:rPr>
                <w:rFonts w:hint="eastAsia" w:ascii="Times New Roman" w:hAnsi="Times New Roman"/>
                <w:color w:val="auto"/>
                <w:sz w:val="24"/>
                <w:highlight w:val="none"/>
                <w:lang w:val="en-US" w:eastAsia="zh-CN"/>
              </w:rPr>
              <w:t>激光切割</w:t>
            </w:r>
            <w:r>
              <w:rPr>
                <w:rFonts w:hint="eastAsia" w:ascii="Times New Roman" w:hAnsi="Times New Roman" w:eastAsia="宋体"/>
                <w:color w:val="auto"/>
                <w:sz w:val="24"/>
                <w:highlight w:val="none"/>
                <w:lang w:val="en-US" w:eastAsia="zh-CN"/>
              </w:rPr>
              <w:t>工序断面流速取值</w:t>
            </w:r>
            <w:r>
              <w:rPr>
                <w:rFonts w:hint="eastAsia" w:ascii="Times New Roman" w:hAnsi="Times New Roman"/>
                <w:color w:val="auto"/>
                <w:sz w:val="24"/>
                <w:highlight w:val="none"/>
                <w:lang w:val="en-US" w:eastAsia="zh-CN"/>
              </w:rPr>
              <w:t>1.2</w:t>
            </w:r>
            <w:r>
              <w:rPr>
                <w:rFonts w:hint="eastAsia" w:ascii="Times New Roman" w:hAnsi="Times New Roman" w:eastAsia="宋体"/>
                <w:color w:val="auto"/>
                <w:sz w:val="24"/>
                <w:highlight w:val="none"/>
                <w:lang w:val="en-US" w:eastAsia="zh-CN"/>
              </w:rPr>
              <w:t>m/s，依据《排风罩的分类及技术条件》（GB/T 16758-1997），风量Q=3600×F×V，F-排风罩罩口面积，m</w:t>
            </w:r>
            <w:r>
              <w:rPr>
                <w:rFonts w:hint="eastAsia" w:ascii="Times New Roman" w:hAnsi="Times New Roman" w:eastAsia="宋体"/>
                <w:color w:val="auto"/>
                <w:sz w:val="24"/>
                <w:highlight w:val="none"/>
                <w:vertAlign w:val="superscript"/>
                <w:lang w:val="en-US" w:eastAsia="zh-CN"/>
              </w:rPr>
              <w:t>2</w:t>
            </w:r>
            <w:r>
              <w:rPr>
                <w:rFonts w:hint="eastAsia" w:ascii="Times New Roman" w:hAnsi="Times New Roman" w:eastAsia="宋体"/>
                <w:color w:val="auto"/>
                <w:sz w:val="24"/>
                <w:highlight w:val="none"/>
                <w:lang w:val="en-US" w:eastAsia="zh-CN"/>
              </w:rPr>
              <w:t>；V-排风罩罩口平均风速，m/s；则Q</w:t>
            </w:r>
            <w:r>
              <w:rPr>
                <w:rFonts w:hint="eastAsia" w:ascii="Times New Roman" w:hAnsi="Times New Roman" w:eastAsia="宋体"/>
                <w:color w:val="auto"/>
                <w:sz w:val="24"/>
                <w:highlight w:val="none"/>
                <w:vertAlign w:val="baseline"/>
                <w:lang w:val="en-US" w:eastAsia="zh-CN"/>
              </w:rPr>
              <w:t>=</w:t>
            </w:r>
            <w:r>
              <w:rPr>
                <w:rFonts w:hint="eastAsia" w:ascii="Times New Roman" w:hAnsi="Times New Roman"/>
                <w:color w:val="auto"/>
                <w:sz w:val="24"/>
                <w:highlight w:val="none"/>
                <w:vertAlign w:val="baseline"/>
                <w:lang w:val="en-US" w:eastAsia="zh-CN"/>
              </w:rPr>
              <w:t>23328</w:t>
            </w:r>
            <w:r>
              <w:rPr>
                <w:rFonts w:hint="eastAsia" w:ascii="Times New Roman" w:hAnsi="Times New Roman" w:eastAsia="宋体"/>
                <w:color w:val="auto"/>
                <w:sz w:val="24"/>
                <w:highlight w:val="none"/>
                <w:lang w:val="en-US" w:eastAsia="zh-CN"/>
              </w:rPr>
              <w:t>m</w:t>
            </w:r>
            <w:r>
              <w:rPr>
                <w:rFonts w:hint="eastAsia" w:ascii="Times New Roman" w:hAnsi="Times New Roman" w:eastAsia="宋体"/>
                <w:color w:val="auto"/>
                <w:sz w:val="24"/>
                <w:highlight w:val="none"/>
                <w:vertAlign w:val="superscript"/>
                <w:lang w:val="en-US" w:eastAsia="zh-CN"/>
              </w:rPr>
              <w:t>3</w:t>
            </w:r>
            <w:r>
              <w:rPr>
                <w:rFonts w:hint="eastAsia" w:ascii="Times New Roman" w:hAnsi="Times New Roman" w:eastAsia="宋体"/>
                <w:color w:val="auto"/>
                <w:sz w:val="24"/>
                <w:highlight w:val="none"/>
                <w:lang w:val="en-US" w:eastAsia="zh-CN"/>
              </w:rPr>
              <w:t>/h。考虑到风阻等因素项目风机风量取25000m</w:t>
            </w:r>
            <w:r>
              <w:rPr>
                <w:rFonts w:hint="eastAsia" w:ascii="Times New Roman" w:hAnsi="Times New Roman" w:eastAsia="宋体"/>
                <w:color w:val="auto"/>
                <w:sz w:val="24"/>
                <w:highlight w:val="none"/>
                <w:vertAlign w:val="superscript"/>
                <w:lang w:val="en-US" w:eastAsia="zh-CN"/>
              </w:rPr>
              <w:t>3</w:t>
            </w:r>
            <w:r>
              <w:rPr>
                <w:rFonts w:hint="eastAsia" w:ascii="Times New Roman" w:hAnsi="Times New Roman" w:eastAsia="宋体"/>
                <w:color w:val="auto"/>
                <w:sz w:val="24"/>
                <w:highlight w:val="none"/>
                <w:lang w:val="en-US" w:eastAsia="zh-CN"/>
              </w:rPr>
              <w:t>/h。</w:t>
            </w:r>
            <w:r>
              <w:rPr>
                <w:rFonts w:hint="eastAsia" w:cs="Times New Roman"/>
                <w:color w:val="auto"/>
                <w:sz w:val="24"/>
                <w:szCs w:val="24"/>
                <w:lang w:val="en-US" w:eastAsia="zh-CN"/>
              </w:rPr>
              <w:t>切割废气收集率按80%计算，切割设备自带的布袋除尘器的除尘效率以95%计，有组织颗粒物排放量为0.163t/a，排放速率为0.045kg/h，排放浓度为1.8mg/m</w:t>
            </w:r>
            <w:r>
              <w:rPr>
                <w:rFonts w:hint="eastAsia" w:cs="Times New Roman"/>
                <w:color w:val="auto"/>
                <w:sz w:val="24"/>
                <w:szCs w:val="24"/>
                <w:vertAlign w:val="superscript"/>
                <w:lang w:val="en-US" w:eastAsia="zh-CN"/>
              </w:rPr>
              <w:t>3</w:t>
            </w:r>
            <w:r>
              <w:rPr>
                <w:rFonts w:hint="eastAsia" w:cs="Times New Roman"/>
                <w:color w:val="auto"/>
                <w:sz w:val="24"/>
                <w:szCs w:val="24"/>
                <w:lang w:val="en-US" w:eastAsia="zh-CN"/>
              </w:rPr>
              <w:t>；无组织颗粒物排放量为0.814t/a，产生速率为0.226kg/h。</w:t>
            </w:r>
          </w:p>
          <w:p w14:paraId="499635C8">
            <w:pPr>
              <w:pStyle w:val="133"/>
              <w:adjustRightInd w:val="0"/>
              <w:snapToGrid w:val="0"/>
              <w:ind w:firstLine="480"/>
              <w:rPr>
                <w:rFonts w:hint="eastAsia" w:cs="Times New Roman"/>
                <w:color w:val="auto"/>
                <w:sz w:val="24"/>
                <w:szCs w:val="24"/>
                <w:lang w:val="en-US" w:eastAsia="zh-CN"/>
              </w:rPr>
            </w:pPr>
            <w:r>
              <w:rPr>
                <w:rFonts w:hint="eastAsia" w:cs="Times New Roman"/>
                <w:color w:val="auto"/>
                <w:sz w:val="24"/>
                <w:szCs w:val="24"/>
                <w:lang w:val="en-US" w:eastAsia="zh-CN"/>
              </w:rPr>
              <w:t>（2）喷砂、抛丸废气</w:t>
            </w:r>
          </w:p>
          <w:p w14:paraId="7A5EAC36">
            <w:pPr>
              <w:pStyle w:val="133"/>
              <w:adjustRightInd w:val="0"/>
              <w:snapToGrid w:val="0"/>
              <w:ind w:firstLine="480"/>
              <w:rPr>
                <w:rFonts w:hint="eastAsia" w:cs="Times New Roman"/>
                <w:color w:val="auto"/>
                <w:sz w:val="24"/>
                <w:szCs w:val="24"/>
                <w:lang w:val="en-US" w:eastAsia="zh-CN"/>
              </w:rPr>
            </w:pPr>
            <w:r>
              <w:rPr>
                <w:rFonts w:hint="eastAsia" w:cs="Times New Roman"/>
                <w:color w:val="auto"/>
                <w:sz w:val="24"/>
                <w:szCs w:val="24"/>
                <w:lang w:val="en-US" w:eastAsia="zh-CN"/>
              </w:rPr>
              <w:t>根据《排放源统计调查产排污核算方法和系数手册》（机械行业系数手册）-06预处理，喷砂、抛丸工序颗粒物产生系数为2.19千克/吨－原料。项目钢板需要喷砂或抛丸处理，钢板共3700t/a，则喷砂、抛丸产生的颗粒物约为8.103 t/a，2.25kg/h。喷砂、抛丸工序废气收集率按90%计算，布袋除尘器的除尘效率大于95%，根据建设单位提供资料，拟建项目喷砂机风机功率为7.5kw，风量范围为8000~12000m</w:t>
            </w:r>
            <w:r>
              <w:rPr>
                <w:rFonts w:hint="eastAsia" w:cs="Times New Roman"/>
                <w:color w:val="auto"/>
                <w:sz w:val="24"/>
                <w:szCs w:val="24"/>
                <w:vertAlign w:val="superscript"/>
                <w:lang w:val="en-US" w:eastAsia="zh-CN"/>
              </w:rPr>
              <w:t>3</w:t>
            </w:r>
            <w:r>
              <w:rPr>
                <w:rFonts w:hint="eastAsia" w:cs="Times New Roman"/>
                <w:color w:val="auto"/>
                <w:sz w:val="24"/>
                <w:szCs w:val="24"/>
                <w:lang w:val="en-US" w:eastAsia="zh-CN"/>
              </w:rPr>
              <w:t>/h，项目抛丸机风机功率为18.5kw，风量范围为21500~25000m</w:t>
            </w:r>
            <w:r>
              <w:rPr>
                <w:rFonts w:hint="eastAsia" w:cs="Times New Roman"/>
                <w:color w:val="auto"/>
                <w:sz w:val="24"/>
                <w:szCs w:val="24"/>
                <w:vertAlign w:val="superscript"/>
                <w:lang w:val="en-US" w:eastAsia="zh-CN"/>
              </w:rPr>
              <w:t>3</w:t>
            </w:r>
            <w:r>
              <w:rPr>
                <w:rFonts w:hint="eastAsia" w:cs="Times New Roman"/>
                <w:color w:val="auto"/>
                <w:sz w:val="24"/>
                <w:szCs w:val="24"/>
                <w:lang w:val="en-US" w:eastAsia="zh-CN"/>
              </w:rPr>
              <w:t>/h。以最大值计，项目喷砂、抛丸废气风量为37000</w:t>
            </w:r>
            <w:r>
              <w:rPr>
                <w:rFonts w:hint="eastAsia" w:ascii="Times New Roman" w:hAnsi="Times New Roman" w:eastAsia="宋体"/>
                <w:color w:val="auto"/>
                <w:sz w:val="24"/>
                <w:highlight w:val="none"/>
                <w:lang w:val="en-US" w:eastAsia="zh-CN"/>
              </w:rPr>
              <w:t>m</w:t>
            </w:r>
            <w:r>
              <w:rPr>
                <w:rFonts w:hint="eastAsia" w:ascii="Times New Roman" w:hAnsi="Times New Roman" w:eastAsia="宋体"/>
                <w:color w:val="auto"/>
                <w:sz w:val="24"/>
                <w:highlight w:val="none"/>
                <w:vertAlign w:val="superscript"/>
                <w:lang w:val="en-US" w:eastAsia="zh-CN"/>
              </w:rPr>
              <w:t>3</w:t>
            </w:r>
            <w:r>
              <w:rPr>
                <w:rFonts w:hint="eastAsia" w:ascii="Times New Roman" w:hAnsi="Times New Roman" w:eastAsia="宋体"/>
                <w:color w:val="auto"/>
                <w:sz w:val="24"/>
                <w:highlight w:val="none"/>
                <w:lang w:val="en-US" w:eastAsia="zh-CN"/>
              </w:rPr>
              <w:t>/h。</w:t>
            </w:r>
            <w:r>
              <w:rPr>
                <w:rFonts w:hint="eastAsia" w:cs="Times New Roman"/>
                <w:color w:val="auto"/>
                <w:sz w:val="24"/>
                <w:szCs w:val="24"/>
                <w:lang w:val="en-US" w:eastAsia="zh-CN"/>
              </w:rPr>
              <w:t>项目喷砂抛丸废气有组织颗粒物排放量约为0.365t/a，排放速率为0.101kg/h，排放浓度为2.7 mg/m</w:t>
            </w:r>
            <w:r>
              <w:rPr>
                <w:rFonts w:hint="eastAsia" w:cs="Times New Roman"/>
                <w:color w:val="auto"/>
                <w:sz w:val="24"/>
                <w:szCs w:val="24"/>
                <w:vertAlign w:val="superscript"/>
                <w:lang w:val="en-US" w:eastAsia="zh-CN"/>
              </w:rPr>
              <w:t>3</w:t>
            </w:r>
            <w:r>
              <w:rPr>
                <w:rFonts w:hint="eastAsia" w:cs="Times New Roman"/>
                <w:color w:val="auto"/>
                <w:sz w:val="24"/>
                <w:szCs w:val="24"/>
                <w:lang w:val="en-US" w:eastAsia="zh-CN"/>
              </w:rPr>
              <w:t>；无组织颗粒物排放量约为0.810t/a，产生速率为0.225kg/h。</w:t>
            </w:r>
          </w:p>
          <w:p w14:paraId="78D2BA42">
            <w:pPr>
              <w:pStyle w:val="133"/>
              <w:numPr>
                <w:ilvl w:val="0"/>
                <w:numId w:val="2"/>
              </w:numPr>
              <w:adjustRightInd w:val="0"/>
              <w:snapToGrid w:val="0"/>
              <w:ind w:left="0" w:leftChars="0" w:firstLine="480" w:firstLineChars="200"/>
              <w:rPr>
                <w:rFonts w:hint="eastAsia" w:cs="Times New Roman"/>
                <w:color w:val="auto"/>
                <w:sz w:val="24"/>
                <w:szCs w:val="24"/>
                <w:lang w:val="en-US" w:eastAsia="zh-CN"/>
              </w:rPr>
            </w:pPr>
            <w:r>
              <w:rPr>
                <w:rFonts w:hint="eastAsia" w:cs="Times New Roman"/>
                <w:color w:val="auto"/>
                <w:sz w:val="24"/>
                <w:szCs w:val="24"/>
                <w:lang w:val="en-US" w:eastAsia="zh-CN"/>
              </w:rPr>
              <w:t>打磨废气</w:t>
            </w:r>
          </w:p>
          <w:p w14:paraId="62A05929">
            <w:pPr>
              <w:pStyle w:val="133"/>
              <w:adjustRightInd w:val="0"/>
              <w:snapToGrid w:val="0"/>
              <w:ind w:firstLine="480"/>
              <w:rPr>
                <w:rFonts w:hint="eastAsia" w:cs="Times New Roman"/>
                <w:color w:val="auto"/>
                <w:sz w:val="24"/>
                <w:szCs w:val="24"/>
                <w:lang w:val="en-US" w:eastAsia="zh-CN"/>
              </w:rPr>
            </w:pPr>
            <w:r>
              <w:rPr>
                <w:rFonts w:hint="eastAsia" w:cs="Times New Roman"/>
                <w:color w:val="auto"/>
                <w:sz w:val="24"/>
                <w:szCs w:val="24"/>
                <w:lang w:val="en-US" w:eastAsia="zh-CN"/>
              </w:rPr>
              <w:t>根据《排放源统计调查产排污核算方法和系数手册》（机械行业系数手册）-06预处理，打磨工序颗粒物产生系数为2.19千克/吨－原料。项目需要打磨钢板约3700t/a，则打磨产生的颗粒物约为8.103 t/a，2.25kg/h。拟建项目共设6台打磨台，打磨</w:t>
            </w:r>
            <w:r>
              <w:rPr>
                <w:rFonts w:hint="eastAsia" w:ascii="Times New Roman" w:hAnsi="Times New Roman" w:eastAsia="宋体"/>
                <w:color w:val="auto"/>
                <w:sz w:val="24"/>
                <w:highlight w:val="none"/>
                <w:lang w:val="en-US" w:eastAsia="zh-CN"/>
              </w:rPr>
              <w:t>工序均设置</w:t>
            </w:r>
            <w:r>
              <w:rPr>
                <w:rFonts w:hint="eastAsia" w:ascii="Times New Roman" w:hAnsi="Times New Roman"/>
                <w:color w:val="auto"/>
                <w:sz w:val="24"/>
                <w:highlight w:val="none"/>
                <w:lang w:val="en-US" w:eastAsia="zh-CN"/>
              </w:rPr>
              <w:t>上吸式</w:t>
            </w:r>
            <w:r>
              <w:rPr>
                <w:rFonts w:hint="eastAsia" w:ascii="Times New Roman" w:hAnsi="Times New Roman" w:eastAsia="宋体"/>
                <w:color w:val="auto"/>
                <w:sz w:val="24"/>
                <w:highlight w:val="none"/>
                <w:lang w:val="en-US" w:eastAsia="zh-CN"/>
              </w:rPr>
              <w:t>集气罩</w:t>
            </w:r>
            <w:r>
              <w:rPr>
                <w:rFonts w:hint="eastAsia" w:ascii="Times New Roman" w:hAnsi="Times New Roman"/>
                <w:color w:val="auto"/>
                <w:sz w:val="24"/>
                <w:highlight w:val="none"/>
                <w:lang w:val="en-US" w:eastAsia="zh-CN"/>
              </w:rPr>
              <w:t>，</w:t>
            </w:r>
            <w:r>
              <w:rPr>
                <w:rFonts w:hint="eastAsia" w:cs="Times New Roman"/>
                <w:color w:val="auto"/>
                <w:sz w:val="24"/>
                <w:szCs w:val="24"/>
                <w:lang w:val="en-US" w:eastAsia="zh-CN"/>
              </w:rPr>
              <w:t>台面规格为</w:t>
            </w:r>
            <w:r>
              <w:rPr>
                <w:rFonts w:hint="eastAsia" w:ascii="Times New Roman" w:hAnsi="Times New Roman" w:eastAsia="宋体"/>
                <w:color w:val="auto"/>
                <w:sz w:val="24"/>
                <w:highlight w:val="none"/>
                <w:lang w:val="en-US" w:eastAsia="zh-CN"/>
              </w:rPr>
              <w:t>长</w:t>
            </w:r>
            <w:r>
              <w:rPr>
                <w:rFonts w:hint="eastAsia" w:ascii="Times New Roman" w:hAnsi="Times New Roman"/>
                <w:color w:val="auto"/>
                <w:sz w:val="24"/>
                <w:highlight w:val="none"/>
                <w:lang w:val="en-US" w:eastAsia="zh-CN"/>
              </w:rPr>
              <w:t>1.2</w:t>
            </w:r>
            <w:r>
              <w:rPr>
                <w:rFonts w:hint="eastAsia" w:ascii="Times New Roman" w:hAnsi="Times New Roman" w:eastAsia="宋体"/>
                <w:color w:val="auto"/>
                <w:sz w:val="24"/>
                <w:highlight w:val="none"/>
                <w:lang w:val="en-US" w:eastAsia="zh-CN"/>
              </w:rPr>
              <w:t>m，宽</w:t>
            </w:r>
            <w:r>
              <w:rPr>
                <w:rFonts w:hint="eastAsia" w:ascii="Times New Roman" w:hAnsi="Times New Roman"/>
                <w:color w:val="auto"/>
                <w:sz w:val="24"/>
                <w:highlight w:val="none"/>
                <w:lang w:val="en-US" w:eastAsia="zh-CN"/>
              </w:rPr>
              <w:t>0.9</w:t>
            </w:r>
            <w:r>
              <w:rPr>
                <w:rFonts w:hint="eastAsia" w:ascii="Times New Roman" w:hAnsi="Times New Roman" w:eastAsia="宋体"/>
                <w:color w:val="auto"/>
                <w:sz w:val="24"/>
                <w:highlight w:val="none"/>
                <w:lang w:val="en-US" w:eastAsia="zh-CN"/>
              </w:rPr>
              <w:t>m。参照《局部排风设施控制风速检测与评估技术规范》（AQ/T4274一2016）表1局部排风设施控制风速限值标准，</w:t>
            </w:r>
            <w:r>
              <w:rPr>
                <w:rFonts w:hint="eastAsia" w:ascii="Times New Roman" w:hAnsi="Times New Roman"/>
                <w:color w:val="auto"/>
                <w:sz w:val="24"/>
                <w:highlight w:val="none"/>
                <w:lang w:val="en-US" w:eastAsia="zh-CN"/>
              </w:rPr>
              <w:t>激光切割</w:t>
            </w:r>
            <w:r>
              <w:rPr>
                <w:rFonts w:hint="eastAsia" w:ascii="Times New Roman" w:hAnsi="Times New Roman" w:eastAsia="宋体"/>
                <w:color w:val="auto"/>
                <w:sz w:val="24"/>
                <w:highlight w:val="none"/>
                <w:lang w:val="en-US" w:eastAsia="zh-CN"/>
              </w:rPr>
              <w:t>工序断面流速取值</w:t>
            </w:r>
            <w:r>
              <w:rPr>
                <w:rFonts w:hint="eastAsia" w:ascii="Times New Roman" w:hAnsi="Times New Roman"/>
                <w:color w:val="auto"/>
                <w:sz w:val="24"/>
                <w:highlight w:val="none"/>
                <w:lang w:val="en-US" w:eastAsia="zh-CN"/>
              </w:rPr>
              <w:t>1.2</w:t>
            </w:r>
            <w:r>
              <w:rPr>
                <w:rFonts w:hint="eastAsia" w:ascii="Times New Roman" w:hAnsi="Times New Roman" w:eastAsia="宋体"/>
                <w:color w:val="auto"/>
                <w:sz w:val="24"/>
                <w:highlight w:val="none"/>
                <w:lang w:val="en-US" w:eastAsia="zh-CN"/>
              </w:rPr>
              <w:t>m/s，依据《排风罩的分类及技术条件》（GB/T 16758-1997），风量Q=3600×F×V，F-排风罩罩口面积，m</w:t>
            </w:r>
            <w:r>
              <w:rPr>
                <w:rFonts w:hint="eastAsia" w:ascii="Times New Roman" w:hAnsi="Times New Roman" w:eastAsia="宋体"/>
                <w:color w:val="auto"/>
                <w:sz w:val="24"/>
                <w:highlight w:val="none"/>
                <w:vertAlign w:val="superscript"/>
                <w:lang w:val="en-US" w:eastAsia="zh-CN"/>
              </w:rPr>
              <w:t>2</w:t>
            </w:r>
            <w:r>
              <w:rPr>
                <w:rFonts w:hint="eastAsia" w:ascii="Times New Roman" w:hAnsi="Times New Roman" w:eastAsia="宋体"/>
                <w:color w:val="auto"/>
                <w:sz w:val="24"/>
                <w:highlight w:val="none"/>
                <w:lang w:val="en-US" w:eastAsia="zh-CN"/>
              </w:rPr>
              <w:t>；V-排风罩罩口平均风速，m/s；则Q</w:t>
            </w:r>
            <w:r>
              <w:rPr>
                <w:rFonts w:hint="eastAsia" w:ascii="Times New Roman" w:hAnsi="Times New Roman" w:eastAsia="宋体"/>
                <w:color w:val="auto"/>
                <w:sz w:val="24"/>
                <w:highlight w:val="none"/>
                <w:vertAlign w:val="baseline"/>
                <w:lang w:val="en-US" w:eastAsia="zh-CN"/>
              </w:rPr>
              <w:t>=</w:t>
            </w:r>
            <w:r>
              <w:rPr>
                <w:rFonts w:hint="eastAsia" w:ascii="Times New Roman" w:hAnsi="Times New Roman"/>
                <w:color w:val="auto"/>
                <w:sz w:val="24"/>
                <w:highlight w:val="none"/>
                <w:vertAlign w:val="baseline"/>
                <w:lang w:val="en-US" w:eastAsia="zh-CN"/>
              </w:rPr>
              <w:t>27994</w:t>
            </w:r>
            <w:r>
              <w:rPr>
                <w:rFonts w:hint="eastAsia" w:ascii="Times New Roman" w:hAnsi="Times New Roman" w:eastAsia="宋体"/>
                <w:color w:val="auto"/>
                <w:sz w:val="24"/>
                <w:highlight w:val="none"/>
                <w:lang w:val="en-US" w:eastAsia="zh-CN"/>
              </w:rPr>
              <w:t>m</w:t>
            </w:r>
            <w:r>
              <w:rPr>
                <w:rFonts w:hint="eastAsia" w:ascii="Times New Roman" w:hAnsi="Times New Roman" w:eastAsia="宋体"/>
                <w:color w:val="auto"/>
                <w:sz w:val="24"/>
                <w:highlight w:val="none"/>
                <w:vertAlign w:val="superscript"/>
                <w:lang w:val="en-US" w:eastAsia="zh-CN"/>
              </w:rPr>
              <w:t>3</w:t>
            </w:r>
            <w:r>
              <w:rPr>
                <w:rFonts w:hint="eastAsia" w:ascii="Times New Roman" w:hAnsi="Times New Roman" w:eastAsia="宋体"/>
                <w:color w:val="auto"/>
                <w:sz w:val="24"/>
                <w:highlight w:val="none"/>
                <w:lang w:val="en-US" w:eastAsia="zh-CN"/>
              </w:rPr>
              <w:t>/h，考虑到风阻等因素项目风机风量取30000m</w:t>
            </w:r>
            <w:r>
              <w:rPr>
                <w:rFonts w:hint="eastAsia" w:ascii="Times New Roman" w:hAnsi="Times New Roman" w:eastAsia="宋体"/>
                <w:color w:val="auto"/>
                <w:sz w:val="24"/>
                <w:highlight w:val="none"/>
                <w:vertAlign w:val="superscript"/>
                <w:lang w:val="en-US" w:eastAsia="zh-CN"/>
              </w:rPr>
              <w:t>3</w:t>
            </w:r>
            <w:r>
              <w:rPr>
                <w:rFonts w:hint="eastAsia" w:ascii="Times New Roman" w:hAnsi="Times New Roman" w:eastAsia="宋体"/>
                <w:color w:val="auto"/>
                <w:sz w:val="24"/>
                <w:highlight w:val="none"/>
                <w:lang w:val="en-US" w:eastAsia="zh-CN"/>
              </w:rPr>
              <w:t>/h。</w:t>
            </w:r>
            <w:r>
              <w:rPr>
                <w:rFonts w:hint="eastAsia" w:cs="Times New Roman"/>
                <w:color w:val="auto"/>
                <w:sz w:val="24"/>
                <w:szCs w:val="24"/>
                <w:lang w:val="en-US" w:eastAsia="zh-CN"/>
              </w:rPr>
              <w:t>打磨废气收集率按80%计算，布袋除尘器的除尘效率大于95%，有组织颗粒物排放量为0.324t/a，排放速率为0.090kg/h，排放浓度为3mg/m</w:t>
            </w:r>
            <w:r>
              <w:rPr>
                <w:rFonts w:hint="eastAsia" w:cs="Times New Roman"/>
                <w:color w:val="auto"/>
                <w:sz w:val="24"/>
                <w:szCs w:val="24"/>
                <w:vertAlign w:val="superscript"/>
                <w:lang w:val="en-US" w:eastAsia="zh-CN"/>
              </w:rPr>
              <w:t>3</w:t>
            </w:r>
            <w:r>
              <w:rPr>
                <w:rFonts w:hint="eastAsia" w:cs="Times New Roman"/>
                <w:color w:val="auto"/>
                <w:sz w:val="24"/>
                <w:szCs w:val="24"/>
                <w:lang w:val="en-US" w:eastAsia="zh-CN"/>
              </w:rPr>
              <w:t>；无组织颗粒物排放量约为1.62t/a，产生速率为0.450kg/h。</w:t>
            </w:r>
          </w:p>
          <w:p w14:paraId="78149383">
            <w:pPr>
              <w:pStyle w:val="133"/>
              <w:adjustRightInd w:val="0"/>
              <w:snapToGrid w:val="0"/>
              <w:ind w:firstLine="480"/>
              <w:rPr>
                <w:rFonts w:hint="eastAsia" w:cs="Times New Roman"/>
                <w:color w:val="auto"/>
                <w:sz w:val="24"/>
                <w:szCs w:val="24"/>
                <w:lang w:val="en-US" w:eastAsia="zh-CN"/>
              </w:rPr>
            </w:pPr>
            <w:r>
              <w:rPr>
                <w:rFonts w:hint="eastAsia" w:cs="Times New Roman"/>
                <w:color w:val="auto"/>
                <w:sz w:val="24"/>
                <w:szCs w:val="24"/>
                <w:lang w:val="en-US" w:eastAsia="zh-CN"/>
              </w:rPr>
              <w:t>（4）测试废气</w:t>
            </w:r>
          </w:p>
          <w:p w14:paraId="07695331">
            <w:pPr>
              <w:pStyle w:val="133"/>
              <w:adjustRightInd w:val="0"/>
              <w:snapToGrid w:val="0"/>
              <w:ind w:firstLine="480"/>
              <w:rPr>
                <w:rFonts w:hint="eastAsia" w:cs="Times New Roman"/>
                <w:color w:val="auto"/>
                <w:sz w:val="24"/>
                <w:szCs w:val="24"/>
                <w:lang w:val="en-US" w:eastAsia="zh-CN"/>
              </w:rPr>
            </w:pPr>
            <w:r>
              <w:rPr>
                <w:rFonts w:hint="eastAsia" w:cs="Times New Roman"/>
                <w:color w:val="auto"/>
                <w:sz w:val="24"/>
                <w:szCs w:val="24"/>
                <w:lang w:val="en-US" w:eastAsia="zh-CN"/>
              </w:rPr>
              <w:t>发电机出厂前要进行测试，根据建设单位设计资料，发电机测试包括柴油发电机以及燃气发电机。柴油发电机测试用柴油用量约70t/a，柴油密度约为0.85kg/L，则项目柴油用量约为82353L。根据环评工程师注册培训教材《社会区域类环境影响评价》给出的计算参数：柴油发电机运行污染物排放系数为：SO</w:t>
            </w:r>
            <w:r>
              <w:rPr>
                <w:rFonts w:hint="eastAsia" w:cs="Times New Roman"/>
                <w:color w:val="auto"/>
                <w:sz w:val="24"/>
                <w:szCs w:val="24"/>
                <w:vertAlign w:val="subscript"/>
                <w:lang w:val="en-US" w:eastAsia="zh-CN"/>
              </w:rPr>
              <w:t>2</w:t>
            </w:r>
            <w:r>
              <w:rPr>
                <w:rFonts w:hint="eastAsia" w:cs="Times New Roman"/>
                <w:color w:val="auto"/>
                <w:sz w:val="24"/>
                <w:szCs w:val="24"/>
                <w:lang w:val="en-US" w:eastAsia="zh-CN"/>
              </w:rPr>
              <w:t xml:space="preserve"> 4.0g/L，烟尘0.714g/L，NO</w:t>
            </w:r>
            <w:r>
              <w:rPr>
                <w:rFonts w:hint="eastAsia" w:cs="Times New Roman"/>
                <w:color w:val="auto"/>
                <w:sz w:val="24"/>
                <w:szCs w:val="24"/>
                <w:vertAlign w:val="subscript"/>
                <w:lang w:val="en-US" w:eastAsia="zh-CN"/>
              </w:rPr>
              <w:t>x</w:t>
            </w:r>
            <w:r>
              <w:rPr>
                <w:rFonts w:hint="eastAsia" w:cs="Times New Roman"/>
                <w:color w:val="auto"/>
                <w:sz w:val="24"/>
                <w:szCs w:val="24"/>
                <w:lang w:val="en-US" w:eastAsia="zh-CN"/>
              </w:rPr>
              <w:t xml:space="preserve"> 2.56g/L。本项目柴油发电机测试废气污染物产生量约为：SO</w:t>
            </w:r>
            <w:r>
              <w:rPr>
                <w:rFonts w:hint="eastAsia" w:cs="Times New Roman"/>
                <w:color w:val="auto"/>
                <w:sz w:val="24"/>
                <w:szCs w:val="24"/>
                <w:vertAlign w:val="subscript"/>
                <w:lang w:val="en-US" w:eastAsia="zh-CN"/>
              </w:rPr>
              <w:t>2</w:t>
            </w:r>
            <w:r>
              <w:rPr>
                <w:rFonts w:hint="eastAsia" w:cs="Times New Roman"/>
                <w:color w:val="auto"/>
                <w:sz w:val="24"/>
                <w:szCs w:val="24"/>
                <w:lang w:val="en-US" w:eastAsia="zh-CN"/>
              </w:rPr>
              <w:t xml:space="preserve"> 0.3294t/a，烟尘0.0588t/a，NO</w:t>
            </w:r>
            <w:r>
              <w:rPr>
                <w:rFonts w:hint="eastAsia" w:cs="Times New Roman"/>
                <w:color w:val="auto"/>
                <w:sz w:val="24"/>
                <w:szCs w:val="24"/>
                <w:vertAlign w:val="subscript"/>
                <w:lang w:val="en-US" w:eastAsia="zh-CN"/>
              </w:rPr>
              <w:t>x</w:t>
            </w:r>
            <w:r>
              <w:rPr>
                <w:rFonts w:hint="eastAsia" w:cs="Times New Roman"/>
                <w:color w:val="auto"/>
                <w:sz w:val="24"/>
                <w:szCs w:val="24"/>
                <w:lang w:val="en-US" w:eastAsia="zh-CN"/>
              </w:rPr>
              <w:t xml:space="preserve"> 0.2108t/a。项目燃气发电机天然气用量约为9000m</w:t>
            </w:r>
            <w:r>
              <w:rPr>
                <w:rFonts w:hint="eastAsia" w:cs="Times New Roman"/>
                <w:color w:val="auto"/>
                <w:sz w:val="24"/>
                <w:szCs w:val="24"/>
                <w:vertAlign w:val="superscript"/>
                <w:lang w:val="en-US" w:eastAsia="zh-CN"/>
              </w:rPr>
              <w:t>3</w:t>
            </w:r>
            <w:r>
              <w:rPr>
                <w:rFonts w:hint="eastAsia" w:cs="Times New Roman"/>
                <w:color w:val="auto"/>
                <w:sz w:val="24"/>
                <w:szCs w:val="24"/>
                <w:vertAlign w:val="baseline"/>
                <w:lang w:val="en-US" w:eastAsia="zh-CN"/>
              </w:rPr>
              <w:t>/a。</w:t>
            </w:r>
            <w:r>
              <w:rPr>
                <w:rFonts w:hint="eastAsia" w:cs="Times New Roman"/>
                <w:color w:val="auto"/>
                <w:sz w:val="24"/>
                <w:szCs w:val="24"/>
                <w:lang w:val="en-US" w:eastAsia="zh-CN"/>
              </w:rPr>
              <w:t>参照《排放源统计调查产排污核算方法和系数手册》（火力发电、 热电联产行业系数手册），天然气－燃机污染物排放系数为：颗粒物103.90毫克/立方米－原料，NO</w:t>
            </w:r>
            <w:r>
              <w:rPr>
                <w:rFonts w:hint="eastAsia" w:cs="Times New Roman"/>
                <w:color w:val="auto"/>
                <w:sz w:val="24"/>
                <w:szCs w:val="24"/>
                <w:vertAlign w:val="subscript"/>
                <w:lang w:val="en-US" w:eastAsia="zh-CN"/>
              </w:rPr>
              <w:t>x</w:t>
            </w:r>
            <w:r>
              <w:rPr>
                <w:rFonts w:hint="eastAsia" w:cs="Times New Roman"/>
                <w:color w:val="auto"/>
                <w:sz w:val="24"/>
                <w:szCs w:val="24"/>
                <w:lang w:val="en-US" w:eastAsia="zh-CN"/>
              </w:rPr>
              <w:t>1.27克/m</w:t>
            </w:r>
            <w:r>
              <w:rPr>
                <w:rFonts w:hint="eastAsia" w:cs="Times New Roman"/>
                <w:color w:val="auto"/>
                <w:sz w:val="24"/>
                <w:szCs w:val="24"/>
                <w:vertAlign w:val="superscript"/>
                <w:lang w:val="en-US" w:eastAsia="zh-CN"/>
              </w:rPr>
              <w:t>3</w:t>
            </w:r>
            <w:r>
              <w:rPr>
                <w:rFonts w:hint="eastAsia" w:cs="Times New Roman"/>
                <w:color w:val="auto"/>
                <w:sz w:val="24"/>
                <w:szCs w:val="24"/>
                <w:vertAlign w:val="baseline"/>
                <w:lang w:val="en-US" w:eastAsia="zh-CN"/>
              </w:rPr>
              <w:t>－原料，二氧化硫2S</w:t>
            </w:r>
            <w:r>
              <w:rPr>
                <w:rFonts w:hint="eastAsia" w:cs="Times New Roman"/>
                <w:color w:val="auto"/>
                <w:sz w:val="24"/>
                <w:szCs w:val="24"/>
                <w:lang w:val="en-US" w:eastAsia="zh-CN"/>
              </w:rPr>
              <w:t>毫克/立方米－原料。参照《天然气》（GB17820-2018），进入长输管道的天然气总硫含量为20mg/m</w:t>
            </w:r>
            <w:r>
              <w:rPr>
                <w:rFonts w:hint="eastAsia" w:cs="Times New Roman"/>
                <w:color w:val="auto"/>
                <w:sz w:val="24"/>
                <w:szCs w:val="24"/>
                <w:vertAlign w:val="superscript"/>
                <w:lang w:val="en-US" w:eastAsia="zh-CN"/>
              </w:rPr>
              <w:t>3</w:t>
            </w:r>
            <w:r>
              <w:rPr>
                <w:rFonts w:hint="eastAsia" w:cs="Times New Roman"/>
                <w:color w:val="auto"/>
                <w:sz w:val="24"/>
                <w:szCs w:val="24"/>
                <w:vertAlign w:val="baseline"/>
                <w:lang w:val="en-US" w:eastAsia="zh-CN"/>
              </w:rPr>
              <w:t>，</w:t>
            </w:r>
            <w:r>
              <w:rPr>
                <w:rFonts w:hint="eastAsia" w:cs="Times New Roman"/>
                <w:color w:val="auto"/>
                <w:sz w:val="24"/>
                <w:szCs w:val="24"/>
                <w:lang w:val="en-US" w:eastAsia="zh-CN"/>
              </w:rPr>
              <w:t>项目燃气发电机测试废气污染物产生量：烟尘9.35×10</w:t>
            </w:r>
            <w:r>
              <w:rPr>
                <w:rFonts w:hint="eastAsia" w:cs="Times New Roman"/>
                <w:color w:val="auto"/>
                <w:sz w:val="24"/>
                <w:szCs w:val="24"/>
                <w:vertAlign w:val="superscript"/>
                <w:lang w:val="en-US" w:eastAsia="zh-CN"/>
              </w:rPr>
              <w:t>-4</w:t>
            </w:r>
            <w:r>
              <w:rPr>
                <w:rFonts w:hint="eastAsia" w:cs="Times New Roman"/>
                <w:color w:val="auto"/>
                <w:sz w:val="24"/>
                <w:szCs w:val="24"/>
                <w:lang w:val="en-US" w:eastAsia="zh-CN"/>
              </w:rPr>
              <w:t>t/a，NO</w:t>
            </w:r>
            <w:r>
              <w:rPr>
                <w:rFonts w:hint="eastAsia" w:cs="Times New Roman"/>
                <w:color w:val="auto"/>
                <w:sz w:val="24"/>
                <w:szCs w:val="24"/>
                <w:vertAlign w:val="subscript"/>
                <w:lang w:val="en-US" w:eastAsia="zh-CN"/>
              </w:rPr>
              <w:t>x</w:t>
            </w:r>
            <w:r>
              <w:rPr>
                <w:rFonts w:hint="eastAsia" w:cs="Times New Roman"/>
                <w:color w:val="auto"/>
                <w:sz w:val="24"/>
                <w:szCs w:val="24"/>
                <w:lang w:val="en-US" w:eastAsia="zh-CN"/>
              </w:rPr>
              <w:t xml:space="preserve"> 1.14×10</w:t>
            </w:r>
            <w:r>
              <w:rPr>
                <w:rFonts w:hint="eastAsia" w:cs="Times New Roman"/>
                <w:color w:val="auto"/>
                <w:sz w:val="24"/>
                <w:szCs w:val="24"/>
                <w:vertAlign w:val="superscript"/>
                <w:lang w:val="en-US" w:eastAsia="zh-CN"/>
              </w:rPr>
              <w:t>-2</w:t>
            </w:r>
            <w:r>
              <w:rPr>
                <w:rFonts w:hint="eastAsia" w:cs="Times New Roman"/>
                <w:color w:val="auto"/>
                <w:sz w:val="24"/>
                <w:szCs w:val="24"/>
                <w:lang w:val="en-US" w:eastAsia="zh-CN"/>
              </w:rPr>
              <w:t>t/a，SO</w:t>
            </w:r>
            <w:r>
              <w:rPr>
                <w:rFonts w:hint="eastAsia" w:cs="Times New Roman"/>
                <w:color w:val="auto"/>
                <w:sz w:val="24"/>
                <w:szCs w:val="24"/>
                <w:vertAlign w:val="subscript"/>
                <w:lang w:val="en-US" w:eastAsia="zh-CN"/>
              </w:rPr>
              <w:t>2</w:t>
            </w:r>
            <w:r>
              <w:rPr>
                <w:rFonts w:hint="eastAsia" w:cs="Times New Roman"/>
                <w:color w:val="auto"/>
                <w:sz w:val="24"/>
                <w:szCs w:val="24"/>
                <w:lang w:val="en-US" w:eastAsia="zh-CN"/>
              </w:rPr>
              <w:t xml:space="preserve"> 3.6×10</w:t>
            </w:r>
            <w:r>
              <w:rPr>
                <w:rFonts w:hint="eastAsia" w:cs="Times New Roman"/>
                <w:color w:val="auto"/>
                <w:sz w:val="24"/>
                <w:szCs w:val="24"/>
                <w:vertAlign w:val="superscript"/>
                <w:lang w:val="en-US" w:eastAsia="zh-CN"/>
              </w:rPr>
              <w:t>-4</w:t>
            </w:r>
            <w:r>
              <w:rPr>
                <w:rFonts w:hint="eastAsia" w:cs="Times New Roman"/>
                <w:color w:val="auto"/>
                <w:sz w:val="24"/>
                <w:szCs w:val="24"/>
                <w:lang w:val="en-US" w:eastAsia="zh-CN"/>
              </w:rPr>
              <w:t>t/a。</w:t>
            </w:r>
          </w:p>
          <w:p w14:paraId="1C7545C4">
            <w:pPr>
              <w:pStyle w:val="133"/>
              <w:adjustRightInd w:val="0"/>
              <w:snapToGrid w:val="0"/>
              <w:ind w:firstLine="480"/>
              <w:rPr>
                <w:rFonts w:hint="eastAsia" w:eastAsia="宋体" w:cs="Times New Roman"/>
                <w:color w:val="auto"/>
                <w:sz w:val="24"/>
                <w:szCs w:val="24"/>
                <w:lang w:val="en-US" w:eastAsia="zh-CN"/>
              </w:rPr>
            </w:pPr>
            <w:r>
              <w:rPr>
                <w:rFonts w:hint="eastAsia" w:cs="Times New Roman"/>
                <w:color w:val="auto"/>
                <w:sz w:val="24"/>
                <w:szCs w:val="24"/>
                <w:lang w:val="en-US" w:eastAsia="zh-CN"/>
              </w:rPr>
              <w:t>综上所述，项目发电机测试废气污染物：SO</w:t>
            </w:r>
            <w:r>
              <w:rPr>
                <w:rFonts w:hint="eastAsia" w:cs="Times New Roman"/>
                <w:color w:val="auto"/>
                <w:sz w:val="24"/>
                <w:szCs w:val="24"/>
                <w:vertAlign w:val="subscript"/>
                <w:lang w:val="en-US" w:eastAsia="zh-CN"/>
              </w:rPr>
              <w:t>2</w:t>
            </w:r>
            <w:r>
              <w:rPr>
                <w:rFonts w:hint="eastAsia" w:cs="Times New Roman"/>
                <w:color w:val="auto"/>
                <w:sz w:val="24"/>
                <w:szCs w:val="24"/>
                <w:vertAlign w:val="baseline"/>
                <w:lang w:val="en-US" w:eastAsia="zh-CN"/>
              </w:rPr>
              <w:t>产生量约为</w:t>
            </w:r>
            <w:r>
              <w:rPr>
                <w:rFonts w:hint="eastAsia" w:cs="Times New Roman"/>
                <w:color w:val="auto"/>
                <w:sz w:val="24"/>
                <w:szCs w:val="24"/>
                <w:lang w:val="en-US" w:eastAsia="zh-CN"/>
              </w:rPr>
              <w:t>0.330t/a，烟尘</w:t>
            </w:r>
            <w:r>
              <w:rPr>
                <w:rFonts w:hint="eastAsia" w:cs="Times New Roman"/>
                <w:color w:val="auto"/>
                <w:sz w:val="24"/>
                <w:szCs w:val="24"/>
                <w:vertAlign w:val="baseline"/>
                <w:lang w:val="en-US" w:eastAsia="zh-CN"/>
              </w:rPr>
              <w:t>产生量约为</w:t>
            </w:r>
            <w:r>
              <w:rPr>
                <w:rFonts w:hint="eastAsia" w:cs="Times New Roman"/>
                <w:color w:val="auto"/>
                <w:sz w:val="24"/>
                <w:szCs w:val="24"/>
                <w:lang w:val="en-US" w:eastAsia="zh-CN"/>
              </w:rPr>
              <w:t>0.060t/a，NO</w:t>
            </w:r>
            <w:r>
              <w:rPr>
                <w:rFonts w:hint="eastAsia" w:cs="Times New Roman"/>
                <w:color w:val="auto"/>
                <w:sz w:val="24"/>
                <w:szCs w:val="24"/>
                <w:vertAlign w:val="subscript"/>
                <w:lang w:val="en-US" w:eastAsia="zh-CN"/>
              </w:rPr>
              <w:t>x</w:t>
            </w:r>
            <w:r>
              <w:rPr>
                <w:rFonts w:hint="eastAsia" w:cs="Times New Roman"/>
                <w:color w:val="auto"/>
                <w:sz w:val="24"/>
                <w:szCs w:val="24"/>
                <w:vertAlign w:val="baseline"/>
                <w:lang w:val="en-US" w:eastAsia="zh-CN"/>
              </w:rPr>
              <w:t>产生量约为</w:t>
            </w:r>
            <w:r>
              <w:rPr>
                <w:rFonts w:hint="eastAsia" w:cs="Times New Roman"/>
                <w:color w:val="auto"/>
                <w:sz w:val="24"/>
                <w:szCs w:val="24"/>
                <w:lang w:val="en-US" w:eastAsia="zh-CN"/>
              </w:rPr>
              <w:t>0.222t/a。</w:t>
            </w:r>
          </w:p>
          <w:p w14:paraId="5A35B646">
            <w:pPr>
              <w:pStyle w:val="133"/>
              <w:adjustRightInd w:val="0"/>
              <w:snapToGrid w:val="0"/>
              <w:ind w:firstLine="480"/>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项目设置9个测试车间，共设置一套排气系统，拟建单个测试车间规格为10m×6m×3.2m，发电机测试工况下测试车间换气频率为12次/h，测试车间换气量为20736m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h。测试废气经“黑烟净化器+SCR脱硝反应器”处理，测试车间密闭，收集效率按90%计，根据建设单位提供废气处理设施设计材料，该废气处理工艺使用32.5%车用尿素溶液作为还原剂，使用矾基中温SCR催化剂，除氮效率约为90%，烟尘处理效率为90%。</w:t>
            </w:r>
          </w:p>
          <w:p w14:paraId="77C3F870">
            <w:pPr>
              <w:pStyle w:val="133"/>
              <w:adjustRightInd w:val="0"/>
              <w:snapToGrid w:val="0"/>
              <w:ind w:firstLine="480"/>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测试废气有组织废气污染物：烟尘排放量约为5.4</w:t>
            </w:r>
            <w:r>
              <w:rPr>
                <w:rFonts w:hint="eastAsia" w:cs="Times New Roman"/>
                <w:color w:val="auto"/>
                <w:sz w:val="24"/>
                <w:szCs w:val="24"/>
                <w:lang w:val="en-US" w:eastAsia="zh-CN"/>
              </w:rPr>
              <w:t>×10</w:t>
            </w:r>
            <w:r>
              <w:rPr>
                <w:rFonts w:hint="eastAsia" w:cs="Times New Roman"/>
                <w:color w:val="auto"/>
                <w:sz w:val="24"/>
                <w:szCs w:val="24"/>
                <w:vertAlign w:val="superscript"/>
                <w:lang w:val="en-US" w:eastAsia="zh-CN"/>
              </w:rPr>
              <w:t>-3</w:t>
            </w:r>
            <w:r>
              <w:rPr>
                <w:rFonts w:hint="eastAsia" w:cs="Times New Roman"/>
                <w:color w:val="auto"/>
                <w:sz w:val="24"/>
                <w:szCs w:val="24"/>
                <w:highlight w:val="none"/>
                <w:lang w:val="en-US" w:eastAsia="zh-CN"/>
              </w:rPr>
              <w:t>t/a、排放速率约为1.5×10</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kg/h、排放浓度约为0.07mg/m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；SO</w:t>
            </w:r>
            <w:r>
              <w:rPr>
                <w:rFonts w:hint="eastAsia" w:cs="Times New Roman"/>
                <w:color w:val="auto"/>
                <w:sz w:val="24"/>
                <w:szCs w:val="24"/>
                <w:highlight w:val="none"/>
                <w:vertAlign w:val="subscript"/>
                <w:lang w:val="en-US" w:eastAsia="zh-CN"/>
              </w:rPr>
              <w:t>2</w:t>
            </w:r>
            <w:r>
              <w:rPr>
                <w:rFonts w:hint="eastAsia" w:cs="Times New Roman"/>
                <w:color w:val="auto"/>
                <w:sz w:val="24"/>
                <w:szCs w:val="24"/>
                <w:highlight w:val="none"/>
                <w:lang w:val="en-US" w:eastAsia="zh-CN"/>
              </w:rPr>
              <w:t>排放量约为0.297t/a、排放速率约为8.25×10</w:t>
            </w:r>
            <w:r>
              <w:rPr>
                <w:rFonts w:hint="eastAsia" w:cs="Times New Roman"/>
                <w:color w:val="auto"/>
                <w:sz w:val="24"/>
                <w:szCs w:val="24"/>
                <w:highlight w:val="none"/>
                <w:vertAlign w:val="superscript"/>
                <w:lang w:val="en-US" w:eastAsia="zh-CN"/>
              </w:rPr>
              <w:t>-2</w:t>
            </w:r>
            <w:r>
              <w:rPr>
                <w:rFonts w:hint="eastAsia" w:cs="Times New Roman"/>
                <w:color w:val="auto"/>
                <w:sz w:val="24"/>
                <w:szCs w:val="24"/>
                <w:highlight w:val="none"/>
                <w:lang w:val="en-US" w:eastAsia="zh-CN"/>
              </w:rPr>
              <w:t>kg/h、排放浓度约为4.0mg/m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；NO</w:t>
            </w:r>
            <w:r>
              <w:rPr>
                <w:rFonts w:hint="eastAsia" w:cs="Times New Roman"/>
                <w:color w:val="auto"/>
                <w:sz w:val="24"/>
                <w:szCs w:val="24"/>
                <w:vertAlign w:val="subscript"/>
                <w:lang w:val="en-US" w:eastAsia="zh-CN"/>
              </w:rPr>
              <w:t>x</w:t>
            </w:r>
            <w:r>
              <w:rPr>
                <w:rFonts w:hint="eastAsia" w:cs="Times New Roman"/>
                <w:color w:val="auto"/>
                <w:sz w:val="24"/>
                <w:szCs w:val="24"/>
                <w:lang w:val="en-US" w:eastAsia="zh-CN"/>
              </w:rPr>
              <w:t>排放量约为0.020t/a、排放速率约为</w:t>
            </w:r>
            <w:r>
              <w:rPr>
                <w:rFonts w:hint="eastAsia" w:cs="Times New Roman"/>
                <w:color w:val="auto"/>
                <w:sz w:val="24"/>
                <w:szCs w:val="24"/>
                <w:highlight w:val="none"/>
                <w:lang w:val="en-US" w:eastAsia="zh-CN"/>
              </w:rPr>
              <w:t>5.56×10</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kg/h、排放浓度约为0.27mg/m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。无组织废气污染物：烟尘排放量约为6×10</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t/a，排放速率为1.67×10</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kg/h；SO</w:t>
            </w:r>
            <w:r>
              <w:rPr>
                <w:rFonts w:hint="eastAsia" w:cs="Times New Roman"/>
                <w:color w:val="auto"/>
                <w:sz w:val="24"/>
                <w:szCs w:val="24"/>
                <w:highlight w:val="none"/>
                <w:vertAlign w:val="subscript"/>
                <w:lang w:val="en-US" w:eastAsia="zh-CN"/>
              </w:rPr>
              <w:t>2</w:t>
            </w:r>
            <w:r>
              <w:rPr>
                <w:rFonts w:hint="eastAsia" w:cs="Times New Roman"/>
                <w:color w:val="auto"/>
                <w:sz w:val="24"/>
                <w:szCs w:val="24"/>
                <w:highlight w:val="none"/>
                <w:lang w:val="en-US" w:eastAsia="zh-CN"/>
              </w:rPr>
              <w:t>排放量约为0.033t/a，排放速率为9.17×10</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kg/h；NO</w:t>
            </w:r>
            <w:r>
              <w:rPr>
                <w:rFonts w:hint="eastAsia" w:cs="Times New Roman"/>
                <w:color w:val="auto"/>
                <w:sz w:val="24"/>
                <w:szCs w:val="24"/>
                <w:highlight w:val="none"/>
                <w:vertAlign w:val="subscript"/>
                <w:lang w:val="en-US" w:eastAsia="zh-CN"/>
              </w:rPr>
              <w:t>x</w:t>
            </w:r>
            <w:r>
              <w:rPr>
                <w:rFonts w:hint="eastAsia" w:cs="Times New Roman"/>
                <w:color w:val="auto"/>
                <w:sz w:val="24"/>
                <w:szCs w:val="24"/>
                <w:highlight w:val="none"/>
                <w:lang w:val="en-US" w:eastAsia="zh-CN"/>
              </w:rPr>
              <w:t>排放量约为2.22×10</w:t>
            </w:r>
            <w:r>
              <w:rPr>
                <w:rFonts w:hint="eastAsia" w:cs="Times New Roman"/>
                <w:color w:val="auto"/>
                <w:sz w:val="24"/>
                <w:szCs w:val="24"/>
                <w:highlight w:val="none"/>
                <w:vertAlign w:val="superscript"/>
                <w:lang w:val="en-US" w:eastAsia="zh-CN"/>
              </w:rPr>
              <w:t>-2</w:t>
            </w:r>
            <w:r>
              <w:rPr>
                <w:rFonts w:hint="eastAsia" w:cs="Times New Roman"/>
                <w:color w:val="auto"/>
                <w:sz w:val="24"/>
                <w:szCs w:val="24"/>
                <w:highlight w:val="none"/>
                <w:lang w:val="en-US" w:eastAsia="zh-CN"/>
              </w:rPr>
              <w:t>t/a，排放速率为6.17×10</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kg/h。</w:t>
            </w:r>
          </w:p>
          <w:p w14:paraId="5A53E33C">
            <w:pPr>
              <w:pStyle w:val="133"/>
              <w:adjustRightInd w:val="0"/>
              <w:snapToGrid w:val="0"/>
              <w:ind w:firstLine="480"/>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（6）焊接废气</w:t>
            </w:r>
          </w:p>
          <w:p w14:paraId="0E018331">
            <w:pPr>
              <w:pStyle w:val="133"/>
              <w:adjustRightInd w:val="0"/>
              <w:snapToGrid w:val="0"/>
              <w:ind w:firstLine="480"/>
              <w:rPr>
                <w:rFonts w:hint="eastAsia" w:cs="Times New Roman"/>
                <w:color w:val="auto"/>
                <w:sz w:val="24"/>
                <w:szCs w:val="24"/>
                <w:lang w:val="en-US" w:eastAsia="zh-CN"/>
              </w:rPr>
            </w:pPr>
            <w:r>
              <w:rPr>
                <w:rFonts w:hint="eastAsia" w:cs="Times New Roman"/>
                <w:color w:val="auto"/>
                <w:sz w:val="24"/>
                <w:szCs w:val="24"/>
                <w:highlight w:val="none"/>
                <w:lang w:val="en-US" w:eastAsia="zh-CN"/>
              </w:rPr>
              <w:t>根据《排放源统计调查产排污核算方法和系数手册》（机械行业系数手册）-09焊接，焊接工序实心焊丝颗粒物产生系数为9.19千克/吨－原料。项目焊条使用量约0.8t/a，则焊接产生的颗粒物约为0.007t/a，1.94×10</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kg/h。焊烟经过移动式烟尘净化器处理（收集效率按85%计，处理效率按75%计），在车间内以无组织形式排放，排放量约为2.60×10</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t/a，排放速率为8.33×10</w:t>
            </w:r>
            <w:r>
              <w:rPr>
                <w:rFonts w:hint="eastAsia" w:cs="Times New Roman"/>
                <w:color w:val="auto"/>
                <w:sz w:val="24"/>
                <w:szCs w:val="24"/>
                <w:highlight w:val="none"/>
                <w:vertAlign w:val="superscript"/>
                <w:lang w:val="en-US" w:eastAsia="zh-CN"/>
              </w:rPr>
              <w:t>-4</w:t>
            </w:r>
            <w:r>
              <w:rPr>
                <w:rFonts w:hint="eastAsia" w:cs="Times New Roman"/>
                <w:color w:val="auto"/>
                <w:sz w:val="24"/>
                <w:szCs w:val="24"/>
                <w:highlight w:val="none"/>
                <w:lang w:val="en-US" w:eastAsia="zh-CN"/>
              </w:rPr>
              <w:t>kg/h。</w:t>
            </w:r>
          </w:p>
          <w:p w14:paraId="59E79725">
            <w:pPr>
              <w:pStyle w:val="133"/>
              <w:adjustRightInd w:val="0"/>
              <w:snapToGrid w:val="0"/>
              <w:ind w:firstLine="480"/>
              <w:rPr>
                <w:rFonts w:hint="eastAsia" w:cs="Times New Roman"/>
                <w:color w:val="auto"/>
                <w:sz w:val="24"/>
                <w:highlight w:val="none"/>
                <w:lang w:eastAsia="zh-CN"/>
              </w:rPr>
            </w:pPr>
            <w:r>
              <w:rPr>
                <w:rFonts w:hint="eastAsia" w:cs="Times New Roman"/>
                <w:color w:val="auto"/>
                <w:kern w:val="0"/>
                <w:sz w:val="24"/>
                <w:szCs w:val="24"/>
                <w:lang w:val="en-US" w:eastAsia="zh-CN" w:bidi="ar"/>
              </w:rPr>
              <w:t>项目</w:t>
            </w:r>
            <w:r>
              <w:rPr>
                <w:rFonts w:hint="eastAsia" w:ascii="Times New Roman" w:hAnsi="Times New Roman" w:eastAsia="宋体" w:cs="Times New Roman"/>
                <w:color w:val="auto"/>
                <w:kern w:val="0"/>
                <w:sz w:val="24"/>
                <w:szCs w:val="24"/>
                <w:lang w:val="en-US" w:eastAsia="zh-CN" w:bidi="ar"/>
              </w:rPr>
              <w:t>废气产排情况见表4.2-4。</w:t>
            </w:r>
          </w:p>
        </w:tc>
      </w:tr>
    </w:tbl>
    <w:p w14:paraId="7CA6816E">
      <w:pPr>
        <w:adjustRightInd w:val="0"/>
        <w:snapToGrid w:val="0"/>
        <w:spacing w:line="360" w:lineRule="auto"/>
        <w:rPr>
          <w:rFonts w:ascii="宋体" w:cs="宋体"/>
          <w:b/>
          <w:color w:val="auto"/>
          <w:kern w:val="0"/>
          <w:sz w:val="28"/>
          <w:szCs w:val="28"/>
        </w:rPr>
        <w:sectPr>
          <w:pgSz w:w="11907" w:h="16840"/>
          <w:pgMar w:top="1701" w:right="1531" w:bottom="2013" w:left="1531"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32"/>
        <w:tblW w:w="146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
        <w:gridCol w:w="14220"/>
      </w:tblGrid>
      <w:tr w14:paraId="13330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7" w:hRule="atLeast"/>
          <w:jc w:val="center"/>
        </w:trPr>
        <w:tc>
          <w:tcPr>
            <w:tcW w:w="478" w:type="dxa"/>
          </w:tcPr>
          <w:p w14:paraId="135AD82E">
            <w:pPr>
              <w:pStyle w:val="15"/>
              <w:rPr>
                <w:rFonts w:ascii="Times New Roman" w:hAnsi="Times New Roman" w:eastAsia="宋体"/>
                <w:bCs/>
                <w:color w:val="auto"/>
                <w:sz w:val="24"/>
              </w:rPr>
            </w:pPr>
          </w:p>
        </w:tc>
        <w:tc>
          <w:tcPr>
            <w:tcW w:w="14220" w:type="dxa"/>
          </w:tcPr>
          <w:p w14:paraId="67B247E4">
            <w:pPr>
              <w:adjustRightInd w:val="0"/>
              <w:snapToGrid w:val="0"/>
              <w:jc w:val="center"/>
              <w:rPr>
                <w:rFonts w:ascii="Times New Roman" w:hAnsi="Times New Roman" w:eastAsia="宋体"/>
                <w:color w:val="auto"/>
                <w:szCs w:val="21"/>
                <w:highlight w:val="none"/>
              </w:rPr>
            </w:pPr>
            <w:r>
              <w:rPr>
                <w:rFonts w:hint="eastAsia" w:ascii="Times New Roman" w:hAnsi="Times New Roman" w:eastAsia="宋体" w:cs="Times New Roman"/>
                <w:b/>
                <w:bCs/>
                <w:color w:val="auto"/>
                <w:kern w:val="0"/>
                <w:szCs w:val="21"/>
                <w:lang w:val="en-US" w:eastAsia="zh-CN"/>
              </w:rPr>
              <w:t>表4.2-4项目废气污染物的产排情况一览表</w:t>
            </w:r>
          </w:p>
          <w:tbl>
            <w:tblPr>
              <w:tblStyle w:val="31"/>
              <w:tblW w:w="14011"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342"/>
              <w:gridCol w:w="563"/>
              <w:gridCol w:w="688"/>
              <w:gridCol w:w="485"/>
              <w:gridCol w:w="353"/>
              <w:gridCol w:w="732"/>
              <w:gridCol w:w="539"/>
              <w:gridCol w:w="564"/>
              <w:gridCol w:w="625"/>
              <w:gridCol w:w="574"/>
              <w:gridCol w:w="451"/>
              <w:gridCol w:w="419"/>
              <w:gridCol w:w="544"/>
              <w:gridCol w:w="696"/>
              <w:gridCol w:w="564"/>
              <w:gridCol w:w="530"/>
              <w:gridCol w:w="483"/>
              <w:gridCol w:w="477"/>
              <w:gridCol w:w="374"/>
              <w:gridCol w:w="375"/>
              <w:gridCol w:w="407"/>
              <w:gridCol w:w="1171"/>
              <w:gridCol w:w="885"/>
              <w:gridCol w:w="751"/>
              <w:gridCol w:w="419"/>
            </w:tblGrid>
            <w:tr w14:paraId="1A8C11B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342" w:type="dxa"/>
                  <w:vMerge w:val="restart"/>
                  <w:vAlign w:val="center"/>
                </w:tcPr>
                <w:p w14:paraId="550EA54E">
                  <w:pPr>
                    <w:pStyle w:val="143"/>
                    <w:rPr>
                      <w:color w:val="auto"/>
                      <w:sz w:val="18"/>
                      <w:szCs w:val="18"/>
                    </w:rPr>
                  </w:pPr>
                  <w:r>
                    <w:rPr>
                      <w:color w:val="auto"/>
                      <w:sz w:val="18"/>
                      <w:szCs w:val="18"/>
                    </w:rPr>
                    <w:t>生产工段</w:t>
                  </w:r>
                </w:p>
              </w:tc>
              <w:tc>
                <w:tcPr>
                  <w:tcW w:w="563" w:type="dxa"/>
                  <w:vMerge w:val="restart"/>
                  <w:tcMar>
                    <w:top w:w="0" w:type="dxa"/>
                    <w:left w:w="28" w:type="dxa"/>
                    <w:bottom w:w="0" w:type="dxa"/>
                    <w:right w:w="28" w:type="dxa"/>
                  </w:tcMar>
                  <w:vAlign w:val="center"/>
                </w:tcPr>
                <w:p w14:paraId="7CEE2D74">
                  <w:pPr>
                    <w:pStyle w:val="143"/>
                    <w:rPr>
                      <w:rFonts w:hint="eastAsia"/>
                      <w:color w:val="auto"/>
                      <w:sz w:val="18"/>
                      <w:szCs w:val="18"/>
                      <w:lang w:eastAsia="zh-CN"/>
                    </w:rPr>
                  </w:pPr>
                  <w:r>
                    <w:rPr>
                      <w:color w:val="auto"/>
                      <w:sz w:val="18"/>
                      <w:szCs w:val="18"/>
                    </w:rPr>
                    <w:t>收集效率（%）</w:t>
                  </w:r>
                </w:p>
              </w:tc>
              <w:tc>
                <w:tcPr>
                  <w:tcW w:w="688" w:type="dxa"/>
                  <w:vMerge w:val="restart"/>
                  <w:vAlign w:val="center"/>
                </w:tcPr>
                <w:p w14:paraId="7FDA9AC4">
                  <w:pPr>
                    <w:pStyle w:val="143"/>
                    <w:rPr>
                      <w:rFonts w:hint="eastAsia" w:eastAsia="宋体"/>
                      <w:color w:val="auto"/>
                      <w:sz w:val="18"/>
                      <w:szCs w:val="18"/>
                      <w:lang w:eastAsia="zh-CN"/>
                    </w:rPr>
                  </w:pPr>
                  <w:r>
                    <w:rPr>
                      <w:rFonts w:hint="eastAsia"/>
                      <w:color w:val="auto"/>
                      <w:sz w:val="18"/>
                      <w:szCs w:val="18"/>
                      <w:lang w:eastAsia="zh-CN"/>
                    </w:rPr>
                    <w:t>排放形式</w:t>
                  </w:r>
                </w:p>
              </w:tc>
              <w:tc>
                <w:tcPr>
                  <w:tcW w:w="485" w:type="dxa"/>
                  <w:vMerge w:val="restart"/>
                  <w:vAlign w:val="center"/>
                </w:tcPr>
                <w:p w14:paraId="0513B3BE">
                  <w:pPr>
                    <w:pStyle w:val="143"/>
                    <w:rPr>
                      <w:color w:val="auto"/>
                      <w:sz w:val="18"/>
                      <w:szCs w:val="18"/>
                    </w:rPr>
                  </w:pPr>
                  <w:r>
                    <w:rPr>
                      <w:color w:val="auto"/>
                      <w:sz w:val="18"/>
                      <w:szCs w:val="18"/>
                    </w:rPr>
                    <w:t>污染物种类</w:t>
                  </w:r>
                </w:p>
              </w:tc>
              <w:tc>
                <w:tcPr>
                  <w:tcW w:w="2188" w:type="dxa"/>
                  <w:gridSpan w:val="4"/>
                  <w:vAlign w:val="center"/>
                </w:tcPr>
                <w:p w14:paraId="3632817B">
                  <w:pPr>
                    <w:pStyle w:val="143"/>
                    <w:rPr>
                      <w:color w:val="auto"/>
                      <w:sz w:val="18"/>
                      <w:szCs w:val="18"/>
                    </w:rPr>
                  </w:pPr>
                  <w:r>
                    <w:rPr>
                      <w:color w:val="auto"/>
                      <w:sz w:val="18"/>
                      <w:szCs w:val="18"/>
                    </w:rPr>
                    <w:t>污染物产生</w:t>
                  </w:r>
                </w:p>
              </w:tc>
              <w:tc>
                <w:tcPr>
                  <w:tcW w:w="2069" w:type="dxa"/>
                  <w:gridSpan w:val="4"/>
                  <w:vAlign w:val="center"/>
                </w:tcPr>
                <w:p w14:paraId="5377F4FB">
                  <w:pPr>
                    <w:pStyle w:val="143"/>
                    <w:rPr>
                      <w:color w:val="auto"/>
                      <w:sz w:val="18"/>
                      <w:szCs w:val="18"/>
                    </w:rPr>
                  </w:pPr>
                  <w:r>
                    <w:rPr>
                      <w:color w:val="auto"/>
                      <w:sz w:val="18"/>
                      <w:szCs w:val="18"/>
                    </w:rPr>
                    <w:t>治理设施</w:t>
                  </w:r>
                </w:p>
              </w:tc>
              <w:tc>
                <w:tcPr>
                  <w:tcW w:w="2334" w:type="dxa"/>
                  <w:gridSpan w:val="4"/>
                  <w:vAlign w:val="center"/>
                </w:tcPr>
                <w:p w14:paraId="43677F75">
                  <w:pPr>
                    <w:pStyle w:val="143"/>
                    <w:rPr>
                      <w:color w:val="auto"/>
                      <w:sz w:val="18"/>
                      <w:szCs w:val="18"/>
                    </w:rPr>
                  </w:pPr>
                  <w:r>
                    <w:rPr>
                      <w:color w:val="auto"/>
                      <w:sz w:val="18"/>
                      <w:szCs w:val="18"/>
                    </w:rPr>
                    <w:t>污染物排放</w:t>
                  </w:r>
                </w:p>
              </w:tc>
              <w:tc>
                <w:tcPr>
                  <w:tcW w:w="483" w:type="dxa"/>
                  <w:vMerge w:val="restart"/>
                  <w:vAlign w:val="center"/>
                </w:tcPr>
                <w:p w14:paraId="1F1B3D65">
                  <w:pPr>
                    <w:pStyle w:val="143"/>
                    <w:rPr>
                      <w:color w:val="auto"/>
                      <w:sz w:val="18"/>
                      <w:szCs w:val="18"/>
                    </w:rPr>
                  </w:pPr>
                  <w:r>
                    <w:rPr>
                      <w:color w:val="auto"/>
                      <w:sz w:val="18"/>
                      <w:szCs w:val="18"/>
                    </w:rPr>
                    <w:t>排放时间</w:t>
                  </w:r>
                  <w:r>
                    <w:rPr>
                      <w:rFonts w:hint="eastAsia"/>
                      <w:color w:val="auto"/>
                      <w:sz w:val="18"/>
                      <w:szCs w:val="18"/>
                      <w:lang w:eastAsia="zh-CN"/>
                    </w:rPr>
                    <w:t>（</w:t>
                  </w:r>
                  <w:r>
                    <w:rPr>
                      <w:color w:val="auto"/>
                      <w:sz w:val="18"/>
                      <w:szCs w:val="18"/>
                    </w:rPr>
                    <w:t>h</w:t>
                  </w:r>
                  <w:r>
                    <w:rPr>
                      <w:rFonts w:hint="eastAsia"/>
                      <w:color w:val="auto"/>
                      <w:sz w:val="18"/>
                      <w:szCs w:val="18"/>
                      <w:lang w:eastAsia="zh-CN"/>
                    </w:rPr>
                    <w:t>）</w:t>
                  </w:r>
                </w:p>
              </w:tc>
              <w:tc>
                <w:tcPr>
                  <w:tcW w:w="2804" w:type="dxa"/>
                  <w:gridSpan w:val="5"/>
                  <w:vAlign w:val="center"/>
                </w:tcPr>
                <w:p w14:paraId="3E0EE1A8">
                  <w:pPr>
                    <w:pStyle w:val="143"/>
                    <w:rPr>
                      <w:color w:val="auto"/>
                      <w:sz w:val="18"/>
                      <w:szCs w:val="18"/>
                    </w:rPr>
                  </w:pPr>
                  <w:r>
                    <w:rPr>
                      <w:color w:val="auto"/>
                      <w:sz w:val="18"/>
                      <w:szCs w:val="18"/>
                    </w:rPr>
                    <w:t>排放口基本情况</w:t>
                  </w:r>
                </w:p>
              </w:tc>
              <w:tc>
                <w:tcPr>
                  <w:tcW w:w="1636" w:type="dxa"/>
                  <w:gridSpan w:val="2"/>
                  <w:vAlign w:val="center"/>
                </w:tcPr>
                <w:p w14:paraId="3C4417F8">
                  <w:pPr>
                    <w:pStyle w:val="143"/>
                    <w:rPr>
                      <w:color w:val="auto"/>
                      <w:sz w:val="18"/>
                      <w:szCs w:val="18"/>
                    </w:rPr>
                  </w:pPr>
                  <w:r>
                    <w:rPr>
                      <w:color w:val="auto"/>
                      <w:sz w:val="18"/>
                      <w:szCs w:val="18"/>
                    </w:rPr>
                    <w:t>排放标准</w:t>
                  </w:r>
                </w:p>
              </w:tc>
              <w:tc>
                <w:tcPr>
                  <w:tcW w:w="419" w:type="dxa"/>
                  <w:vMerge w:val="restart"/>
                  <w:vAlign w:val="center"/>
                </w:tcPr>
                <w:p w14:paraId="2B70B757">
                  <w:pPr>
                    <w:pStyle w:val="143"/>
                    <w:rPr>
                      <w:color w:val="auto"/>
                      <w:sz w:val="18"/>
                      <w:szCs w:val="18"/>
                    </w:rPr>
                  </w:pPr>
                  <w:r>
                    <w:rPr>
                      <w:color w:val="auto"/>
                      <w:sz w:val="18"/>
                      <w:szCs w:val="18"/>
                    </w:rPr>
                    <w:t>是否达标</w:t>
                  </w:r>
                </w:p>
              </w:tc>
            </w:tr>
            <w:tr w14:paraId="42AB9FB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342" w:type="dxa"/>
                  <w:vMerge w:val="continue"/>
                  <w:vAlign w:val="center"/>
                </w:tcPr>
                <w:p w14:paraId="32D13F35">
                  <w:pPr>
                    <w:pStyle w:val="143"/>
                    <w:rPr>
                      <w:color w:val="auto"/>
                      <w:sz w:val="18"/>
                      <w:szCs w:val="18"/>
                    </w:rPr>
                  </w:pPr>
                </w:p>
              </w:tc>
              <w:tc>
                <w:tcPr>
                  <w:tcW w:w="563" w:type="dxa"/>
                  <w:vMerge w:val="continue"/>
                  <w:tcMar>
                    <w:top w:w="0" w:type="dxa"/>
                    <w:left w:w="28" w:type="dxa"/>
                    <w:bottom w:w="0" w:type="dxa"/>
                    <w:right w:w="28" w:type="dxa"/>
                  </w:tcMar>
                  <w:vAlign w:val="center"/>
                </w:tcPr>
                <w:p w14:paraId="7ED138D2">
                  <w:pPr>
                    <w:pStyle w:val="143"/>
                    <w:rPr>
                      <w:color w:val="auto"/>
                      <w:sz w:val="18"/>
                      <w:szCs w:val="18"/>
                    </w:rPr>
                  </w:pPr>
                </w:p>
              </w:tc>
              <w:tc>
                <w:tcPr>
                  <w:tcW w:w="688" w:type="dxa"/>
                  <w:vMerge w:val="continue"/>
                  <w:vAlign w:val="center"/>
                </w:tcPr>
                <w:p w14:paraId="28A8EB4C">
                  <w:pPr>
                    <w:pStyle w:val="143"/>
                    <w:rPr>
                      <w:color w:val="auto"/>
                      <w:sz w:val="18"/>
                      <w:szCs w:val="18"/>
                    </w:rPr>
                  </w:pPr>
                </w:p>
              </w:tc>
              <w:tc>
                <w:tcPr>
                  <w:tcW w:w="485" w:type="dxa"/>
                  <w:vMerge w:val="continue"/>
                  <w:vAlign w:val="center"/>
                </w:tcPr>
                <w:p w14:paraId="114E81F0">
                  <w:pPr>
                    <w:pStyle w:val="143"/>
                    <w:rPr>
                      <w:color w:val="auto"/>
                      <w:sz w:val="18"/>
                      <w:szCs w:val="18"/>
                    </w:rPr>
                  </w:pPr>
                </w:p>
              </w:tc>
              <w:tc>
                <w:tcPr>
                  <w:tcW w:w="353" w:type="dxa"/>
                  <w:vAlign w:val="center"/>
                </w:tcPr>
                <w:p w14:paraId="07EDF946">
                  <w:pPr>
                    <w:pStyle w:val="143"/>
                    <w:rPr>
                      <w:color w:val="auto"/>
                      <w:sz w:val="18"/>
                      <w:szCs w:val="18"/>
                    </w:rPr>
                  </w:pPr>
                  <w:r>
                    <w:rPr>
                      <w:color w:val="auto"/>
                      <w:sz w:val="18"/>
                      <w:szCs w:val="18"/>
                    </w:rPr>
                    <w:t>核算方法</w:t>
                  </w:r>
                </w:p>
              </w:tc>
              <w:tc>
                <w:tcPr>
                  <w:tcW w:w="732" w:type="dxa"/>
                  <w:vAlign w:val="center"/>
                </w:tcPr>
                <w:p w14:paraId="46E3CFBC">
                  <w:pPr>
                    <w:pStyle w:val="143"/>
                    <w:rPr>
                      <w:color w:val="auto"/>
                      <w:sz w:val="18"/>
                      <w:szCs w:val="18"/>
                    </w:rPr>
                  </w:pPr>
                  <w:r>
                    <w:rPr>
                      <w:color w:val="auto"/>
                      <w:sz w:val="18"/>
                      <w:szCs w:val="18"/>
                    </w:rPr>
                    <w:t>废气产生浓度(mg/m</w:t>
                  </w:r>
                  <w:r>
                    <w:rPr>
                      <w:color w:val="auto"/>
                      <w:sz w:val="18"/>
                      <w:szCs w:val="18"/>
                      <w:vertAlign w:val="superscript"/>
                    </w:rPr>
                    <w:t>3</w:t>
                  </w:r>
                  <w:r>
                    <w:rPr>
                      <w:color w:val="auto"/>
                      <w:sz w:val="18"/>
                      <w:szCs w:val="18"/>
                    </w:rPr>
                    <w:t>)</w:t>
                  </w:r>
                </w:p>
              </w:tc>
              <w:tc>
                <w:tcPr>
                  <w:tcW w:w="539" w:type="dxa"/>
                  <w:vAlign w:val="center"/>
                </w:tcPr>
                <w:p w14:paraId="757B3BA8">
                  <w:pPr>
                    <w:pStyle w:val="143"/>
                    <w:rPr>
                      <w:color w:val="auto"/>
                      <w:sz w:val="18"/>
                      <w:szCs w:val="18"/>
                    </w:rPr>
                  </w:pPr>
                  <w:r>
                    <w:rPr>
                      <w:color w:val="auto"/>
                      <w:sz w:val="18"/>
                      <w:szCs w:val="18"/>
                    </w:rPr>
                    <w:t>产生量(t/a)</w:t>
                  </w:r>
                </w:p>
              </w:tc>
              <w:tc>
                <w:tcPr>
                  <w:tcW w:w="564" w:type="dxa"/>
                  <w:vAlign w:val="center"/>
                </w:tcPr>
                <w:p w14:paraId="4D8FE636">
                  <w:pPr>
                    <w:pStyle w:val="143"/>
                    <w:rPr>
                      <w:color w:val="auto"/>
                      <w:sz w:val="18"/>
                      <w:szCs w:val="18"/>
                    </w:rPr>
                  </w:pPr>
                  <w:r>
                    <w:rPr>
                      <w:color w:val="auto"/>
                      <w:sz w:val="18"/>
                      <w:szCs w:val="18"/>
                    </w:rPr>
                    <w:t>产生速率(kg/h)</w:t>
                  </w:r>
                </w:p>
              </w:tc>
              <w:tc>
                <w:tcPr>
                  <w:tcW w:w="625" w:type="dxa"/>
                  <w:vAlign w:val="center"/>
                </w:tcPr>
                <w:p w14:paraId="6A8003B1">
                  <w:pPr>
                    <w:pStyle w:val="143"/>
                    <w:rPr>
                      <w:color w:val="auto"/>
                      <w:sz w:val="18"/>
                      <w:szCs w:val="18"/>
                    </w:rPr>
                  </w:pPr>
                  <w:r>
                    <w:rPr>
                      <w:color w:val="auto"/>
                      <w:sz w:val="18"/>
                      <w:szCs w:val="18"/>
                    </w:rPr>
                    <w:t>处理工艺</w:t>
                  </w:r>
                </w:p>
              </w:tc>
              <w:tc>
                <w:tcPr>
                  <w:tcW w:w="574" w:type="dxa"/>
                  <w:vAlign w:val="center"/>
                </w:tcPr>
                <w:p w14:paraId="63CDA415">
                  <w:pPr>
                    <w:pStyle w:val="143"/>
                    <w:rPr>
                      <w:color w:val="auto"/>
                      <w:sz w:val="18"/>
                      <w:szCs w:val="18"/>
                    </w:rPr>
                  </w:pPr>
                  <w:r>
                    <w:rPr>
                      <w:color w:val="auto"/>
                      <w:sz w:val="18"/>
                      <w:szCs w:val="18"/>
                    </w:rPr>
                    <w:t>处理能力m</w:t>
                  </w:r>
                  <w:r>
                    <w:rPr>
                      <w:color w:val="auto"/>
                      <w:sz w:val="18"/>
                      <w:szCs w:val="18"/>
                      <w:vertAlign w:val="superscript"/>
                    </w:rPr>
                    <w:t>3</w:t>
                  </w:r>
                  <w:r>
                    <w:rPr>
                      <w:color w:val="auto"/>
                      <w:sz w:val="18"/>
                      <w:szCs w:val="18"/>
                    </w:rPr>
                    <w:t>/h</w:t>
                  </w:r>
                </w:p>
              </w:tc>
              <w:tc>
                <w:tcPr>
                  <w:tcW w:w="451" w:type="dxa"/>
                  <w:vAlign w:val="center"/>
                </w:tcPr>
                <w:p w14:paraId="6964CB75">
                  <w:pPr>
                    <w:pStyle w:val="143"/>
                    <w:rPr>
                      <w:color w:val="auto"/>
                      <w:sz w:val="18"/>
                      <w:szCs w:val="18"/>
                    </w:rPr>
                  </w:pPr>
                  <w:r>
                    <w:rPr>
                      <w:color w:val="auto"/>
                      <w:sz w:val="18"/>
                      <w:szCs w:val="18"/>
                    </w:rPr>
                    <w:t>去除率</w:t>
                  </w:r>
                  <w:r>
                    <w:rPr>
                      <w:color w:val="auto"/>
                      <w:spacing w:val="-28"/>
                      <w:sz w:val="18"/>
                      <w:szCs w:val="18"/>
                    </w:rPr>
                    <w:t>（%）</w:t>
                  </w:r>
                </w:p>
              </w:tc>
              <w:tc>
                <w:tcPr>
                  <w:tcW w:w="419" w:type="dxa"/>
                  <w:vAlign w:val="center"/>
                </w:tcPr>
                <w:p w14:paraId="17FA79DC">
                  <w:pPr>
                    <w:pStyle w:val="143"/>
                    <w:rPr>
                      <w:color w:val="auto"/>
                      <w:sz w:val="18"/>
                      <w:szCs w:val="18"/>
                    </w:rPr>
                  </w:pPr>
                  <w:r>
                    <w:rPr>
                      <w:color w:val="auto"/>
                      <w:sz w:val="18"/>
                      <w:szCs w:val="18"/>
                    </w:rPr>
                    <w:t>是否为可行技术</w:t>
                  </w:r>
                </w:p>
              </w:tc>
              <w:tc>
                <w:tcPr>
                  <w:tcW w:w="544" w:type="dxa"/>
                  <w:vAlign w:val="center"/>
                </w:tcPr>
                <w:p w14:paraId="478921AD">
                  <w:pPr>
                    <w:pStyle w:val="143"/>
                    <w:rPr>
                      <w:color w:val="auto"/>
                      <w:sz w:val="18"/>
                      <w:szCs w:val="18"/>
                    </w:rPr>
                  </w:pPr>
                  <w:r>
                    <w:rPr>
                      <w:color w:val="auto"/>
                      <w:sz w:val="18"/>
                      <w:szCs w:val="18"/>
                    </w:rPr>
                    <w:t>废气排放量(m</w:t>
                  </w:r>
                  <w:r>
                    <w:rPr>
                      <w:color w:val="auto"/>
                      <w:sz w:val="18"/>
                      <w:szCs w:val="18"/>
                      <w:vertAlign w:val="superscript"/>
                    </w:rPr>
                    <w:t>3</w:t>
                  </w:r>
                  <w:r>
                    <w:rPr>
                      <w:color w:val="auto"/>
                      <w:sz w:val="18"/>
                      <w:szCs w:val="18"/>
                    </w:rPr>
                    <w:t>/h)</w:t>
                  </w:r>
                </w:p>
              </w:tc>
              <w:tc>
                <w:tcPr>
                  <w:tcW w:w="696" w:type="dxa"/>
                  <w:vAlign w:val="center"/>
                </w:tcPr>
                <w:p w14:paraId="467741A8">
                  <w:pPr>
                    <w:pStyle w:val="143"/>
                    <w:rPr>
                      <w:color w:val="auto"/>
                      <w:sz w:val="18"/>
                      <w:szCs w:val="18"/>
                    </w:rPr>
                  </w:pPr>
                  <w:r>
                    <w:rPr>
                      <w:color w:val="auto"/>
                      <w:sz w:val="18"/>
                      <w:szCs w:val="18"/>
                    </w:rPr>
                    <w:t>排放浓度(mg/m</w:t>
                  </w:r>
                  <w:r>
                    <w:rPr>
                      <w:color w:val="auto"/>
                      <w:sz w:val="18"/>
                      <w:szCs w:val="18"/>
                      <w:vertAlign w:val="superscript"/>
                    </w:rPr>
                    <w:t>3</w:t>
                  </w:r>
                  <w:r>
                    <w:rPr>
                      <w:color w:val="auto"/>
                      <w:sz w:val="18"/>
                      <w:szCs w:val="18"/>
                    </w:rPr>
                    <w:t>)</w:t>
                  </w:r>
                </w:p>
              </w:tc>
              <w:tc>
                <w:tcPr>
                  <w:tcW w:w="564" w:type="dxa"/>
                  <w:vAlign w:val="center"/>
                </w:tcPr>
                <w:p w14:paraId="3CFA7051">
                  <w:pPr>
                    <w:pStyle w:val="143"/>
                    <w:rPr>
                      <w:color w:val="auto"/>
                      <w:sz w:val="18"/>
                      <w:szCs w:val="18"/>
                    </w:rPr>
                  </w:pPr>
                  <w:r>
                    <w:rPr>
                      <w:color w:val="auto"/>
                      <w:sz w:val="18"/>
                      <w:szCs w:val="18"/>
                    </w:rPr>
                    <w:t>排放量(t/a)</w:t>
                  </w:r>
                </w:p>
              </w:tc>
              <w:tc>
                <w:tcPr>
                  <w:tcW w:w="530" w:type="dxa"/>
                  <w:vAlign w:val="center"/>
                </w:tcPr>
                <w:p w14:paraId="5C742191">
                  <w:pPr>
                    <w:pStyle w:val="143"/>
                    <w:rPr>
                      <w:color w:val="auto"/>
                      <w:sz w:val="18"/>
                      <w:szCs w:val="18"/>
                    </w:rPr>
                  </w:pPr>
                  <w:r>
                    <w:rPr>
                      <w:color w:val="auto"/>
                      <w:sz w:val="18"/>
                      <w:szCs w:val="18"/>
                    </w:rPr>
                    <w:t>产生速率(kg/h)</w:t>
                  </w:r>
                </w:p>
              </w:tc>
              <w:tc>
                <w:tcPr>
                  <w:tcW w:w="483" w:type="dxa"/>
                  <w:vMerge w:val="continue"/>
                  <w:vAlign w:val="center"/>
                </w:tcPr>
                <w:p w14:paraId="5717C8DE">
                  <w:pPr>
                    <w:pStyle w:val="143"/>
                    <w:rPr>
                      <w:color w:val="auto"/>
                      <w:sz w:val="18"/>
                      <w:szCs w:val="18"/>
                    </w:rPr>
                  </w:pPr>
                </w:p>
              </w:tc>
              <w:tc>
                <w:tcPr>
                  <w:tcW w:w="477" w:type="dxa"/>
                  <w:vAlign w:val="center"/>
                </w:tcPr>
                <w:p w14:paraId="5ED1F570">
                  <w:pPr>
                    <w:pStyle w:val="143"/>
                    <w:rPr>
                      <w:color w:val="auto"/>
                      <w:sz w:val="18"/>
                      <w:szCs w:val="18"/>
                    </w:rPr>
                  </w:pPr>
                  <w:r>
                    <w:rPr>
                      <w:color w:val="auto"/>
                      <w:sz w:val="18"/>
                      <w:szCs w:val="18"/>
                    </w:rPr>
                    <w:t>编号及名称</w:t>
                  </w:r>
                </w:p>
              </w:tc>
              <w:tc>
                <w:tcPr>
                  <w:tcW w:w="374" w:type="dxa"/>
                  <w:vAlign w:val="center"/>
                </w:tcPr>
                <w:p w14:paraId="65012BC5">
                  <w:pPr>
                    <w:pStyle w:val="143"/>
                    <w:rPr>
                      <w:color w:val="auto"/>
                      <w:sz w:val="18"/>
                      <w:szCs w:val="18"/>
                    </w:rPr>
                  </w:pPr>
                  <w:r>
                    <w:rPr>
                      <w:color w:val="auto"/>
                      <w:sz w:val="18"/>
                      <w:szCs w:val="18"/>
                    </w:rPr>
                    <w:t>高度m</w:t>
                  </w:r>
                </w:p>
              </w:tc>
              <w:tc>
                <w:tcPr>
                  <w:tcW w:w="375" w:type="dxa"/>
                  <w:vAlign w:val="center"/>
                </w:tcPr>
                <w:p w14:paraId="092349E6">
                  <w:pPr>
                    <w:pStyle w:val="143"/>
                    <w:rPr>
                      <w:color w:val="auto"/>
                      <w:sz w:val="18"/>
                      <w:szCs w:val="18"/>
                    </w:rPr>
                  </w:pPr>
                  <w:r>
                    <w:rPr>
                      <w:color w:val="auto"/>
                      <w:sz w:val="18"/>
                      <w:szCs w:val="18"/>
                    </w:rPr>
                    <w:t>内径m</w:t>
                  </w:r>
                </w:p>
              </w:tc>
              <w:tc>
                <w:tcPr>
                  <w:tcW w:w="407" w:type="dxa"/>
                  <w:vAlign w:val="center"/>
                </w:tcPr>
                <w:p w14:paraId="3AD02F90">
                  <w:pPr>
                    <w:pStyle w:val="143"/>
                    <w:rPr>
                      <w:color w:val="auto"/>
                      <w:sz w:val="18"/>
                      <w:szCs w:val="18"/>
                    </w:rPr>
                  </w:pPr>
                  <w:r>
                    <w:rPr>
                      <w:color w:val="auto"/>
                      <w:sz w:val="18"/>
                      <w:szCs w:val="18"/>
                    </w:rPr>
                    <w:t>温度℃</w:t>
                  </w:r>
                </w:p>
              </w:tc>
              <w:tc>
                <w:tcPr>
                  <w:tcW w:w="1171" w:type="dxa"/>
                  <w:vAlign w:val="center"/>
                </w:tcPr>
                <w:p w14:paraId="06573EEB">
                  <w:pPr>
                    <w:pStyle w:val="143"/>
                    <w:rPr>
                      <w:color w:val="auto"/>
                      <w:sz w:val="18"/>
                      <w:szCs w:val="18"/>
                    </w:rPr>
                  </w:pPr>
                  <w:r>
                    <w:rPr>
                      <w:color w:val="auto"/>
                      <w:sz w:val="18"/>
                      <w:szCs w:val="18"/>
                    </w:rPr>
                    <w:t>地理坐标</w:t>
                  </w:r>
                </w:p>
              </w:tc>
              <w:tc>
                <w:tcPr>
                  <w:tcW w:w="885" w:type="dxa"/>
                  <w:vAlign w:val="center"/>
                </w:tcPr>
                <w:p w14:paraId="715A015E">
                  <w:pPr>
                    <w:pStyle w:val="143"/>
                    <w:rPr>
                      <w:color w:val="auto"/>
                      <w:sz w:val="18"/>
                      <w:szCs w:val="18"/>
                    </w:rPr>
                  </w:pPr>
                  <w:r>
                    <w:rPr>
                      <w:color w:val="auto"/>
                      <w:sz w:val="18"/>
                      <w:szCs w:val="18"/>
                    </w:rPr>
                    <w:t>浓度限值（mg/m</w:t>
                  </w:r>
                  <w:r>
                    <w:rPr>
                      <w:color w:val="auto"/>
                      <w:sz w:val="18"/>
                      <w:szCs w:val="18"/>
                      <w:vertAlign w:val="superscript"/>
                    </w:rPr>
                    <w:t>3</w:t>
                  </w:r>
                  <w:r>
                    <w:rPr>
                      <w:color w:val="auto"/>
                      <w:sz w:val="18"/>
                      <w:szCs w:val="18"/>
                    </w:rPr>
                    <w:t>）</w:t>
                  </w:r>
                </w:p>
              </w:tc>
              <w:tc>
                <w:tcPr>
                  <w:tcW w:w="751" w:type="dxa"/>
                  <w:vAlign w:val="center"/>
                </w:tcPr>
                <w:p w14:paraId="7C7CD75C">
                  <w:pPr>
                    <w:pStyle w:val="143"/>
                    <w:rPr>
                      <w:color w:val="auto"/>
                      <w:sz w:val="18"/>
                      <w:szCs w:val="18"/>
                    </w:rPr>
                  </w:pPr>
                  <w:r>
                    <w:rPr>
                      <w:color w:val="auto"/>
                      <w:sz w:val="18"/>
                      <w:szCs w:val="18"/>
                    </w:rPr>
                    <w:t>速率（kg/h）</w:t>
                  </w:r>
                </w:p>
              </w:tc>
              <w:tc>
                <w:tcPr>
                  <w:tcW w:w="419" w:type="dxa"/>
                  <w:vMerge w:val="continue"/>
                  <w:vAlign w:val="center"/>
                </w:tcPr>
                <w:p w14:paraId="6D374DBE">
                  <w:pPr>
                    <w:pStyle w:val="143"/>
                    <w:rPr>
                      <w:color w:val="auto"/>
                      <w:sz w:val="18"/>
                      <w:szCs w:val="18"/>
                    </w:rPr>
                  </w:pPr>
                </w:p>
              </w:tc>
            </w:tr>
            <w:tr w14:paraId="62E41BA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342" w:type="dxa"/>
                  <w:vMerge w:val="restart"/>
                  <w:vAlign w:val="center"/>
                </w:tcPr>
                <w:p w14:paraId="14935AFE">
                  <w:pPr>
                    <w:pStyle w:val="143"/>
                    <w:rPr>
                      <w:color w:val="auto"/>
                      <w:sz w:val="18"/>
                      <w:szCs w:val="18"/>
                    </w:rPr>
                  </w:pPr>
                  <w:r>
                    <w:rPr>
                      <w:rFonts w:hint="eastAsia"/>
                      <w:color w:val="auto"/>
                      <w:sz w:val="18"/>
                      <w:szCs w:val="18"/>
                      <w:lang w:eastAsia="zh-CN"/>
                    </w:rPr>
                    <w:t>切割</w:t>
                  </w:r>
                </w:p>
              </w:tc>
              <w:tc>
                <w:tcPr>
                  <w:tcW w:w="563" w:type="dxa"/>
                  <w:vMerge w:val="restart"/>
                  <w:tcMar>
                    <w:top w:w="0" w:type="dxa"/>
                    <w:left w:w="28" w:type="dxa"/>
                    <w:bottom w:w="0" w:type="dxa"/>
                    <w:right w:w="28" w:type="dxa"/>
                  </w:tcMar>
                  <w:vAlign w:val="center"/>
                </w:tcPr>
                <w:p w14:paraId="19D735EE">
                  <w:pPr>
                    <w:pStyle w:val="143"/>
                    <w:rPr>
                      <w:rFonts w:hint="eastAsia"/>
                      <w:color w:val="auto"/>
                      <w:sz w:val="18"/>
                      <w:szCs w:val="18"/>
                      <w:lang w:eastAsia="zh-CN"/>
                    </w:rPr>
                  </w:pPr>
                  <w:r>
                    <w:rPr>
                      <w:rFonts w:hint="eastAsia"/>
                      <w:color w:val="auto"/>
                      <w:sz w:val="18"/>
                      <w:szCs w:val="18"/>
                      <w:lang w:val="en-US" w:eastAsia="zh-CN"/>
                    </w:rPr>
                    <w:t>80</w:t>
                  </w:r>
                </w:p>
              </w:tc>
              <w:tc>
                <w:tcPr>
                  <w:tcW w:w="688" w:type="dxa"/>
                  <w:vAlign w:val="center"/>
                </w:tcPr>
                <w:p w14:paraId="031D6066">
                  <w:pPr>
                    <w:pStyle w:val="143"/>
                    <w:rPr>
                      <w:rFonts w:hint="eastAsia" w:eastAsia="宋体"/>
                      <w:color w:val="auto"/>
                      <w:sz w:val="18"/>
                      <w:szCs w:val="18"/>
                      <w:lang w:eastAsia="zh-CN"/>
                    </w:rPr>
                  </w:pPr>
                  <w:r>
                    <w:rPr>
                      <w:color w:val="auto"/>
                      <w:sz w:val="18"/>
                      <w:szCs w:val="18"/>
                    </w:rPr>
                    <w:t>DA001排气筒</w:t>
                  </w:r>
                </w:p>
              </w:tc>
              <w:tc>
                <w:tcPr>
                  <w:tcW w:w="485" w:type="dxa"/>
                  <w:vMerge w:val="restart"/>
                  <w:vAlign w:val="center"/>
                </w:tcPr>
                <w:p w14:paraId="19E78FED">
                  <w:pPr>
                    <w:pStyle w:val="143"/>
                    <w:rPr>
                      <w:color w:val="auto"/>
                      <w:sz w:val="18"/>
                      <w:szCs w:val="18"/>
                    </w:rPr>
                  </w:pPr>
                  <w:r>
                    <w:rPr>
                      <w:color w:val="auto"/>
                      <w:sz w:val="18"/>
                      <w:szCs w:val="18"/>
                    </w:rPr>
                    <w:t>颗粒物</w:t>
                  </w:r>
                </w:p>
              </w:tc>
              <w:tc>
                <w:tcPr>
                  <w:tcW w:w="353" w:type="dxa"/>
                  <w:vMerge w:val="restart"/>
                  <w:vAlign w:val="center"/>
                </w:tcPr>
                <w:p w14:paraId="79CFD41B">
                  <w:pPr>
                    <w:pStyle w:val="143"/>
                    <w:rPr>
                      <w:rFonts w:hint="eastAsia" w:eastAsia="宋体"/>
                      <w:color w:val="auto"/>
                      <w:sz w:val="18"/>
                      <w:szCs w:val="18"/>
                      <w:lang w:eastAsia="zh-CN"/>
                    </w:rPr>
                  </w:pPr>
                  <w:r>
                    <w:rPr>
                      <w:rFonts w:hint="eastAsia"/>
                      <w:color w:val="auto"/>
                      <w:sz w:val="18"/>
                      <w:szCs w:val="18"/>
                      <w:lang w:eastAsia="zh-CN"/>
                    </w:rPr>
                    <w:t>系数法</w:t>
                  </w:r>
                </w:p>
              </w:tc>
              <w:tc>
                <w:tcPr>
                  <w:tcW w:w="732" w:type="dxa"/>
                  <w:vAlign w:val="center"/>
                </w:tcPr>
                <w:p w14:paraId="0C7242BD">
                  <w:pPr>
                    <w:pStyle w:val="143"/>
                    <w:rPr>
                      <w:rFonts w:hint="default" w:eastAsia="宋体"/>
                      <w:color w:val="auto"/>
                      <w:sz w:val="18"/>
                      <w:szCs w:val="18"/>
                      <w:lang w:val="en-US" w:eastAsia="zh-CN"/>
                    </w:rPr>
                  </w:pPr>
                  <w:r>
                    <w:rPr>
                      <w:rFonts w:hint="eastAsia"/>
                      <w:color w:val="auto"/>
                      <w:sz w:val="18"/>
                      <w:szCs w:val="18"/>
                      <w:lang w:val="en-US" w:eastAsia="zh-CN"/>
                    </w:rPr>
                    <w:t>226</w:t>
                  </w:r>
                </w:p>
              </w:tc>
              <w:tc>
                <w:tcPr>
                  <w:tcW w:w="539" w:type="dxa"/>
                  <w:vAlign w:val="center"/>
                </w:tcPr>
                <w:p w14:paraId="4CB0E539">
                  <w:pPr>
                    <w:pStyle w:val="119"/>
                    <w:rPr>
                      <w:rFonts w:hint="default" w:eastAsia="宋体"/>
                      <w:color w:val="auto"/>
                      <w:sz w:val="18"/>
                      <w:szCs w:val="18"/>
                      <w:lang w:val="en-US" w:eastAsia="zh-CN"/>
                    </w:rPr>
                  </w:pPr>
                  <w:r>
                    <w:rPr>
                      <w:rFonts w:hint="eastAsia"/>
                      <w:color w:val="auto"/>
                      <w:sz w:val="18"/>
                      <w:szCs w:val="18"/>
                      <w:lang w:val="en-US" w:eastAsia="zh-CN"/>
                    </w:rPr>
                    <w:t>3.256</w:t>
                  </w:r>
                </w:p>
              </w:tc>
              <w:tc>
                <w:tcPr>
                  <w:tcW w:w="564" w:type="dxa"/>
                  <w:vAlign w:val="center"/>
                </w:tcPr>
                <w:p w14:paraId="721B3740">
                  <w:pPr>
                    <w:pStyle w:val="119"/>
                    <w:rPr>
                      <w:rFonts w:hint="default" w:eastAsia="宋体"/>
                      <w:color w:val="auto"/>
                      <w:sz w:val="18"/>
                      <w:szCs w:val="18"/>
                      <w:lang w:val="en-US" w:eastAsia="zh-CN"/>
                    </w:rPr>
                  </w:pPr>
                  <w:r>
                    <w:rPr>
                      <w:rFonts w:hint="eastAsia"/>
                      <w:color w:val="auto"/>
                      <w:sz w:val="18"/>
                      <w:szCs w:val="18"/>
                      <w:lang w:val="en-US" w:eastAsia="zh-CN"/>
                    </w:rPr>
                    <w:t>1.13</w:t>
                  </w:r>
                </w:p>
              </w:tc>
              <w:tc>
                <w:tcPr>
                  <w:tcW w:w="625" w:type="dxa"/>
                  <w:vAlign w:val="center"/>
                </w:tcPr>
                <w:p w14:paraId="22593DAD">
                  <w:pPr>
                    <w:pStyle w:val="143"/>
                    <w:rPr>
                      <w:color w:val="auto"/>
                      <w:sz w:val="18"/>
                      <w:szCs w:val="18"/>
                    </w:rPr>
                  </w:pPr>
                  <w:r>
                    <w:rPr>
                      <w:color w:val="auto"/>
                      <w:sz w:val="18"/>
                      <w:szCs w:val="18"/>
                    </w:rPr>
                    <w:t>布袋除尘+</w:t>
                  </w:r>
                  <w:r>
                    <w:rPr>
                      <w:rFonts w:hint="eastAsia"/>
                      <w:color w:val="auto"/>
                      <w:sz w:val="18"/>
                      <w:szCs w:val="18"/>
                      <w:lang w:val="en-US" w:eastAsia="zh-CN"/>
                    </w:rPr>
                    <w:t>2</w:t>
                  </w:r>
                  <w:r>
                    <w:rPr>
                      <w:color w:val="auto"/>
                      <w:sz w:val="18"/>
                      <w:szCs w:val="18"/>
                    </w:rPr>
                    <w:t>5m排气筒</w:t>
                  </w:r>
                </w:p>
              </w:tc>
              <w:tc>
                <w:tcPr>
                  <w:tcW w:w="574" w:type="dxa"/>
                  <w:vAlign w:val="center"/>
                </w:tcPr>
                <w:p w14:paraId="7C6DA61D">
                  <w:pPr>
                    <w:pStyle w:val="143"/>
                    <w:rPr>
                      <w:color w:val="auto"/>
                      <w:sz w:val="18"/>
                      <w:szCs w:val="18"/>
                    </w:rPr>
                  </w:pPr>
                  <w:r>
                    <w:rPr>
                      <w:rFonts w:hint="eastAsia"/>
                      <w:color w:val="auto"/>
                      <w:sz w:val="18"/>
                      <w:szCs w:val="18"/>
                      <w:highlight w:val="none"/>
                      <w:lang w:val="en-US" w:eastAsia="zh-CN"/>
                    </w:rPr>
                    <w:t>25</w:t>
                  </w:r>
                  <w:r>
                    <w:rPr>
                      <w:color w:val="auto"/>
                      <w:sz w:val="18"/>
                      <w:szCs w:val="18"/>
                      <w:highlight w:val="none"/>
                    </w:rPr>
                    <w:t>000</w:t>
                  </w:r>
                </w:p>
              </w:tc>
              <w:tc>
                <w:tcPr>
                  <w:tcW w:w="451" w:type="dxa"/>
                  <w:vAlign w:val="center"/>
                </w:tcPr>
                <w:p w14:paraId="0845679A">
                  <w:pPr>
                    <w:pStyle w:val="143"/>
                    <w:rPr>
                      <w:rFonts w:hint="eastAsia" w:eastAsia="宋体"/>
                      <w:color w:val="auto"/>
                      <w:sz w:val="18"/>
                      <w:szCs w:val="18"/>
                      <w:lang w:eastAsia="zh-CN"/>
                    </w:rPr>
                  </w:pPr>
                  <w:r>
                    <w:rPr>
                      <w:color w:val="auto"/>
                      <w:sz w:val="18"/>
                      <w:szCs w:val="18"/>
                    </w:rPr>
                    <w:t>9</w:t>
                  </w:r>
                  <w:r>
                    <w:rPr>
                      <w:rFonts w:hint="eastAsia"/>
                      <w:color w:val="auto"/>
                      <w:sz w:val="18"/>
                      <w:szCs w:val="18"/>
                      <w:lang w:val="en-US" w:eastAsia="zh-CN"/>
                    </w:rPr>
                    <w:t>5</w:t>
                  </w:r>
                </w:p>
              </w:tc>
              <w:tc>
                <w:tcPr>
                  <w:tcW w:w="419" w:type="dxa"/>
                  <w:vAlign w:val="center"/>
                </w:tcPr>
                <w:p w14:paraId="387745C9">
                  <w:pPr>
                    <w:pStyle w:val="143"/>
                    <w:rPr>
                      <w:color w:val="auto"/>
                      <w:sz w:val="18"/>
                      <w:szCs w:val="18"/>
                    </w:rPr>
                  </w:pPr>
                  <w:r>
                    <w:rPr>
                      <w:color w:val="auto"/>
                      <w:sz w:val="18"/>
                      <w:szCs w:val="18"/>
                    </w:rPr>
                    <w:t>是</w:t>
                  </w:r>
                </w:p>
              </w:tc>
              <w:tc>
                <w:tcPr>
                  <w:tcW w:w="544" w:type="dxa"/>
                  <w:shd w:val="clear" w:color="auto" w:fill="auto"/>
                  <w:vAlign w:val="center"/>
                </w:tcPr>
                <w:p w14:paraId="5718CBFC">
                  <w:pPr>
                    <w:pStyle w:val="143"/>
                    <w:rPr>
                      <w:color w:val="auto"/>
                      <w:sz w:val="18"/>
                      <w:szCs w:val="18"/>
                      <w:highlight w:val="none"/>
                    </w:rPr>
                  </w:pPr>
                  <w:r>
                    <w:rPr>
                      <w:rFonts w:hint="eastAsia"/>
                      <w:color w:val="auto"/>
                      <w:sz w:val="18"/>
                      <w:szCs w:val="18"/>
                      <w:highlight w:val="none"/>
                      <w:lang w:val="en-US" w:eastAsia="zh-CN"/>
                    </w:rPr>
                    <w:t>25</w:t>
                  </w:r>
                  <w:r>
                    <w:rPr>
                      <w:color w:val="auto"/>
                      <w:sz w:val="18"/>
                      <w:szCs w:val="18"/>
                      <w:highlight w:val="none"/>
                    </w:rPr>
                    <w:t>000</w:t>
                  </w:r>
                </w:p>
              </w:tc>
              <w:tc>
                <w:tcPr>
                  <w:tcW w:w="696" w:type="dxa"/>
                  <w:shd w:val="clear" w:color="auto" w:fill="auto"/>
                  <w:vAlign w:val="center"/>
                </w:tcPr>
                <w:p w14:paraId="76935AF1">
                  <w:pPr>
                    <w:pStyle w:val="143"/>
                    <w:rPr>
                      <w:rFonts w:hint="eastAsia" w:eastAsia="宋体"/>
                      <w:color w:val="auto"/>
                      <w:sz w:val="18"/>
                      <w:szCs w:val="18"/>
                      <w:highlight w:val="none"/>
                      <w:lang w:eastAsia="zh-CN"/>
                    </w:rPr>
                  </w:pPr>
                  <w:r>
                    <w:rPr>
                      <w:rFonts w:hint="eastAsia"/>
                      <w:color w:val="auto"/>
                      <w:sz w:val="18"/>
                      <w:szCs w:val="18"/>
                      <w:highlight w:val="none"/>
                      <w:lang w:val="en-US" w:eastAsia="zh-CN"/>
                    </w:rPr>
                    <w:t>1.8</w:t>
                  </w:r>
                </w:p>
              </w:tc>
              <w:tc>
                <w:tcPr>
                  <w:tcW w:w="564" w:type="dxa"/>
                  <w:shd w:val="clear" w:color="auto" w:fill="auto"/>
                  <w:vAlign w:val="center"/>
                </w:tcPr>
                <w:p w14:paraId="002D0EF2">
                  <w:pPr>
                    <w:pStyle w:val="143"/>
                    <w:rPr>
                      <w:rFonts w:hint="default" w:eastAsia="宋体"/>
                      <w:color w:val="auto"/>
                      <w:sz w:val="18"/>
                      <w:szCs w:val="18"/>
                      <w:highlight w:val="none"/>
                      <w:lang w:val="en-US" w:eastAsia="zh-CN"/>
                    </w:rPr>
                  </w:pPr>
                  <w:r>
                    <w:rPr>
                      <w:rFonts w:hint="eastAsia"/>
                      <w:color w:val="auto"/>
                      <w:sz w:val="18"/>
                      <w:szCs w:val="18"/>
                      <w:highlight w:val="none"/>
                      <w:lang w:val="en-US" w:eastAsia="zh-CN"/>
                    </w:rPr>
                    <w:t>0.163</w:t>
                  </w:r>
                </w:p>
              </w:tc>
              <w:tc>
                <w:tcPr>
                  <w:tcW w:w="530" w:type="dxa"/>
                  <w:shd w:val="clear" w:color="auto" w:fill="auto"/>
                  <w:vAlign w:val="center"/>
                </w:tcPr>
                <w:p w14:paraId="0802B95D">
                  <w:pPr>
                    <w:pStyle w:val="143"/>
                    <w:rPr>
                      <w:rFonts w:hint="default" w:eastAsia="宋体"/>
                      <w:color w:val="auto"/>
                      <w:sz w:val="18"/>
                      <w:szCs w:val="18"/>
                      <w:highlight w:val="none"/>
                      <w:lang w:val="en-US" w:eastAsia="zh-CN"/>
                    </w:rPr>
                  </w:pPr>
                  <w:r>
                    <w:rPr>
                      <w:rFonts w:hint="eastAsia"/>
                      <w:color w:val="auto"/>
                      <w:sz w:val="18"/>
                      <w:szCs w:val="18"/>
                      <w:highlight w:val="none"/>
                      <w:lang w:val="en-US" w:eastAsia="zh-CN"/>
                    </w:rPr>
                    <w:t>0.045</w:t>
                  </w:r>
                </w:p>
              </w:tc>
              <w:tc>
                <w:tcPr>
                  <w:tcW w:w="483" w:type="dxa"/>
                  <w:shd w:val="clear" w:color="auto" w:fill="auto"/>
                  <w:vAlign w:val="center"/>
                </w:tcPr>
                <w:p w14:paraId="7026B3EE">
                  <w:pPr>
                    <w:pStyle w:val="143"/>
                    <w:rPr>
                      <w:color w:val="auto"/>
                      <w:sz w:val="18"/>
                      <w:szCs w:val="18"/>
                      <w:highlight w:val="none"/>
                    </w:rPr>
                  </w:pPr>
                  <w:r>
                    <w:rPr>
                      <w:rFonts w:hint="eastAsia"/>
                      <w:color w:val="auto"/>
                      <w:sz w:val="18"/>
                      <w:szCs w:val="18"/>
                      <w:highlight w:val="none"/>
                      <w:lang w:val="en-US" w:eastAsia="zh-CN"/>
                    </w:rPr>
                    <w:t>360</w:t>
                  </w:r>
                  <w:r>
                    <w:rPr>
                      <w:color w:val="auto"/>
                      <w:sz w:val="18"/>
                      <w:szCs w:val="18"/>
                      <w:highlight w:val="none"/>
                    </w:rPr>
                    <w:t>0</w:t>
                  </w:r>
                </w:p>
              </w:tc>
              <w:tc>
                <w:tcPr>
                  <w:tcW w:w="477" w:type="dxa"/>
                  <w:shd w:val="clear" w:color="auto" w:fill="auto"/>
                  <w:vAlign w:val="center"/>
                </w:tcPr>
                <w:p w14:paraId="587ADDAD">
                  <w:pPr>
                    <w:pStyle w:val="143"/>
                    <w:rPr>
                      <w:color w:val="auto"/>
                      <w:sz w:val="18"/>
                      <w:szCs w:val="18"/>
                      <w:highlight w:val="none"/>
                    </w:rPr>
                  </w:pPr>
                  <w:r>
                    <w:rPr>
                      <w:color w:val="auto"/>
                      <w:sz w:val="18"/>
                      <w:szCs w:val="18"/>
                      <w:highlight w:val="none"/>
                    </w:rPr>
                    <w:t>DA001</w:t>
                  </w:r>
                </w:p>
              </w:tc>
              <w:tc>
                <w:tcPr>
                  <w:tcW w:w="374" w:type="dxa"/>
                  <w:shd w:val="clear" w:color="auto" w:fill="auto"/>
                  <w:vAlign w:val="center"/>
                </w:tcPr>
                <w:p w14:paraId="718B7E4E">
                  <w:pPr>
                    <w:pStyle w:val="143"/>
                    <w:rPr>
                      <w:color w:val="auto"/>
                      <w:sz w:val="18"/>
                      <w:szCs w:val="18"/>
                      <w:highlight w:val="none"/>
                    </w:rPr>
                  </w:pPr>
                  <w:r>
                    <w:rPr>
                      <w:rFonts w:hint="eastAsia"/>
                      <w:color w:val="auto"/>
                      <w:sz w:val="18"/>
                      <w:szCs w:val="18"/>
                      <w:highlight w:val="none"/>
                      <w:lang w:val="en-US" w:eastAsia="zh-CN"/>
                    </w:rPr>
                    <w:t>2</w:t>
                  </w:r>
                  <w:r>
                    <w:rPr>
                      <w:color w:val="auto"/>
                      <w:sz w:val="18"/>
                      <w:szCs w:val="18"/>
                      <w:highlight w:val="none"/>
                    </w:rPr>
                    <w:t>5</w:t>
                  </w:r>
                </w:p>
              </w:tc>
              <w:tc>
                <w:tcPr>
                  <w:tcW w:w="375" w:type="dxa"/>
                  <w:vAlign w:val="center"/>
                </w:tcPr>
                <w:p w14:paraId="060018FE">
                  <w:pPr>
                    <w:pStyle w:val="143"/>
                    <w:rPr>
                      <w:color w:val="auto"/>
                      <w:sz w:val="18"/>
                      <w:szCs w:val="18"/>
                      <w:highlight w:val="none"/>
                    </w:rPr>
                  </w:pPr>
                  <w:r>
                    <w:rPr>
                      <w:color w:val="auto"/>
                      <w:sz w:val="18"/>
                      <w:szCs w:val="18"/>
                      <w:highlight w:val="none"/>
                    </w:rPr>
                    <w:t>0.</w:t>
                  </w:r>
                  <w:r>
                    <w:rPr>
                      <w:rFonts w:hint="eastAsia"/>
                      <w:color w:val="auto"/>
                      <w:sz w:val="18"/>
                      <w:szCs w:val="18"/>
                      <w:highlight w:val="none"/>
                      <w:lang w:val="en-US" w:eastAsia="zh-CN"/>
                    </w:rPr>
                    <w:t>8</w:t>
                  </w:r>
                </w:p>
              </w:tc>
              <w:tc>
                <w:tcPr>
                  <w:tcW w:w="407" w:type="dxa"/>
                  <w:vAlign w:val="center"/>
                </w:tcPr>
                <w:p w14:paraId="1D0112F5">
                  <w:pPr>
                    <w:pStyle w:val="143"/>
                    <w:rPr>
                      <w:color w:val="auto"/>
                      <w:sz w:val="18"/>
                      <w:szCs w:val="18"/>
                      <w:highlight w:val="none"/>
                    </w:rPr>
                  </w:pPr>
                  <w:r>
                    <w:rPr>
                      <w:color w:val="auto"/>
                      <w:sz w:val="18"/>
                      <w:szCs w:val="18"/>
                      <w:highlight w:val="none"/>
                    </w:rPr>
                    <w:t>25</w:t>
                  </w:r>
                </w:p>
              </w:tc>
              <w:tc>
                <w:tcPr>
                  <w:tcW w:w="1171" w:type="dxa"/>
                  <w:vAlign w:val="center"/>
                </w:tcPr>
                <w:p w14:paraId="0CFEBD54">
                  <w:pPr>
                    <w:pStyle w:val="143"/>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119°18′7.741；25°59′53.668″</w:t>
                  </w:r>
                </w:p>
              </w:tc>
              <w:tc>
                <w:tcPr>
                  <w:tcW w:w="885" w:type="dxa"/>
                  <w:vAlign w:val="center"/>
                </w:tcPr>
                <w:p w14:paraId="5BA22056">
                  <w:pPr>
                    <w:pStyle w:val="143"/>
                    <w:rPr>
                      <w:color w:val="auto"/>
                      <w:sz w:val="18"/>
                      <w:szCs w:val="18"/>
                    </w:rPr>
                  </w:pPr>
                  <w:r>
                    <w:rPr>
                      <w:rFonts w:hint="eastAsia"/>
                      <w:color w:val="auto"/>
                      <w:sz w:val="18"/>
                      <w:szCs w:val="18"/>
                    </w:rPr>
                    <w:t>1</w:t>
                  </w:r>
                  <w:r>
                    <w:rPr>
                      <w:color w:val="auto"/>
                      <w:sz w:val="18"/>
                      <w:szCs w:val="18"/>
                    </w:rPr>
                    <w:t>20</w:t>
                  </w:r>
                </w:p>
              </w:tc>
              <w:tc>
                <w:tcPr>
                  <w:tcW w:w="751" w:type="dxa"/>
                  <w:vAlign w:val="center"/>
                </w:tcPr>
                <w:p w14:paraId="140ADCFA">
                  <w:pPr>
                    <w:pStyle w:val="143"/>
                    <w:rPr>
                      <w:rFonts w:hint="default" w:eastAsia="宋体"/>
                      <w:color w:val="auto"/>
                      <w:sz w:val="18"/>
                      <w:szCs w:val="18"/>
                      <w:lang w:val="en-US" w:eastAsia="zh-CN"/>
                    </w:rPr>
                  </w:pPr>
                  <w:r>
                    <w:rPr>
                      <w:rFonts w:hint="eastAsia"/>
                      <w:color w:val="auto"/>
                      <w:sz w:val="18"/>
                      <w:szCs w:val="18"/>
                      <w:lang w:val="en-US" w:eastAsia="zh-CN"/>
                    </w:rPr>
                    <w:t>7.225</w:t>
                  </w:r>
                </w:p>
              </w:tc>
              <w:tc>
                <w:tcPr>
                  <w:tcW w:w="419" w:type="dxa"/>
                  <w:vAlign w:val="center"/>
                </w:tcPr>
                <w:p w14:paraId="12F034BE">
                  <w:pPr>
                    <w:pStyle w:val="143"/>
                    <w:rPr>
                      <w:color w:val="auto"/>
                      <w:sz w:val="18"/>
                      <w:szCs w:val="18"/>
                    </w:rPr>
                  </w:pPr>
                  <w:r>
                    <w:rPr>
                      <w:color w:val="auto"/>
                      <w:sz w:val="18"/>
                      <w:szCs w:val="18"/>
                    </w:rPr>
                    <w:t>达标</w:t>
                  </w:r>
                </w:p>
              </w:tc>
            </w:tr>
            <w:tr w14:paraId="0A1422D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342" w:type="dxa"/>
                  <w:vMerge w:val="continue"/>
                  <w:vAlign w:val="center"/>
                </w:tcPr>
                <w:p w14:paraId="76D713F3">
                  <w:pPr>
                    <w:pStyle w:val="143"/>
                    <w:rPr>
                      <w:color w:val="auto"/>
                      <w:sz w:val="18"/>
                      <w:szCs w:val="18"/>
                    </w:rPr>
                  </w:pPr>
                </w:p>
              </w:tc>
              <w:tc>
                <w:tcPr>
                  <w:tcW w:w="563" w:type="dxa"/>
                  <w:vMerge w:val="continue"/>
                  <w:tcMar>
                    <w:top w:w="0" w:type="dxa"/>
                    <w:left w:w="28" w:type="dxa"/>
                    <w:bottom w:w="0" w:type="dxa"/>
                    <w:right w:w="28" w:type="dxa"/>
                  </w:tcMar>
                  <w:vAlign w:val="center"/>
                </w:tcPr>
                <w:p w14:paraId="399A071A">
                  <w:pPr>
                    <w:pStyle w:val="143"/>
                    <w:rPr>
                      <w:rFonts w:hint="eastAsia"/>
                      <w:color w:val="auto"/>
                      <w:sz w:val="18"/>
                      <w:szCs w:val="18"/>
                      <w:lang w:eastAsia="zh-CN"/>
                    </w:rPr>
                  </w:pPr>
                </w:p>
              </w:tc>
              <w:tc>
                <w:tcPr>
                  <w:tcW w:w="688" w:type="dxa"/>
                  <w:vAlign w:val="center"/>
                </w:tcPr>
                <w:p w14:paraId="00E55FE6">
                  <w:pPr>
                    <w:pStyle w:val="143"/>
                    <w:rPr>
                      <w:rFonts w:hint="eastAsia" w:eastAsia="宋体"/>
                      <w:color w:val="auto"/>
                      <w:sz w:val="18"/>
                      <w:szCs w:val="18"/>
                      <w:lang w:eastAsia="zh-CN"/>
                    </w:rPr>
                  </w:pPr>
                  <w:r>
                    <w:rPr>
                      <w:rFonts w:hint="eastAsia"/>
                      <w:color w:val="auto"/>
                      <w:sz w:val="18"/>
                      <w:szCs w:val="18"/>
                      <w:lang w:eastAsia="zh-CN"/>
                    </w:rPr>
                    <w:t>无组织</w:t>
                  </w:r>
                </w:p>
              </w:tc>
              <w:tc>
                <w:tcPr>
                  <w:tcW w:w="485" w:type="dxa"/>
                  <w:vMerge w:val="continue"/>
                  <w:vAlign w:val="center"/>
                </w:tcPr>
                <w:p w14:paraId="67D6878C">
                  <w:pPr>
                    <w:pStyle w:val="143"/>
                    <w:rPr>
                      <w:color w:val="auto"/>
                      <w:sz w:val="18"/>
                      <w:szCs w:val="18"/>
                    </w:rPr>
                  </w:pPr>
                </w:p>
              </w:tc>
              <w:tc>
                <w:tcPr>
                  <w:tcW w:w="353" w:type="dxa"/>
                  <w:vMerge w:val="continue"/>
                  <w:vAlign w:val="center"/>
                </w:tcPr>
                <w:p w14:paraId="7DEDDFFD">
                  <w:pPr>
                    <w:pStyle w:val="143"/>
                    <w:rPr>
                      <w:rFonts w:hint="eastAsia"/>
                      <w:color w:val="auto"/>
                      <w:sz w:val="18"/>
                      <w:szCs w:val="18"/>
                      <w:lang w:eastAsia="zh-CN"/>
                    </w:rPr>
                  </w:pPr>
                </w:p>
              </w:tc>
              <w:tc>
                <w:tcPr>
                  <w:tcW w:w="732" w:type="dxa"/>
                  <w:vAlign w:val="center"/>
                </w:tcPr>
                <w:p w14:paraId="36911844">
                  <w:pPr>
                    <w:pStyle w:val="143"/>
                    <w:rPr>
                      <w:rFonts w:hint="eastAsia" w:eastAsia="宋体"/>
                      <w:color w:val="auto"/>
                      <w:sz w:val="18"/>
                      <w:szCs w:val="18"/>
                      <w:lang w:eastAsia="zh-CN"/>
                    </w:rPr>
                  </w:pPr>
                  <w:r>
                    <w:rPr>
                      <w:rFonts w:hint="eastAsia"/>
                      <w:color w:val="auto"/>
                      <w:sz w:val="18"/>
                      <w:szCs w:val="18"/>
                      <w:lang w:val="en-US" w:eastAsia="zh-CN"/>
                    </w:rPr>
                    <w:t>/</w:t>
                  </w:r>
                </w:p>
              </w:tc>
              <w:tc>
                <w:tcPr>
                  <w:tcW w:w="539" w:type="dxa"/>
                  <w:vAlign w:val="center"/>
                </w:tcPr>
                <w:p w14:paraId="5C8D0C57">
                  <w:pPr>
                    <w:pStyle w:val="119"/>
                    <w:rPr>
                      <w:rFonts w:hint="default" w:eastAsia="宋体"/>
                      <w:color w:val="auto"/>
                      <w:sz w:val="18"/>
                      <w:szCs w:val="18"/>
                      <w:lang w:val="en-US" w:eastAsia="zh-CN"/>
                    </w:rPr>
                  </w:pPr>
                  <w:r>
                    <w:rPr>
                      <w:rFonts w:hint="eastAsia"/>
                      <w:color w:val="auto"/>
                      <w:sz w:val="18"/>
                      <w:szCs w:val="18"/>
                      <w:lang w:val="en-US" w:eastAsia="zh-CN"/>
                    </w:rPr>
                    <w:t>0.814</w:t>
                  </w:r>
                </w:p>
              </w:tc>
              <w:tc>
                <w:tcPr>
                  <w:tcW w:w="564" w:type="dxa"/>
                  <w:vAlign w:val="center"/>
                </w:tcPr>
                <w:p w14:paraId="2EE75EE4">
                  <w:pPr>
                    <w:pStyle w:val="119"/>
                    <w:rPr>
                      <w:rFonts w:hint="default" w:eastAsia="宋体"/>
                      <w:color w:val="auto"/>
                      <w:sz w:val="18"/>
                      <w:szCs w:val="18"/>
                      <w:lang w:val="en-US" w:eastAsia="zh-CN"/>
                    </w:rPr>
                  </w:pPr>
                  <w:r>
                    <w:rPr>
                      <w:rFonts w:hint="eastAsia"/>
                      <w:color w:val="auto"/>
                      <w:sz w:val="18"/>
                      <w:szCs w:val="18"/>
                      <w:lang w:val="en-US" w:eastAsia="zh-CN"/>
                    </w:rPr>
                    <w:t>0.226</w:t>
                  </w:r>
                </w:p>
              </w:tc>
              <w:tc>
                <w:tcPr>
                  <w:tcW w:w="625" w:type="dxa"/>
                  <w:vAlign w:val="center"/>
                </w:tcPr>
                <w:p w14:paraId="3831100D">
                  <w:pPr>
                    <w:pStyle w:val="143"/>
                    <w:rPr>
                      <w:rFonts w:hint="eastAsia" w:eastAsia="宋体"/>
                      <w:color w:val="auto"/>
                      <w:sz w:val="18"/>
                      <w:szCs w:val="18"/>
                      <w:lang w:val="en-US" w:eastAsia="zh-CN"/>
                    </w:rPr>
                  </w:pPr>
                  <w:r>
                    <w:rPr>
                      <w:rFonts w:hint="eastAsia"/>
                      <w:color w:val="auto"/>
                      <w:sz w:val="18"/>
                      <w:szCs w:val="18"/>
                      <w:lang w:val="en-US" w:eastAsia="zh-CN"/>
                    </w:rPr>
                    <w:t>/</w:t>
                  </w:r>
                </w:p>
              </w:tc>
              <w:tc>
                <w:tcPr>
                  <w:tcW w:w="574" w:type="dxa"/>
                  <w:vAlign w:val="center"/>
                </w:tcPr>
                <w:p w14:paraId="6191908B">
                  <w:pPr>
                    <w:pStyle w:val="143"/>
                    <w:rPr>
                      <w:rFonts w:hint="eastAsia" w:eastAsia="宋体"/>
                      <w:color w:val="auto"/>
                      <w:sz w:val="18"/>
                      <w:szCs w:val="18"/>
                      <w:lang w:val="en-US" w:eastAsia="zh-CN"/>
                    </w:rPr>
                  </w:pPr>
                  <w:r>
                    <w:rPr>
                      <w:rFonts w:hint="eastAsia"/>
                      <w:color w:val="auto"/>
                      <w:sz w:val="18"/>
                      <w:szCs w:val="18"/>
                      <w:highlight w:val="none"/>
                      <w:lang w:val="en-US" w:eastAsia="zh-CN"/>
                    </w:rPr>
                    <w:t>/</w:t>
                  </w:r>
                </w:p>
              </w:tc>
              <w:tc>
                <w:tcPr>
                  <w:tcW w:w="451" w:type="dxa"/>
                  <w:vAlign w:val="center"/>
                </w:tcPr>
                <w:p w14:paraId="081DAD5F">
                  <w:pPr>
                    <w:pStyle w:val="143"/>
                    <w:rPr>
                      <w:rFonts w:hint="eastAsia" w:eastAsia="宋体"/>
                      <w:color w:val="auto"/>
                      <w:sz w:val="18"/>
                      <w:szCs w:val="18"/>
                      <w:lang w:val="en-US" w:eastAsia="zh-CN"/>
                    </w:rPr>
                  </w:pPr>
                  <w:r>
                    <w:rPr>
                      <w:rFonts w:hint="eastAsia"/>
                      <w:color w:val="auto"/>
                      <w:sz w:val="18"/>
                      <w:szCs w:val="18"/>
                      <w:lang w:val="en-US" w:eastAsia="zh-CN"/>
                    </w:rPr>
                    <w:t>/</w:t>
                  </w:r>
                </w:p>
              </w:tc>
              <w:tc>
                <w:tcPr>
                  <w:tcW w:w="419" w:type="dxa"/>
                  <w:vAlign w:val="center"/>
                </w:tcPr>
                <w:p w14:paraId="326F7D3F">
                  <w:pPr>
                    <w:pStyle w:val="143"/>
                    <w:rPr>
                      <w:rFonts w:hint="eastAsia" w:eastAsia="宋体"/>
                      <w:color w:val="auto"/>
                      <w:sz w:val="18"/>
                      <w:szCs w:val="18"/>
                      <w:lang w:val="en-US" w:eastAsia="zh-CN"/>
                    </w:rPr>
                  </w:pPr>
                  <w:r>
                    <w:rPr>
                      <w:rFonts w:hint="eastAsia"/>
                      <w:color w:val="auto"/>
                      <w:sz w:val="18"/>
                      <w:szCs w:val="18"/>
                      <w:lang w:val="en-US" w:eastAsia="zh-CN"/>
                    </w:rPr>
                    <w:t>/</w:t>
                  </w:r>
                </w:p>
              </w:tc>
              <w:tc>
                <w:tcPr>
                  <w:tcW w:w="544" w:type="dxa"/>
                  <w:vAlign w:val="center"/>
                </w:tcPr>
                <w:p w14:paraId="259D8C19">
                  <w:pPr>
                    <w:pStyle w:val="143"/>
                    <w:rPr>
                      <w:rFonts w:hint="eastAsia" w:eastAsia="宋体"/>
                      <w:color w:val="auto"/>
                      <w:sz w:val="18"/>
                      <w:szCs w:val="18"/>
                      <w:highlight w:val="none"/>
                      <w:lang w:val="en-US" w:eastAsia="zh-CN"/>
                    </w:rPr>
                  </w:pPr>
                  <w:r>
                    <w:rPr>
                      <w:rFonts w:hint="eastAsia"/>
                      <w:color w:val="auto"/>
                      <w:sz w:val="18"/>
                      <w:szCs w:val="18"/>
                      <w:highlight w:val="none"/>
                      <w:lang w:val="en-US" w:eastAsia="zh-CN"/>
                    </w:rPr>
                    <w:t>/</w:t>
                  </w:r>
                </w:p>
              </w:tc>
              <w:tc>
                <w:tcPr>
                  <w:tcW w:w="696" w:type="dxa"/>
                  <w:vAlign w:val="center"/>
                </w:tcPr>
                <w:p w14:paraId="4CF2DFB3">
                  <w:pPr>
                    <w:pStyle w:val="143"/>
                    <w:rPr>
                      <w:rFonts w:hint="eastAsia" w:eastAsia="宋体"/>
                      <w:color w:val="auto"/>
                      <w:sz w:val="18"/>
                      <w:szCs w:val="18"/>
                      <w:highlight w:val="none"/>
                      <w:lang w:val="en-US" w:eastAsia="zh-CN"/>
                    </w:rPr>
                  </w:pPr>
                  <w:r>
                    <w:rPr>
                      <w:rFonts w:hint="eastAsia"/>
                      <w:color w:val="auto"/>
                      <w:sz w:val="18"/>
                      <w:szCs w:val="18"/>
                      <w:highlight w:val="none"/>
                      <w:lang w:val="en-US" w:eastAsia="zh-CN"/>
                    </w:rPr>
                    <w:t>/</w:t>
                  </w:r>
                </w:p>
              </w:tc>
              <w:tc>
                <w:tcPr>
                  <w:tcW w:w="564" w:type="dxa"/>
                  <w:vAlign w:val="center"/>
                </w:tcPr>
                <w:p w14:paraId="11DFFDDD">
                  <w:pPr>
                    <w:pStyle w:val="119"/>
                    <w:rPr>
                      <w:rFonts w:hint="eastAsia"/>
                      <w:color w:val="auto"/>
                      <w:sz w:val="18"/>
                      <w:szCs w:val="18"/>
                    </w:rPr>
                  </w:pPr>
                  <w:r>
                    <w:rPr>
                      <w:rFonts w:hint="eastAsia"/>
                      <w:color w:val="auto"/>
                      <w:sz w:val="18"/>
                      <w:szCs w:val="18"/>
                      <w:lang w:val="en-US" w:eastAsia="zh-CN"/>
                    </w:rPr>
                    <w:t>0.814</w:t>
                  </w:r>
                </w:p>
              </w:tc>
              <w:tc>
                <w:tcPr>
                  <w:tcW w:w="530" w:type="dxa"/>
                  <w:vAlign w:val="center"/>
                </w:tcPr>
                <w:p w14:paraId="18886B59">
                  <w:pPr>
                    <w:pStyle w:val="119"/>
                    <w:rPr>
                      <w:rFonts w:hint="eastAsia"/>
                      <w:color w:val="auto"/>
                      <w:sz w:val="18"/>
                      <w:szCs w:val="18"/>
                    </w:rPr>
                  </w:pPr>
                  <w:r>
                    <w:rPr>
                      <w:rFonts w:hint="eastAsia"/>
                      <w:color w:val="auto"/>
                      <w:sz w:val="18"/>
                      <w:szCs w:val="18"/>
                      <w:lang w:val="en-US" w:eastAsia="zh-CN"/>
                    </w:rPr>
                    <w:t>0.226</w:t>
                  </w:r>
                </w:p>
              </w:tc>
              <w:tc>
                <w:tcPr>
                  <w:tcW w:w="483" w:type="dxa"/>
                  <w:vAlign w:val="center"/>
                </w:tcPr>
                <w:p w14:paraId="73AB7A72">
                  <w:pPr>
                    <w:pStyle w:val="143"/>
                    <w:rPr>
                      <w:rFonts w:hint="eastAsia" w:eastAsia="宋体"/>
                      <w:color w:val="auto"/>
                      <w:sz w:val="18"/>
                      <w:szCs w:val="18"/>
                      <w:lang w:val="en-US" w:eastAsia="zh-CN"/>
                    </w:rPr>
                  </w:pPr>
                  <w:r>
                    <w:rPr>
                      <w:rFonts w:hint="eastAsia"/>
                      <w:color w:val="auto"/>
                      <w:sz w:val="18"/>
                      <w:szCs w:val="18"/>
                      <w:lang w:val="en-US" w:eastAsia="zh-CN"/>
                    </w:rPr>
                    <w:t>/</w:t>
                  </w:r>
                </w:p>
              </w:tc>
              <w:tc>
                <w:tcPr>
                  <w:tcW w:w="477" w:type="dxa"/>
                  <w:vAlign w:val="center"/>
                </w:tcPr>
                <w:p w14:paraId="03274DAD">
                  <w:pPr>
                    <w:pStyle w:val="143"/>
                    <w:rPr>
                      <w:rFonts w:hint="eastAsia" w:eastAsia="宋体"/>
                      <w:color w:val="auto"/>
                      <w:sz w:val="18"/>
                      <w:szCs w:val="18"/>
                      <w:lang w:val="en-US" w:eastAsia="zh-CN"/>
                    </w:rPr>
                  </w:pPr>
                  <w:r>
                    <w:rPr>
                      <w:rFonts w:hint="eastAsia"/>
                      <w:color w:val="auto"/>
                      <w:sz w:val="18"/>
                      <w:szCs w:val="18"/>
                      <w:lang w:val="en-US" w:eastAsia="zh-CN"/>
                    </w:rPr>
                    <w:t>/</w:t>
                  </w:r>
                </w:p>
              </w:tc>
              <w:tc>
                <w:tcPr>
                  <w:tcW w:w="374" w:type="dxa"/>
                  <w:vAlign w:val="center"/>
                </w:tcPr>
                <w:p w14:paraId="7B3B6DA3">
                  <w:pPr>
                    <w:pStyle w:val="143"/>
                    <w:rPr>
                      <w:rFonts w:hint="eastAsia" w:eastAsia="宋体"/>
                      <w:color w:val="auto"/>
                      <w:sz w:val="18"/>
                      <w:szCs w:val="18"/>
                      <w:highlight w:val="none"/>
                      <w:lang w:val="en-US" w:eastAsia="zh-CN"/>
                    </w:rPr>
                  </w:pPr>
                  <w:r>
                    <w:rPr>
                      <w:rFonts w:hint="eastAsia"/>
                      <w:color w:val="auto"/>
                      <w:sz w:val="18"/>
                      <w:szCs w:val="18"/>
                      <w:highlight w:val="none"/>
                      <w:lang w:val="en-US" w:eastAsia="zh-CN"/>
                    </w:rPr>
                    <w:t>/</w:t>
                  </w:r>
                </w:p>
              </w:tc>
              <w:tc>
                <w:tcPr>
                  <w:tcW w:w="375" w:type="dxa"/>
                  <w:vAlign w:val="center"/>
                </w:tcPr>
                <w:p w14:paraId="38E4FDCE">
                  <w:pPr>
                    <w:pStyle w:val="143"/>
                    <w:rPr>
                      <w:rFonts w:hint="eastAsia" w:eastAsia="宋体"/>
                      <w:color w:val="auto"/>
                      <w:sz w:val="18"/>
                      <w:szCs w:val="18"/>
                      <w:highlight w:val="none"/>
                      <w:lang w:val="en-US" w:eastAsia="zh-CN"/>
                    </w:rPr>
                  </w:pPr>
                  <w:r>
                    <w:rPr>
                      <w:rFonts w:hint="eastAsia"/>
                      <w:color w:val="auto"/>
                      <w:sz w:val="18"/>
                      <w:szCs w:val="18"/>
                      <w:highlight w:val="none"/>
                      <w:lang w:val="en-US" w:eastAsia="zh-CN"/>
                    </w:rPr>
                    <w:t>/</w:t>
                  </w:r>
                </w:p>
              </w:tc>
              <w:tc>
                <w:tcPr>
                  <w:tcW w:w="407" w:type="dxa"/>
                  <w:vAlign w:val="center"/>
                </w:tcPr>
                <w:p w14:paraId="114C147B">
                  <w:pPr>
                    <w:pStyle w:val="143"/>
                    <w:rPr>
                      <w:rFonts w:hint="eastAsia" w:eastAsia="宋体"/>
                      <w:color w:val="auto"/>
                      <w:sz w:val="18"/>
                      <w:szCs w:val="18"/>
                      <w:highlight w:val="none"/>
                      <w:lang w:val="en-US" w:eastAsia="zh-CN"/>
                    </w:rPr>
                  </w:pPr>
                  <w:r>
                    <w:rPr>
                      <w:rFonts w:hint="eastAsia"/>
                      <w:color w:val="auto"/>
                      <w:sz w:val="18"/>
                      <w:szCs w:val="18"/>
                      <w:highlight w:val="none"/>
                      <w:lang w:val="en-US" w:eastAsia="zh-CN"/>
                    </w:rPr>
                    <w:t>/</w:t>
                  </w:r>
                </w:p>
              </w:tc>
              <w:tc>
                <w:tcPr>
                  <w:tcW w:w="1171" w:type="dxa"/>
                  <w:vAlign w:val="center"/>
                </w:tcPr>
                <w:p w14:paraId="6B53D87D">
                  <w:pPr>
                    <w:pStyle w:val="143"/>
                    <w:rPr>
                      <w:rFonts w:hint="eastAsia" w:ascii="Times New Roman" w:hAnsi="Times New Roman" w:eastAsia="宋体" w:cs="Times New Roman"/>
                      <w:color w:val="auto"/>
                      <w:sz w:val="18"/>
                      <w:szCs w:val="18"/>
                      <w:lang w:val="en-US" w:eastAsia="zh-CN"/>
                    </w:rPr>
                  </w:pPr>
                  <w:r>
                    <w:rPr>
                      <w:rFonts w:hint="eastAsia" w:ascii="Times New Roman" w:hAnsi="Times New Roman" w:cs="Times New Roman"/>
                      <w:color w:val="auto"/>
                      <w:sz w:val="18"/>
                      <w:szCs w:val="18"/>
                      <w:lang w:val="en-US" w:eastAsia="zh-CN"/>
                    </w:rPr>
                    <w:t>/</w:t>
                  </w:r>
                </w:p>
              </w:tc>
              <w:tc>
                <w:tcPr>
                  <w:tcW w:w="885" w:type="dxa"/>
                  <w:vAlign w:val="center"/>
                </w:tcPr>
                <w:p w14:paraId="7746AA68">
                  <w:pPr>
                    <w:pStyle w:val="143"/>
                    <w:rPr>
                      <w:rFonts w:hint="default" w:eastAsia="宋体"/>
                      <w:color w:val="auto"/>
                      <w:sz w:val="18"/>
                      <w:szCs w:val="18"/>
                      <w:lang w:val="en-US" w:eastAsia="zh-CN"/>
                    </w:rPr>
                  </w:pPr>
                  <w:r>
                    <w:rPr>
                      <w:rFonts w:hint="eastAsia"/>
                      <w:color w:val="auto"/>
                      <w:sz w:val="18"/>
                      <w:szCs w:val="18"/>
                      <w:lang w:val="en-US" w:eastAsia="zh-CN"/>
                    </w:rPr>
                    <w:t>/</w:t>
                  </w:r>
                </w:p>
              </w:tc>
              <w:tc>
                <w:tcPr>
                  <w:tcW w:w="751" w:type="dxa"/>
                  <w:vAlign w:val="center"/>
                </w:tcPr>
                <w:p w14:paraId="5648E338">
                  <w:pPr>
                    <w:pStyle w:val="143"/>
                    <w:rPr>
                      <w:rFonts w:hint="eastAsia" w:eastAsia="宋体"/>
                      <w:color w:val="auto"/>
                      <w:sz w:val="18"/>
                      <w:szCs w:val="18"/>
                      <w:lang w:val="en-US" w:eastAsia="zh-CN"/>
                    </w:rPr>
                  </w:pPr>
                  <w:r>
                    <w:rPr>
                      <w:rFonts w:hint="eastAsia"/>
                      <w:color w:val="auto"/>
                      <w:sz w:val="18"/>
                      <w:szCs w:val="18"/>
                      <w:lang w:val="en-US" w:eastAsia="zh-CN"/>
                    </w:rPr>
                    <w:t>/</w:t>
                  </w:r>
                </w:p>
              </w:tc>
              <w:tc>
                <w:tcPr>
                  <w:tcW w:w="419" w:type="dxa"/>
                  <w:vAlign w:val="center"/>
                </w:tcPr>
                <w:p w14:paraId="52A777AC">
                  <w:pPr>
                    <w:pStyle w:val="143"/>
                    <w:rPr>
                      <w:rFonts w:hint="eastAsia" w:eastAsia="宋体"/>
                      <w:color w:val="auto"/>
                      <w:sz w:val="18"/>
                      <w:szCs w:val="18"/>
                      <w:lang w:val="en-US" w:eastAsia="zh-CN"/>
                    </w:rPr>
                  </w:pPr>
                  <w:r>
                    <w:rPr>
                      <w:rFonts w:hint="eastAsia"/>
                      <w:color w:val="auto"/>
                      <w:sz w:val="18"/>
                      <w:szCs w:val="18"/>
                      <w:lang w:val="en-US" w:eastAsia="zh-CN"/>
                    </w:rPr>
                    <w:t>/</w:t>
                  </w:r>
                </w:p>
              </w:tc>
            </w:tr>
            <w:tr w14:paraId="5989DC5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342" w:type="dxa"/>
                  <w:vMerge w:val="restart"/>
                  <w:vAlign w:val="center"/>
                </w:tcPr>
                <w:p w14:paraId="2E5057D4">
                  <w:pPr>
                    <w:pStyle w:val="143"/>
                    <w:rPr>
                      <w:rFonts w:hint="eastAsia" w:eastAsia="宋体"/>
                      <w:color w:val="auto"/>
                      <w:sz w:val="18"/>
                      <w:szCs w:val="18"/>
                      <w:lang w:val="en-US" w:eastAsia="zh-CN"/>
                    </w:rPr>
                  </w:pPr>
                  <w:r>
                    <w:rPr>
                      <w:color w:val="auto"/>
                      <w:sz w:val="18"/>
                      <w:szCs w:val="18"/>
                    </w:rPr>
                    <w:t>抛丸</w:t>
                  </w:r>
                  <w:r>
                    <w:rPr>
                      <w:rFonts w:hint="eastAsia"/>
                      <w:color w:val="auto"/>
                      <w:sz w:val="18"/>
                      <w:szCs w:val="18"/>
                      <w:lang w:eastAsia="zh-CN"/>
                    </w:rPr>
                    <w:t>、喷砂</w:t>
                  </w:r>
                </w:p>
              </w:tc>
              <w:tc>
                <w:tcPr>
                  <w:tcW w:w="563" w:type="dxa"/>
                  <w:vMerge w:val="restart"/>
                  <w:tcMar>
                    <w:top w:w="0" w:type="dxa"/>
                    <w:left w:w="28" w:type="dxa"/>
                    <w:bottom w:w="0" w:type="dxa"/>
                    <w:right w:w="28" w:type="dxa"/>
                  </w:tcMar>
                  <w:vAlign w:val="center"/>
                </w:tcPr>
                <w:p w14:paraId="6BC7DCE6">
                  <w:pPr>
                    <w:jc w:val="center"/>
                    <w:rPr>
                      <w:rFonts w:hint="eastAsia"/>
                      <w:color w:val="auto"/>
                      <w:sz w:val="18"/>
                      <w:szCs w:val="18"/>
                      <w:lang w:eastAsia="zh-CN"/>
                    </w:rPr>
                  </w:pPr>
                  <w:r>
                    <w:rPr>
                      <w:color w:val="auto"/>
                      <w:sz w:val="18"/>
                      <w:szCs w:val="18"/>
                    </w:rPr>
                    <w:t>90</w:t>
                  </w:r>
                </w:p>
              </w:tc>
              <w:tc>
                <w:tcPr>
                  <w:tcW w:w="688" w:type="dxa"/>
                  <w:tcBorders>
                    <w:bottom w:val="single" w:color="auto" w:sz="4" w:space="0"/>
                  </w:tcBorders>
                  <w:vAlign w:val="center"/>
                </w:tcPr>
                <w:p w14:paraId="45F49DC9">
                  <w:pPr>
                    <w:pStyle w:val="143"/>
                    <w:rPr>
                      <w:color w:val="auto"/>
                      <w:sz w:val="18"/>
                      <w:szCs w:val="18"/>
                    </w:rPr>
                  </w:pPr>
                  <w:r>
                    <w:rPr>
                      <w:color w:val="auto"/>
                      <w:sz w:val="18"/>
                      <w:szCs w:val="18"/>
                    </w:rPr>
                    <w:t>DA002排气筒</w:t>
                  </w:r>
                </w:p>
              </w:tc>
              <w:tc>
                <w:tcPr>
                  <w:tcW w:w="485" w:type="dxa"/>
                  <w:vMerge w:val="restart"/>
                  <w:vAlign w:val="center"/>
                </w:tcPr>
                <w:p w14:paraId="3E6BBE58">
                  <w:pPr>
                    <w:pStyle w:val="143"/>
                    <w:rPr>
                      <w:color w:val="auto"/>
                      <w:sz w:val="18"/>
                      <w:szCs w:val="18"/>
                    </w:rPr>
                  </w:pPr>
                  <w:r>
                    <w:rPr>
                      <w:color w:val="auto"/>
                      <w:sz w:val="18"/>
                      <w:szCs w:val="18"/>
                    </w:rPr>
                    <w:t>颗粒物</w:t>
                  </w:r>
                </w:p>
              </w:tc>
              <w:tc>
                <w:tcPr>
                  <w:tcW w:w="353" w:type="dxa"/>
                  <w:vMerge w:val="restart"/>
                  <w:vAlign w:val="center"/>
                </w:tcPr>
                <w:p w14:paraId="04499690">
                  <w:pPr>
                    <w:pStyle w:val="143"/>
                    <w:rPr>
                      <w:color w:val="auto"/>
                      <w:sz w:val="18"/>
                      <w:szCs w:val="18"/>
                    </w:rPr>
                  </w:pPr>
                  <w:r>
                    <w:rPr>
                      <w:color w:val="auto"/>
                      <w:sz w:val="18"/>
                      <w:szCs w:val="18"/>
                    </w:rPr>
                    <w:t>系数法</w:t>
                  </w:r>
                </w:p>
              </w:tc>
              <w:tc>
                <w:tcPr>
                  <w:tcW w:w="732" w:type="dxa"/>
                  <w:tcBorders>
                    <w:bottom w:val="single" w:color="auto" w:sz="4" w:space="0"/>
                  </w:tcBorders>
                  <w:vAlign w:val="center"/>
                </w:tcPr>
                <w:p w14:paraId="0559D6F9">
                  <w:pPr>
                    <w:pStyle w:val="143"/>
                    <w:rPr>
                      <w:rFonts w:hint="default" w:eastAsia="宋体"/>
                      <w:color w:val="auto"/>
                      <w:sz w:val="18"/>
                      <w:szCs w:val="18"/>
                      <w:lang w:val="en-US" w:eastAsia="zh-CN"/>
                    </w:rPr>
                  </w:pPr>
                  <w:r>
                    <w:rPr>
                      <w:rFonts w:hint="eastAsia"/>
                      <w:color w:val="auto"/>
                      <w:sz w:val="18"/>
                      <w:szCs w:val="18"/>
                      <w:lang w:val="en-US" w:eastAsia="zh-CN"/>
                    </w:rPr>
                    <w:t>450</w:t>
                  </w:r>
                </w:p>
              </w:tc>
              <w:tc>
                <w:tcPr>
                  <w:tcW w:w="539" w:type="dxa"/>
                  <w:tcBorders>
                    <w:bottom w:val="single" w:color="auto" w:sz="4" w:space="0"/>
                  </w:tcBorders>
                  <w:vAlign w:val="center"/>
                </w:tcPr>
                <w:p w14:paraId="0B31F390">
                  <w:pPr>
                    <w:pStyle w:val="119"/>
                    <w:rPr>
                      <w:rFonts w:hint="default"/>
                      <w:color w:val="auto"/>
                      <w:sz w:val="18"/>
                      <w:szCs w:val="18"/>
                      <w:lang w:val="en-US"/>
                    </w:rPr>
                  </w:pPr>
                  <w:r>
                    <w:rPr>
                      <w:rFonts w:hint="eastAsia"/>
                      <w:color w:val="auto"/>
                      <w:sz w:val="18"/>
                      <w:szCs w:val="18"/>
                      <w:lang w:val="en-US" w:eastAsia="zh-CN"/>
                    </w:rPr>
                    <w:t>7.293</w:t>
                  </w:r>
                </w:p>
              </w:tc>
              <w:tc>
                <w:tcPr>
                  <w:tcW w:w="564" w:type="dxa"/>
                  <w:tcBorders>
                    <w:bottom w:val="single" w:color="auto" w:sz="4" w:space="0"/>
                  </w:tcBorders>
                  <w:vAlign w:val="center"/>
                </w:tcPr>
                <w:p w14:paraId="4D2895DD">
                  <w:pPr>
                    <w:pStyle w:val="119"/>
                    <w:rPr>
                      <w:rFonts w:hint="default" w:eastAsia="宋体"/>
                      <w:color w:val="auto"/>
                      <w:sz w:val="18"/>
                      <w:szCs w:val="18"/>
                      <w:lang w:val="en-US" w:eastAsia="zh-CN"/>
                    </w:rPr>
                  </w:pPr>
                  <w:r>
                    <w:rPr>
                      <w:rFonts w:hint="eastAsia"/>
                      <w:color w:val="auto"/>
                      <w:sz w:val="18"/>
                      <w:szCs w:val="18"/>
                      <w:lang w:val="en-US" w:eastAsia="zh-CN"/>
                    </w:rPr>
                    <w:t>2.25</w:t>
                  </w:r>
                </w:p>
              </w:tc>
              <w:tc>
                <w:tcPr>
                  <w:tcW w:w="625" w:type="dxa"/>
                  <w:tcBorders>
                    <w:bottom w:val="single" w:color="auto" w:sz="4" w:space="0"/>
                  </w:tcBorders>
                  <w:vAlign w:val="center"/>
                </w:tcPr>
                <w:p w14:paraId="42EAD851">
                  <w:pPr>
                    <w:pStyle w:val="143"/>
                    <w:rPr>
                      <w:color w:val="auto"/>
                      <w:sz w:val="18"/>
                      <w:szCs w:val="18"/>
                    </w:rPr>
                  </w:pPr>
                  <w:r>
                    <w:rPr>
                      <w:color w:val="auto"/>
                      <w:sz w:val="18"/>
                      <w:szCs w:val="18"/>
                    </w:rPr>
                    <w:t>布袋除尘+</w:t>
                  </w:r>
                  <w:r>
                    <w:rPr>
                      <w:rFonts w:hint="eastAsia"/>
                      <w:color w:val="auto"/>
                      <w:sz w:val="18"/>
                      <w:szCs w:val="18"/>
                      <w:lang w:val="en-US" w:eastAsia="zh-CN"/>
                    </w:rPr>
                    <w:t>2</w:t>
                  </w:r>
                  <w:r>
                    <w:rPr>
                      <w:color w:val="auto"/>
                      <w:sz w:val="18"/>
                      <w:szCs w:val="18"/>
                    </w:rPr>
                    <w:t>5m排气筒</w:t>
                  </w:r>
                </w:p>
              </w:tc>
              <w:tc>
                <w:tcPr>
                  <w:tcW w:w="574" w:type="dxa"/>
                  <w:tcBorders>
                    <w:bottom w:val="single" w:color="auto" w:sz="4" w:space="0"/>
                  </w:tcBorders>
                  <w:vAlign w:val="center"/>
                </w:tcPr>
                <w:p w14:paraId="2EEC05F2">
                  <w:pPr>
                    <w:pStyle w:val="143"/>
                    <w:rPr>
                      <w:color w:val="auto"/>
                      <w:sz w:val="18"/>
                      <w:szCs w:val="18"/>
                    </w:rPr>
                  </w:pPr>
                  <w:r>
                    <w:rPr>
                      <w:rFonts w:hint="eastAsia"/>
                      <w:color w:val="auto"/>
                      <w:sz w:val="18"/>
                      <w:szCs w:val="18"/>
                      <w:highlight w:val="none"/>
                      <w:lang w:val="en-US" w:eastAsia="zh-CN"/>
                    </w:rPr>
                    <w:t>37</w:t>
                  </w:r>
                  <w:r>
                    <w:rPr>
                      <w:color w:val="auto"/>
                      <w:sz w:val="18"/>
                      <w:szCs w:val="18"/>
                      <w:highlight w:val="none"/>
                    </w:rPr>
                    <w:t>000</w:t>
                  </w:r>
                </w:p>
              </w:tc>
              <w:tc>
                <w:tcPr>
                  <w:tcW w:w="451" w:type="dxa"/>
                  <w:tcBorders>
                    <w:bottom w:val="single" w:color="auto" w:sz="4" w:space="0"/>
                  </w:tcBorders>
                  <w:vAlign w:val="center"/>
                </w:tcPr>
                <w:p w14:paraId="39C4D0EB">
                  <w:pPr>
                    <w:pStyle w:val="143"/>
                    <w:rPr>
                      <w:color w:val="auto"/>
                      <w:sz w:val="18"/>
                      <w:szCs w:val="18"/>
                    </w:rPr>
                  </w:pPr>
                  <w:r>
                    <w:rPr>
                      <w:color w:val="auto"/>
                      <w:sz w:val="18"/>
                      <w:szCs w:val="18"/>
                    </w:rPr>
                    <w:t>95</w:t>
                  </w:r>
                </w:p>
              </w:tc>
              <w:tc>
                <w:tcPr>
                  <w:tcW w:w="419" w:type="dxa"/>
                  <w:tcBorders>
                    <w:bottom w:val="single" w:color="auto" w:sz="4" w:space="0"/>
                  </w:tcBorders>
                  <w:vAlign w:val="center"/>
                </w:tcPr>
                <w:p w14:paraId="069EBA57">
                  <w:pPr>
                    <w:pStyle w:val="143"/>
                    <w:rPr>
                      <w:color w:val="auto"/>
                      <w:sz w:val="18"/>
                      <w:szCs w:val="18"/>
                    </w:rPr>
                  </w:pPr>
                  <w:r>
                    <w:rPr>
                      <w:color w:val="auto"/>
                      <w:sz w:val="18"/>
                      <w:szCs w:val="18"/>
                    </w:rPr>
                    <w:t>是</w:t>
                  </w:r>
                </w:p>
              </w:tc>
              <w:tc>
                <w:tcPr>
                  <w:tcW w:w="544" w:type="dxa"/>
                  <w:tcBorders>
                    <w:bottom w:val="single" w:color="auto" w:sz="4" w:space="0"/>
                  </w:tcBorders>
                  <w:vAlign w:val="center"/>
                </w:tcPr>
                <w:p w14:paraId="432D1FD0">
                  <w:pPr>
                    <w:pStyle w:val="143"/>
                    <w:rPr>
                      <w:color w:val="auto"/>
                      <w:sz w:val="18"/>
                      <w:szCs w:val="18"/>
                      <w:highlight w:val="none"/>
                    </w:rPr>
                  </w:pPr>
                  <w:r>
                    <w:rPr>
                      <w:rFonts w:hint="eastAsia"/>
                      <w:color w:val="auto"/>
                      <w:sz w:val="18"/>
                      <w:szCs w:val="18"/>
                      <w:highlight w:val="none"/>
                      <w:lang w:val="en-US" w:eastAsia="zh-CN"/>
                    </w:rPr>
                    <w:t>37</w:t>
                  </w:r>
                  <w:r>
                    <w:rPr>
                      <w:color w:val="auto"/>
                      <w:sz w:val="18"/>
                      <w:szCs w:val="18"/>
                      <w:highlight w:val="none"/>
                    </w:rPr>
                    <w:t>000</w:t>
                  </w:r>
                </w:p>
              </w:tc>
              <w:tc>
                <w:tcPr>
                  <w:tcW w:w="696" w:type="dxa"/>
                  <w:vAlign w:val="center"/>
                </w:tcPr>
                <w:p w14:paraId="1BE5B9AF">
                  <w:pPr>
                    <w:pStyle w:val="143"/>
                    <w:rPr>
                      <w:rFonts w:hint="default" w:eastAsia="宋体"/>
                      <w:color w:val="auto"/>
                      <w:sz w:val="18"/>
                      <w:szCs w:val="18"/>
                      <w:highlight w:val="none"/>
                      <w:lang w:val="en-US" w:eastAsia="zh-CN"/>
                    </w:rPr>
                  </w:pPr>
                  <w:r>
                    <w:rPr>
                      <w:rFonts w:hint="eastAsia"/>
                      <w:color w:val="auto"/>
                      <w:sz w:val="18"/>
                      <w:szCs w:val="18"/>
                      <w:highlight w:val="none"/>
                      <w:lang w:val="en-US" w:eastAsia="zh-CN"/>
                    </w:rPr>
                    <w:t>2.7</w:t>
                  </w:r>
                </w:p>
              </w:tc>
              <w:tc>
                <w:tcPr>
                  <w:tcW w:w="564" w:type="dxa"/>
                  <w:vAlign w:val="center"/>
                </w:tcPr>
                <w:p w14:paraId="17CB1549">
                  <w:pPr>
                    <w:pStyle w:val="143"/>
                    <w:rPr>
                      <w:rFonts w:hint="default" w:eastAsia="宋体"/>
                      <w:color w:val="auto"/>
                      <w:sz w:val="18"/>
                      <w:szCs w:val="18"/>
                      <w:lang w:val="en-US" w:eastAsia="zh-CN"/>
                    </w:rPr>
                  </w:pPr>
                  <w:r>
                    <w:rPr>
                      <w:rFonts w:hint="eastAsia"/>
                      <w:color w:val="auto"/>
                      <w:sz w:val="18"/>
                      <w:szCs w:val="18"/>
                    </w:rPr>
                    <w:t>0</w:t>
                  </w:r>
                  <w:r>
                    <w:rPr>
                      <w:color w:val="auto"/>
                      <w:sz w:val="18"/>
                      <w:szCs w:val="18"/>
                    </w:rPr>
                    <w:t>.</w:t>
                  </w:r>
                  <w:r>
                    <w:rPr>
                      <w:rFonts w:hint="eastAsia"/>
                      <w:color w:val="auto"/>
                      <w:sz w:val="18"/>
                      <w:szCs w:val="18"/>
                      <w:lang w:val="en-US" w:eastAsia="zh-CN"/>
                    </w:rPr>
                    <w:t>365</w:t>
                  </w:r>
                </w:p>
              </w:tc>
              <w:tc>
                <w:tcPr>
                  <w:tcW w:w="530" w:type="dxa"/>
                  <w:vAlign w:val="center"/>
                </w:tcPr>
                <w:p w14:paraId="1F925C85">
                  <w:pPr>
                    <w:pStyle w:val="143"/>
                    <w:rPr>
                      <w:rFonts w:hint="default" w:eastAsia="宋体"/>
                      <w:color w:val="auto"/>
                      <w:sz w:val="18"/>
                      <w:szCs w:val="18"/>
                      <w:lang w:val="en-US" w:eastAsia="zh-CN"/>
                    </w:rPr>
                  </w:pPr>
                  <w:r>
                    <w:rPr>
                      <w:rFonts w:hint="eastAsia"/>
                      <w:color w:val="auto"/>
                      <w:sz w:val="18"/>
                      <w:szCs w:val="18"/>
                      <w:lang w:val="en-US" w:eastAsia="zh-CN"/>
                    </w:rPr>
                    <w:t>0.101</w:t>
                  </w:r>
                </w:p>
              </w:tc>
              <w:tc>
                <w:tcPr>
                  <w:tcW w:w="483" w:type="dxa"/>
                  <w:tcBorders>
                    <w:bottom w:val="single" w:color="auto" w:sz="4" w:space="0"/>
                  </w:tcBorders>
                  <w:vAlign w:val="center"/>
                </w:tcPr>
                <w:p w14:paraId="75F86916">
                  <w:pPr>
                    <w:pStyle w:val="143"/>
                    <w:rPr>
                      <w:rFonts w:hint="default" w:eastAsia="宋体"/>
                      <w:color w:val="auto"/>
                      <w:sz w:val="18"/>
                      <w:szCs w:val="18"/>
                      <w:lang w:val="en-US" w:eastAsia="zh-CN"/>
                    </w:rPr>
                  </w:pPr>
                  <w:r>
                    <w:rPr>
                      <w:rFonts w:hint="eastAsia"/>
                      <w:color w:val="auto"/>
                      <w:sz w:val="18"/>
                      <w:szCs w:val="18"/>
                      <w:lang w:val="en-US" w:eastAsia="zh-CN"/>
                    </w:rPr>
                    <w:t>3600</w:t>
                  </w:r>
                </w:p>
              </w:tc>
              <w:tc>
                <w:tcPr>
                  <w:tcW w:w="477" w:type="dxa"/>
                  <w:tcBorders>
                    <w:bottom w:val="single" w:color="auto" w:sz="4" w:space="0"/>
                  </w:tcBorders>
                  <w:vAlign w:val="center"/>
                </w:tcPr>
                <w:p w14:paraId="126A23CC">
                  <w:pPr>
                    <w:pStyle w:val="143"/>
                    <w:rPr>
                      <w:color w:val="auto"/>
                      <w:sz w:val="18"/>
                      <w:szCs w:val="18"/>
                    </w:rPr>
                  </w:pPr>
                  <w:r>
                    <w:rPr>
                      <w:color w:val="auto"/>
                      <w:sz w:val="18"/>
                      <w:szCs w:val="18"/>
                    </w:rPr>
                    <w:t>DA002</w:t>
                  </w:r>
                </w:p>
              </w:tc>
              <w:tc>
                <w:tcPr>
                  <w:tcW w:w="374" w:type="dxa"/>
                  <w:tcBorders>
                    <w:bottom w:val="single" w:color="auto" w:sz="4" w:space="0"/>
                  </w:tcBorders>
                  <w:vAlign w:val="center"/>
                </w:tcPr>
                <w:p w14:paraId="36F564E9">
                  <w:pPr>
                    <w:pStyle w:val="143"/>
                    <w:rPr>
                      <w:color w:val="auto"/>
                      <w:sz w:val="18"/>
                      <w:szCs w:val="18"/>
                      <w:highlight w:val="none"/>
                    </w:rPr>
                  </w:pPr>
                  <w:r>
                    <w:rPr>
                      <w:rFonts w:hint="eastAsia"/>
                      <w:color w:val="auto"/>
                      <w:sz w:val="18"/>
                      <w:szCs w:val="18"/>
                      <w:highlight w:val="none"/>
                      <w:lang w:val="en-US" w:eastAsia="zh-CN"/>
                    </w:rPr>
                    <w:t>2</w:t>
                  </w:r>
                  <w:r>
                    <w:rPr>
                      <w:color w:val="auto"/>
                      <w:sz w:val="18"/>
                      <w:szCs w:val="18"/>
                      <w:highlight w:val="none"/>
                    </w:rPr>
                    <w:t>5</w:t>
                  </w:r>
                </w:p>
              </w:tc>
              <w:tc>
                <w:tcPr>
                  <w:tcW w:w="375" w:type="dxa"/>
                  <w:tcBorders>
                    <w:bottom w:val="single" w:color="auto" w:sz="4" w:space="0"/>
                  </w:tcBorders>
                  <w:vAlign w:val="center"/>
                </w:tcPr>
                <w:p w14:paraId="313D9D94">
                  <w:pPr>
                    <w:pStyle w:val="143"/>
                    <w:rPr>
                      <w:rFonts w:hint="default" w:eastAsia="宋体"/>
                      <w:color w:val="auto"/>
                      <w:sz w:val="18"/>
                      <w:szCs w:val="18"/>
                      <w:highlight w:val="none"/>
                      <w:lang w:val="en-US" w:eastAsia="zh-CN"/>
                    </w:rPr>
                  </w:pPr>
                  <w:r>
                    <w:rPr>
                      <w:rFonts w:hint="eastAsia"/>
                      <w:color w:val="auto"/>
                      <w:sz w:val="18"/>
                      <w:szCs w:val="18"/>
                      <w:highlight w:val="none"/>
                      <w:lang w:val="en-US" w:eastAsia="zh-CN"/>
                    </w:rPr>
                    <w:t>1.0</w:t>
                  </w:r>
                </w:p>
              </w:tc>
              <w:tc>
                <w:tcPr>
                  <w:tcW w:w="407" w:type="dxa"/>
                  <w:tcBorders>
                    <w:bottom w:val="single" w:color="auto" w:sz="4" w:space="0"/>
                  </w:tcBorders>
                  <w:vAlign w:val="center"/>
                </w:tcPr>
                <w:p w14:paraId="5A1D788C">
                  <w:pPr>
                    <w:pStyle w:val="143"/>
                    <w:rPr>
                      <w:color w:val="auto"/>
                      <w:sz w:val="18"/>
                      <w:szCs w:val="18"/>
                      <w:highlight w:val="none"/>
                    </w:rPr>
                  </w:pPr>
                  <w:r>
                    <w:rPr>
                      <w:color w:val="auto"/>
                      <w:sz w:val="18"/>
                      <w:szCs w:val="18"/>
                      <w:highlight w:val="none"/>
                    </w:rPr>
                    <w:t>25</w:t>
                  </w:r>
                </w:p>
              </w:tc>
              <w:tc>
                <w:tcPr>
                  <w:tcW w:w="1171" w:type="dxa"/>
                  <w:tcBorders>
                    <w:bottom w:val="single" w:color="auto" w:sz="4" w:space="0"/>
                  </w:tcBorders>
                  <w:vAlign w:val="center"/>
                </w:tcPr>
                <w:p w14:paraId="35B070AA">
                  <w:pPr>
                    <w:pStyle w:val="143"/>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119°18′7.683″</w:t>
                  </w:r>
                  <w:r>
                    <w:rPr>
                      <w:rFonts w:hint="eastAsia" w:cs="Times New Roman"/>
                      <w:color w:val="auto"/>
                      <w:sz w:val="18"/>
                      <w:szCs w:val="18"/>
                      <w:lang w:eastAsia="zh-CN"/>
                    </w:rPr>
                    <w:t>;</w:t>
                  </w:r>
                  <w:r>
                    <w:rPr>
                      <w:rFonts w:hint="default" w:ascii="Times New Roman" w:hAnsi="Times New Roman" w:cs="Times New Roman"/>
                      <w:color w:val="auto"/>
                      <w:sz w:val="18"/>
                      <w:szCs w:val="18"/>
                    </w:rPr>
                    <w:t>25°59′53.938″</w:t>
                  </w:r>
                </w:p>
              </w:tc>
              <w:tc>
                <w:tcPr>
                  <w:tcW w:w="885" w:type="dxa"/>
                  <w:tcBorders>
                    <w:bottom w:val="single" w:color="auto" w:sz="4" w:space="0"/>
                  </w:tcBorders>
                  <w:vAlign w:val="center"/>
                </w:tcPr>
                <w:p w14:paraId="6248C263">
                  <w:pPr>
                    <w:pStyle w:val="143"/>
                    <w:rPr>
                      <w:color w:val="auto"/>
                      <w:sz w:val="18"/>
                      <w:szCs w:val="18"/>
                    </w:rPr>
                  </w:pPr>
                  <w:r>
                    <w:rPr>
                      <w:rFonts w:hint="eastAsia"/>
                      <w:color w:val="auto"/>
                      <w:sz w:val="18"/>
                      <w:szCs w:val="18"/>
                    </w:rPr>
                    <w:t>1</w:t>
                  </w:r>
                  <w:r>
                    <w:rPr>
                      <w:color w:val="auto"/>
                      <w:sz w:val="18"/>
                      <w:szCs w:val="18"/>
                    </w:rPr>
                    <w:t>20</w:t>
                  </w:r>
                </w:p>
              </w:tc>
              <w:tc>
                <w:tcPr>
                  <w:tcW w:w="751" w:type="dxa"/>
                  <w:tcBorders>
                    <w:bottom w:val="single" w:color="auto" w:sz="4" w:space="0"/>
                  </w:tcBorders>
                  <w:vAlign w:val="center"/>
                </w:tcPr>
                <w:p w14:paraId="0759F89F">
                  <w:pPr>
                    <w:pStyle w:val="143"/>
                    <w:rPr>
                      <w:color w:val="auto"/>
                      <w:sz w:val="18"/>
                      <w:szCs w:val="18"/>
                    </w:rPr>
                  </w:pPr>
                  <w:r>
                    <w:rPr>
                      <w:rFonts w:hint="eastAsia"/>
                      <w:color w:val="auto"/>
                      <w:sz w:val="18"/>
                      <w:szCs w:val="18"/>
                      <w:lang w:val="en-US" w:eastAsia="zh-CN"/>
                    </w:rPr>
                    <w:t>7.225</w:t>
                  </w:r>
                </w:p>
              </w:tc>
              <w:tc>
                <w:tcPr>
                  <w:tcW w:w="419" w:type="dxa"/>
                  <w:tcBorders>
                    <w:bottom w:val="single" w:color="auto" w:sz="4" w:space="0"/>
                  </w:tcBorders>
                  <w:vAlign w:val="center"/>
                </w:tcPr>
                <w:p w14:paraId="2FC071BE">
                  <w:pPr>
                    <w:pStyle w:val="143"/>
                    <w:rPr>
                      <w:color w:val="auto"/>
                      <w:sz w:val="18"/>
                      <w:szCs w:val="18"/>
                    </w:rPr>
                  </w:pPr>
                  <w:r>
                    <w:rPr>
                      <w:color w:val="auto"/>
                      <w:sz w:val="18"/>
                      <w:szCs w:val="18"/>
                    </w:rPr>
                    <w:t>达标</w:t>
                  </w:r>
                </w:p>
              </w:tc>
            </w:tr>
            <w:tr w14:paraId="1CC437B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342" w:type="dxa"/>
                  <w:vMerge w:val="continue"/>
                  <w:vAlign w:val="center"/>
                </w:tcPr>
                <w:p w14:paraId="5FFC200E">
                  <w:pPr>
                    <w:pStyle w:val="143"/>
                    <w:rPr>
                      <w:color w:val="auto"/>
                      <w:sz w:val="18"/>
                      <w:szCs w:val="18"/>
                    </w:rPr>
                  </w:pPr>
                </w:p>
              </w:tc>
              <w:tc>
                <w:tcPr>
                  <w:tcW w:w="563" w:type="dxa"/>
                  <w:vMerge w:val="continue"/>
                  <w:tcBorders>
                    <w:bottom w:val="single" w:color="auto" w:sz="4" w:space="0"/>
                  </w:tcBorders>
                  <w:tcMar>
                    <w:top w:w="0" w:type="dxa"/>
                    <w:left w:w="28" w:type="dxa"/>
                    <w:bottom w:w="0" w:type="dxa"/>
                    <w:right w:w="28" w:type="dxa"/>
                  </w:tcMar>
                  <w:vAlign w:val="center"/>
                </w:tcPr>
                <w:p w14:paraId="2D96240A">
                  <w:pPr>
                    <w:jc w:val="center"/>
                    <w:rPr>
                      <w:rFonts w:hint="eastAsia"/>
                      <w:color w:val="auto"/>
                      <w:sz w:val="18"/>
                      <w:szCs w:val="18"/>
                      <w:lang w:eastAsia="zh-CN"/>
                    </w:rPr>
                  </w:pPr>
                </w:p>
              </w:tc>
              <w:tc>
                <w:tcPr>
                  <w:tcW w:w="688" w:type="dxa"/>
                  <w:tcBorders>
                    <w:bottom w:val="single" w:color="auto" w:sz="4" w:space="0"/>
                  </w:tcBorders>
                  <w:vAlign w:val="center"/>
                </w:tcPr>
                <w:p w14:paraId="390CE3E3">
                  <w:pPr>
                    <w:pStyle w:val="143"/>
                    <w:rPr>
                      <w:color w:val="auto"/>
                      <w:sz w:val="18"/>
                      <w:szCs w:val="18"/>
                    </w:rPr>
                  </w:pPr>
                  <w:r>
                    <w:rPr>
                      <w:rFonts w:hint="eastAsia"/>
                      <w:color w:val="auto"/>
                      <w:sz w:val="18"/>
                      <w:szCs w:val="18"/>
                      <w:lang w:eastAsia="zh-CN"/>
                    </w:rPr>
                    <w:t>无组织</w:t>
                  </w:r>
                </w:p>
              </w:tc>
              <w:tc>
                <w:tcPr>
                  <w:tcW w:w="485" w:type="dxa"/>
                  <w:vMerge w:val="continue"/>
                  <w:tcBorders>
                    <w:bottom w:val="single" w:color="auto" w:sz="4" w:space="0"/>
                  </w:tcBorders>
                  <w:vAlign w:val="center"/>
                </w:tcPr>
                <w:p w14:paraId="15971F39">
                  <w:pPr>
                    <w:pStyle w:val="143"/>
                    <w:rPr>
                      <w:color w:val="auto"/>
                      <w:sz w:val="18"/>
                      <w:szCs w:val="18"/>
                    </w:rPr>
                  </w:pPr>
                </w:p>
              </w:tc>
              <w:tc>
                <w:tcPr>
                  <w:tcW w:w="353" w:type="dxa"/>
                  <w:vMerge w:val="continue"/>
                  <w:tcBorders>
                    <w:bottom w:val="single" w:color="auto" w:sz="4" w:space="0"/>
                  </w:tcBorders>
                  <w:vAlign w:val="center"/>
                </w:tcPr>
                <w:p w14:paraId="6380A613">
                  <w:pPr>
                    <w:pStyle w:val="143"/>
                    <w:rPr>
                      <w:color w:val="auto"/>
                      <w:sz w:val="18"/>
                      <w:szCs w:val="18"/>
                    </w:rPr>
                  </w:pPr>
                </w:p>
              </w:tc>
              <w:tc>
                <w:tcPr>
                  <w:tcW w:w="732" w:type="dxa"/>
                  <w:tcBorders>
                    <w:bottom w:val="single" w:color="auto" w:sz="4" w:space="0"/>
                  </w:tcBorders>
                  <w:vAlign w:val="center"/>
                </w:tcPr>
                <w:p w14:paraId="0A961D12">
                  <w:pPr>
                    <w:pStyle w:val="143"/>
                    <w:rPr>
                      <w:rFonts w:hint="eastAsia"/>
                      <w:color w:val="auto"/>
                      <w:sz w:val="18"/>
                      <w:szCs w:val="18"/>
                    </w:rPr>
                  </w:pPr>
                  <w:r>
                    <w:rPr>
                      <w:rFonts w:hint="eastAsia"/>
                      <w:color w:val="auto"/>
                      <w:sz w:val="18"/>
                      <w:szCs w:val="18"/>
                      <w:lang w:val="en-US" w:eastAsia="zh-CN"/>
                    </w:rPr>
                    <w:t>/</w:t>
                  </w:r>
                </w:p>
              </w:tc>
              <w:tc>
                <w:tcPr>
                  <w:tcW w:w="539" w:type="dxa"/>
                  <w:tcBorders>
                    <w:bottom w:val="single" w:color="auto" w:sz="4" w:space="0"/>
                  </w:tcBorders>
                  <w:vAlign w:val="center"/>
                </w:tcPr>
                <w:p w14:paraId="14D41308">
                  <w:pPr>
                    <w:pStyle w:val="119"/>
                    <w:rPr>
                      <w:rFonts w:hint="default" w:eastAsia="宋体"/>
                      <w:color w:val="auto"/>
                      <w:sz w:val="18"/>
                      <w:szCs w:val="18"/>
                      <w:lang w:val="en-US" w:eastAsia="zh-CN"/>
                    </w:rPr>
                  </w:pPr>
                  <w:r>
                    <w:rPr>
                      <w:rFonts w:hint="eastAsia"/>
                      <w:color w:val="auto"/>
                      <w:sz w:val="18"/>
                      <w:szCs w:val="18"/>
                      <w:lang w:val="en-US" w:eastAsia="zh-CN"/>
                    </w:rPr>
                    <w:t>0.810</w:t>
                  </w:r>
                </w:p>
              </w:tc>
              <w:tc>
                <w:tcPr>
                  <w:tcW w:w="564" w:type="dxa"/>
                  <w:tcBorders>
                    <w:bottom w:val="single" w:color="auto" w:sz="4" w:space="0"/>
                  </w:tcBorders>
                  <w:vAlign w:val="center"/>
                </w:tcPr>
                <w:p w14:paraId="5264539F">
                  <w:pPr>
                    <w:pStyle w:val="119"/>
                    <w:rPr>
                      <w:rFonts w:hint="default" w:eastAsia="宋体"/>
                      <w:color w:val="auto"/>
                      <w:sz w:val="18"/>
                      <w:szCs w:val="18"/>
                      <w:lang w:val="en-US" w:eastAsia="zh-CN"/>
                    </w:rPr>
                  </w:pPr>
                  <w:r>
                    <w:rPr>
                      <w:rFonts w:hint="eastAsia"/>
                      <w:color w:val="auto"/>
                      <w:sz w:val="18"/>
                      <w:szCs w:val="18"/>
                      <w:lang w:val="en-US" w:eastAsia="zh-CN"/>
                    </w:rPr>
                    <w:t>0.225</w:t>
                  </w:r>
                </w:p>
              </w:tc>
              <w:tc>
                <w:tcPr>
                  <w:tcW w:w="625" w:type="dxa"/>
                  <w:tcBorders>
                    <w:bottom w:val="single" w:color="auto" w:sz="4" w:space="0"/>
                  </w:tcBorders>
                  <w:vAlign w:val="center"/>
                </w:tcPr>
                <w:p w14:paraId="52CDE07F">
                  <w:pPr>
                    <w:jc w:val="center"/>
                    <w:rPr>
                      <w:color w:val="auto"/>
                      <w:sz w:val="18"/>
                      <w:szCs w:val="18"/>
                    </w:rPr>
                  </w:pPr>
                  <w:r>
                    <w:rPr>
                      <w:rFonts w:hint="eastAsia"/>
                      <w:color w:val="auto"/>
                      <w:sz w:val="18"/>
                      <w:szCs w:val="18"/>
                      <w:lang w:val="en-US" w:eastAsia="zh-CN"/>
                    </w:rPr>
                    <w:t>/</w:t>
                  </w:r>
                </w:p>
              </w:tc>
              <w:tc>
                <w:tcPr>
                  <w:tcW w:w="574" w:type="dxa"/>
                  <w:tcBorders>
                    <w:bottom w:val="single" w:color="auto" w:sz="4" w:space="0"/>
                  </w:tcBorders>
                  <w:vAlign w:val="center"/>
                </w:tcPr>
                <w:p w14:paraId="4132E866">
                  <w:pPr>
                    <w:jc w:val="center"/>
                    <w:rPr>
                      <w:color w:val="auto"/>
                      <w:sz w:val="18"/>
                      <w:szCs w:val="18"/>
                    </w:rPr>
                  </w:pPr>
                  <w:r>
                    <w:rPr>
                      <w:rFonts w:hint="eastAsia"/>
                      <w:color w:val="auto"/>
                      <w:sz w:val="18"/>
                      <w:szCs w:val="18"/>
                      <w:highlight w:val="none"/>
                      <w:lang w:val="en-US" w:eastAsia="zh-CN"/>
                    </w:rPr>
                    <w:t>/</w:t>
                  </w:r>
                </w:p>
              </w:tc>
              <w:tc>
                <w:tcPr>
                  <w:tcW w:w="451" w:type="dxa"/>
                  <w:tcBorders>
                    <w:bottom w:val="single" w:color="auto" w:sz="4" w:space="0"/>
                  </w:tcBorders>
                  <w:vAlign w:val="center"/>
                </w:tcPr>
                <w:p w14:paraId="6620A1FF">
                  <w:pPr>
                    <w:jc w:val="center"/>
                    <w:rPr>
                      <w:color w:val="auto"/>
                      <w:sz w:val="18"/>
                      <w:szCs w:val="18"/>
                    </w:rPr>
                  </w:pPr>
                  <w:r>
                    <w:rPr>
                      <w:rFonts w:hint="eastAsia"/>
                      <w:color w:val="auto"/>
                      <w:sz w:val="18"/>
                      <w:szCs w:val="18"/>
                      <w:lang w:val="en-US" w:eastAsia="zh-CN"/>
                    </w:rPr>
                    <w:t>/</w:t>
                  </w:r>
                </w:p>
              </w:tc>
              <w:tc>
                <w:tcPr>
                  <w:tcW w:w="419" w:type="dxa"/>
                  <w:tcBorders>
                    <w:bottom w:val="single" w:color="auto" w:sz="4" w:space="0"/>
                  </w:tcBorders>
                  <w:vAlign w:val="center"/>
                </w:tcPr>
                <w:p w14:paraId="0481419F">
                  <w:pPr>
                    <w:jc w:val="center"/>
                    <w:rPr>
                      <w:color w:val="auto"/>
                      <w:sz w:val="18"/>
                      <w:szCs w:val="18"/>
                    </w:rPr>
                  </w:pPr>
                  <w:r>
                    <w:rPr>
                      <w:rFonts w:hint="eastAsia"/>
                      <w:color w:val="auto"/>
                      <w:sz w:val="18"/>
                      <w:szCs w:val="18"/>
                      <w:lang w:val="en-US" w:eastAsia="zh-CN"/>
                    </w:rPr>
                    <w:t>/</w:t>
                  </w:r>
                </w:p>
              </w:tc>
              <w:tc>
                <w:tcPr>
                  <w:tcW w:w="544" w:type="dxa"/>
                  <w:tcBorders>
                    <w:bottom w:val="single" w:color="auto" w:sz="4" w:space="0"/>
                  </w:tcBorders>
                  <w:vAlign w:val="center"/>
                </w:tcPr>
                <w:p w14:paraId="15F222CE">
                  <w:pPr>
                    <w:jc w:val="center"/>
                    <w:rPr>
                      <w:color w:val="auto"/>
                      <w:sz w:val="18"/>
                      <w:szCs w:val="18"/>
                      <w:highlight w:val="none"/>
                    </w:rPr>
                  </w:pPr>
                  <w:r>
                    <w:rPr>
                      <w:rFonts w:hint="eastAsia"/>
                      <w:color w:val="auto"/>
                      <w:sz w:val="18"/>
                      <w:szCs w:val="18"/>
                      <w:highlight w:val="none"/>
                      <w:lang w:val="en-US" w:eastAsia="zh-CN"/>
                    </w:rPr>
                    <w:t>/</w:t>
                  </w:r>
                </w:p>
              </w:tc>
              <w:tc>
                <w:tcPr>
                  <w:tcW w:w="696" w:type="dxa"/>
                  <w:vAlign w:val="center"/>
                </w:tcPr>
                <w:p w14:paraId="6A794A52">
                  <w:pPr>
                    <w:jc w:val="center"/>
                    <w:rPr>
                      <w:rFonts w:hint="eastAsia"/>
                      <w:color w:val="auto"/>
                      <w:sz w:val="18"/>
                      <w:szCs w:val="18"/>
                      <w:highlight w:val="none"/>
                    </w:rPr>
                  </w:pPr>
                  <w:r>
                    <w:rPr>
                      <w:rFonts w:hint="eastAsia"/>
                      <w:color w:val="auto"/>
                      <w:sz w:val="18"/>
                      <w:szCs w:val="18"/>
                      <w:highlight w:val="none"/>
                      <w:lang w:val="en-US" w:eastAsia="zh-CN"/>
                    </w:rPr>
                    <w:t>/</w:t>
                  </w:r>
                </w:p>
              </w:tc>
              <w:tc>
                <w:tcPr>
                  <w:tcW w:w="564" w:type="dxa"/>
                  <w:vAlign w:val="center"/>
                </w:tcPr>
                <w:p w14:paraId="4ABF4B45">
                  <w:pPr>
                    <w:pStyle w:val="119"/>
                    <w:rPr>
                      <w:rFonts w:hint="eastAsia"/>
                      <w:color w:val="auto"/>
                      <w:sz w:val="18"/>
                      <w:szCs w:val="18"/>
                    </w:rPr>
                  </w:pPr>
                  <w:r>
                    <w:rPr>
                      <w:rFonts w:hint="eastAsia"/>
                      <w:color w:val="auto"/>
                      <w:sz w:val="18"/>
                      <w:szCs w:val="18"/>
                      <w:lang w:val="en-US" w:eastAsia="zh-CN"/>
                    </w:rPr>
                    <w:t>0.810</w:t>
                  </w:r>
                </w:p>
              </w:tc>
              <w:tc>
                <w:tcPr>
                  <w:tcW w:w="530" w:type="dxa"/>
                  <w:vAlign w:val="center"/>
                </w:tcPr>
                <w:p w14:paraId="6B8F6ABB">
                  <w:pPr>
                    <w:pStyle w:val="119"/>
                    <w:rPr>
                      <w:rFonts w:hint="eastAsia"/>
                      <w:color w:val="auto"/>
                      <w:sz w:val="18"/>
                      <w:szCs w:val="18"/>
                    </w:rPr>
                  </w:pPr>
                  <w:r>
                    <w:rPr>
                      <w:rFonts w:hint="eastAsia"/>
                      <w:color w:val="auto"/>
                      <w:sz w:val="18"/>
                      <w:szCs w:val="18"/>
                      <w:lang w:val="en-US" w:eastAsia="zh-CN"/>
                    </w:rPr>
                    <w:t>0.225</w:t>
                  </w:r>
                </w:p>
              </w:tc>
              <w:tc>
                <w:tcPr>
                  <w:tcW w:w="483" w:type="dxa"/>
                  <w:tcBorders>
                    <w:bottom w:val="single" w:color="auto" w:sz="4" w:space="0"/>
                  </w:tcBorders>
                  <w:vAlign w:val="center"/>
                </w:tcPr>
                <w:p w14:paraId="51F82DE9">
                  <w:pPr>
                    <w:jc w:val="center"/>
                    <w:rPr>
                      <w:color w:val="auto"/>
                      <w:sz w:val="18"/>
                      <w:szCs w:val="18"/>
                    </w:rPr>
                  </w:pPr>
                  <w:r>
                    <w:rPr>
                      <w:rFonts w:hint="eastAsia"/>
                      <w:color w:val="auto"/>
                      <w:sz w:val="18"/>
                      <w:szCs w:val="18"/>
                      <w:lang w:val="en-US" w:eastAsia="zh-CN"/>
                    </w:rPr>
                    <w:t>/</w:t>
                  </w:r>
                </w:p>
              </w:tc>
              <w:tc>
                <w:tcPr>
                  <w:tcW w:w="477" w:type="dxa"/>
                  <w:tcBorders>
                    <w:bottom w:val="single" w:color="auto" w:sz="4" w:space="0"/>
                  </w:tcBorders>
                  <w:vAlign w:val="center"/>
                </w:tcPr>
                <w:p w14:paraId="3D48FE48">
                  <w:pPr>
                    <w:jc w:val="center"/>
                    <w:rPr>
                      <w:color w:val="auto"/>
                      <w:sz w:val="18"/>
                      <w:szCs w:val="18"/>
                    </w:rPr>
                  </w:pPr>
                  <w:r>
                    <w:rPr>
                      <w:rFonts w:hint="eastAsia"/>
                      <w:color w:val="auto"/>
                      <w:sz w:val="18"/>
                      <w:szCs w:val="18"/>
                      <w:lang w:val="en-US" w:eastAsia="zh-CN"/>
                    </w:rPr>
                    <w:t>/</w:t>
                  </w:r>
                </w:p>
              </w:tc>
              <w:tc>
                <w:tcPr>
                  <w:tcW w:w="374" w:type="dxa"/>
                  <w:tcBorders>
                    <w:bottom w:val="single" w:color="auto" w:sz="4" w:space="0"/>
                  </w:tcBorders>
                  <w:vAlign w:val="center"/>
                </w:tcPr>
                <w:p w14:paraId="3A47167B">
                  <w:pPr>
                    <w:jc w:val="center"/>
                    <w:rPr>
                      <w:color w:val="auto"/>
                      <w:sz w:val="18"/>
                      <w:szCs w:val="18"/>
                      <w:highlight w:val="none"/>
                    </w:rPr>
                  </w:pPr>
                  <w:r>
                    <w:rPr>
                      <w:rFonts w:hint="eastAsia"/>
                      <w:color w:val="auto"/>
                      <w:sz w:val="18"/>
                      <w:szCs w:val="18"/>
                      <w:highlight w:val="none"/>
                      <w:lang w:val="en-US" w:eastAsia="zh-CN"/>
                    </w:rPr>
                    <w:t>/</w:t>
                  </w:r>
                </w:p>
              </w:tc>
              <w:tc>
                <w:tcPr>
                  <w:tcW w:w="375" w:type="dxa"/>
                  <w:tcBorders>
                    <w:bottom w:val="single" w:color="auto" w:sz="4" w:space="0"/>
                  </w:tcBorders>
                  <w:vAlign w:val="center"/>
                </w:tcPr>
                <w:p w14:paraId="2EC70CD2">
                  <w:pPr>
                    <w:jc w:val="center"/>
                    <w:rPr>
                      <w:color w:val="auto"/>
                      <w:sz w:val="18"/>
                      <w:szCs w:val="18"/>
                      <w:highlight w:val="none"/>
                    </w:rPr>
                  </w:pPr>
                  <w:r>
                    <w:rPr>
                      <w:rFonts w:hint="eastAsia"/>
                      <w:color w:val="auto"/>
                      <w:sz w:val="18"/>
                      <w:szCs w:val="18"/>
                      <w:highlight w:val="none"/>
                      <w:lang w:val="en-US" w:eastAsia="zh-CN"/>
                    </w:rPr>
                    <w:t>/</w:t>
                  </w:r>
                </w:p>
              </w:tc>
              <w:tc>
                <w:tcPr>
                  <w:tcW w:w="407" w:type="dxa"/>
                  <w:tcBorders>
                    <w:bottom w:val="single" w:color="auto" w:sz="4" w:space="0"/>
                  </w:tcBorders>
                  <w:vAlign w:val="center"/>
                </w:tcPr>
                <w:p w14:paraId="6B97F45E">
                  <w:pPr>
                    <w:jc w:val="center"/>
                    <w:rPr>
                      <w:color w:val="auto"/>
                      <w:sz w:val="18"/>
                      <w:szCs w:val="18"/>
                      <w:highlight w:val="none"/>
                    </w:rPr>
                  </w:pPr>
                  <w:r>
                    <w:rPr>
                      <w:rFonts w:hint="eastAsia"/>
                      <w:color w:val="auto"/>
                      <w:sz w:val="18"/>
                      <w:szCs w:val="18"/>
                      <w:highlight w:val="none"/>
                      <w:lang w:val="en-US" w:eastAsia="zh-CN"/>
                    </w:rPr>
                    <w:t>/</w:t>
                  </w:r>
                </w:p>
              </w:tc>
              <w:tc>
                <w:tcPr>
                  <w:tcW w:w="1171" w:type="dxa"/>
                  <w:tcBorders>
                    <w:bottom w:val="single" w:color="auto" w:sz="4" w:space="0"/>
                  </w:tcBorders>
                  <w:vAlign w:val="center"/>
                </w:tcPr>
                <w:p w14:paraId="4B107399">
                  <w:pPr>
                    <w:jc w:val="center"/>
                    <w:rPr>
                      <w:rFonts w:hint="default" w:ascii="Times New Roman" w:hAnsi="Times New Roman" w:cs="Times New Roman"/>
                      <w:color w:val="auto"/>
                      <w:sz w:val="18"/>
                      <w:szCs w:val="18"/>
                    </w:rPr>
                  </w:pPr>
                  <w:r>
                    <w:rPr>
                      <w:rFonts w:hint="eastAsia"/>
                      <w:color w:val="auto"/>
                      <w:sz w:val="18"/>
                      <w:szCs w:val="18"/>
                      <w:lang w:val="en-US" w:eastAsia="zh-CN"/>
                    </w:rPr>
                    <w:t>/</w:t>
                  </w:r>
                </w:p>
              </w:tc>
              <w:tc>
                <w:tcPr>
                  <w:tcW w:w="885" w:type="dxa"/>
                  <w:tcBorders>
                    <w:bottom w:val="single" w:color="auto" w:sz="4" w:space="0"/>
                  </w:tcBorders>
                  <w:vAlign w:val="center"/>
                </w:tcPr>
                <w:p w14:paraId="6D884CF3">
                  <w:pPr>
                    <w:jc w:val="center"/>
                    <w:rPr>
                      <w:rFonts w:hint="eastAsia"/>
                      <w:color w:val="auto"/>
                      <w:sz w:val="18"/>
                      <w:szCs w:val="18"/>
                    </w:rPr>
                  </w:pPr>
                  <w:r>
                    <w:rPr>
                      <w:rFonts w:hint="eastAsia"/>
                      <w:color w:val="auto"/>
                      <w:sz w:val="18"/>
                      <w:szCs w:val="18"/>
                      <w:lang w:val="en-US" w:eastAsia="zh-CN"/>
                    </w:rPr>
                    <w:t>/</w:t>
                  </w:r>
                </w:p>
              </w:tc>
              <w:tc>
                <w:tcPr>
                  <w:tcW w:w="751" w:type="dxa"/>
                  <w:tcBorders>
                    <w:bottom w:val="single" w:color="auto" w:sz="4" w:space="0"/>
                  </w:tcBorders>
                  <w:vAlign w:val="center"/>
                </w:tcPr>
                <w:p w14:paraId="63ADCCF6">
                  <w:pPr>
                    <w:jc w:val="center"/>
                    <w:rPr>
                      <w:rFonts w:hint="eastAsia"/>
                      <w:color w:val="auto"/>
                      <w:sz w:val="18"/>
                      <w:szCs w:val="18"/>
                    </w:rPr>
                  </w:pPr>
                  <w:r>
                    <w:rPr>
                      <w:rFonts w:hint="eastAsia"/>
                      <w:color w:val="auto"/>
                      <w:sz w:val="18"/>
                      <w:szCs w:val="18"/>
                      <w:lang w:val="en-US" w:eastAsia="zh-CN"/>
                    </w:rPr>
                    <w:t>/</w:t>
                  </w:r>
                </w:p>
              </w:tc>
              <w:tc>
                <w:tcPr>
                  <w:tcW w:w="419" w:type="dxa"/>
                  <w:tcBorders>
                    <w:bottom w:val="single" w:color="auto" w:sz="4" w:space="0"/>
                  </w:tcBorders>
                  <w:vAlign w:val="center"/>
                </w:tcPr>
                <w:p w14:paraId="3EFF512A">
                  <w:pPr>
                    <w:jc w:val="center"/>
                    <w:rPr>
                      <w:color w:val="auto"/>
                      <w:sz w:val="18"/>
                      <w:szCs w:val="18"/>
                    </w:rPr>
                  </w:pPr>
                  <w:r>
                    <w:rPr>
                      <w:rFonts w:hint="eastAsia"/>
                      <w:color w:val="auto"/>
                      <w:sz w:val="18"/>
                      <w:szCs w:val="18"/>
                      <w:lang w:val="en-US" w:eastAsia="zh-CN"/>
                    </w:rPr>
                    <w:t>/</w:t>
                  </w:r>
                </w:p>
              </w:tc>
            </w:tr>
            <w:tr w14:paraId="48EA0E6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342" w:type="dxa"/>
                  <w:vMerge w:val="restart"/>
                  <w:vAlign w:val="center"/>
                </w:tcPr>
                <w:p w14:paraId="01CA0497">
                  <w:pPr>
                    <w:pStyle w:val="143"/>
                    <w:rPr>
                      <w:color w:val="auto"/>
                      <w:sz w:val="18"/>
                      <w:szCs w:val="18"/>
                    </w:rPr>
                  </w:pPr>
                  <w:r>
                    <w:rPr>
                      <w:rFonts w:hint="eastAsia"/>
                      <w:color w:val="auto"/>
                      <w:sz w:val="18"/>
                      <w:szCs w:val="18"/>
                      <w:lang w:eastAsia="zh-CN"/>
                    </w:rPr>
                    <w:t>打磨</w:t>
                  </w:r>
                </w:p>
              </w:tc>
              <w:tc>
                <w:tcPr>
                  <w:tcW w:w="563" w:type="dxa"/>
                  <w:vMerge w:val="restart"/>
                  <w:shd w:val="clear" w:color="auto" w:fill="auto"/>
                  <w:tcMar>
                    <w:top w:w="0" w:type="dxa"/>
                    <w:left w:w="28" w:type="dxa"/>
                    <w:bottom w:w="0" w:type="dxa"/>
                    <w:right w:w="28" w:type="dxa"/>
                  </w:tcMar>
                  <w:vAlign w:val="center"/>
                </w:tcPr>
                <w:p w14:paraId="4D6EF177">
                  <w:pPr>
                    <w:pStyle w:val="143"/>
                    <w:rPr>
                      <w:rFonts w:hint="eastAsia"/>
                      <w:color w:val="auto"/>
                      <w:sz w:val="18"/>
                      <w:szCs w:val="18"/>
                      <w:lang w:eastAsia="zh-CN"/>
                    </w:rPr>
                  </w:pPr>
                  <w:r>
                    <w:rPr>
                      <w:rFonts w:hint="eastAsia"/>
                      <w:color w:val="auto"/>
                      <w:sz w:val="18"/>
                      <w:szCs w:val="18"/>
                    </w:rPr>
                    <w:t>8</w:t>
                  </w:r>
                  <w:r>
                    <w:rPr>
                      <w:color w:val="auto"/>
                      <w:sz w:val="18"/>
                      <w:szCs w:val="18"/>
                    </w:rPr>
                    <w:t>0</w:t>
                  </w:r>
                </w:p>
              </w:tc>
              <w:tc>
                <w:tcPr>
                  <w:tcW w:w="688" w:type="dxa"/>
                  <w:tcBorders>
                    <w:bottom w:val="single" w:color="auto" w:sz="4" w:space="0"/>
                  </w:tcBorders>
                  <w:shd w:val="clear" w:color="auto" w:fill="auto"/>
                  <w:vAlign w:val="center"/>
                </w:tcPr>
                <w:p w14:paraId="74A8A5C8">
                  <w:pPr>
                    <w:pStyle w:val="143"/>
                    <w:rPr>
                      <w:rFonts w:hint="eastAsia" w:ascii="Times New Roman" w:hAnsi="Times New Roman" w:eastAsia="宋体" w:cs="Times New Roman"/>
                      <w:color w:val="auto"/>
                      <w:kern w:val="2"/>
                      <w:sz w:val="18"/>
                      <w:szCs w:val="18"/>
                      <w:lang w:val="en-US" w:eastAsia="zh-CN" w:bidi="ar-SA"/>
                    </w:rPr>
                  </w:pPr>
                  <w:r>
                    <w:rPr>
                      <w:color w:val="auto"/>
                      <w:sz w:val="18"/>
                      <w:szCs w:val="18"/>
                    </w:rPr>
                    <w:t>DA00</w:t>
                  </w:r>
                  <w:r>
                    <w:rPr>
                      <w:rFonts w:hint="eastAsia"/>
                      <w:color w:val="auto"/>
                      <w:sz w:val="18"/>
                      <w:szCs w:val="18"/>
                      <w:lang w:val="en-US" w:eastAsia="zh-CN"/>
                    </w:rPr>
                    <w:t>3</w:t>
                  </w:r>
                  <w:r>
                    <w:rPr>
                      <w:color w:val="auto"/>
                      <w:sz w:val="18"/>
                      <w:szCs w:val="18"/>
                    </w:rPr>
                    <w:t>排气筒</w:t>
                  </w:r>
                </w:p>
              </w:tc>
              <w:tc>
                <w:tcPr>
                  <w:tcW w:w="485" w:type="dxa"/>
                  <w:tcBorders>
                    <w:bottom w:val="single" w:color="auto" w:sz="4" w:space="0"/>
                  </w:tcBorders>
                  <w:shd w:val="clear" w:color="auto" w:fill="auto"/>
                  <w:vAlign w:val="center"/>
                </w:tcPr>
                <w:p w14:paraId="2694C3CC">
                  <w:pPr>
                    <w:pStyle w:val="143"/>
                    <w:rPr>
                      <w:rFonts w:ascii="Times New Roman" w:hAnsi="Times New Roman" w:eastAsia="宋体" w:cs="Times New Roman"/>
                      <w:color w:val="auto"/>
                      <w:kern w:val="2"/>
                      <w:sz w:val="18"/>
                      <w:szCs w:val="18"/>
                      <w:lang w:val="en-US" w:eastAsia="zh-CN" w:bidi="ar-SA"/>
                    </w:rPr>
                  </w:pPr>
                  <w:r>
                    <w:rPr>
                      <w:color w:val="auto"/>
                      <w:sz w:val="18"/>
                      <w:szCs w:val="18"/>
                    </w:rPr>
                    <w:t>颗粒物</w:t>
                  </w:r>
                </w:p>
              </w:tc>
              <w:tc>
                <w:tcPr>
                  <w:tcW w:w="353" w:type="dxa"/>
                  <w:tcBorders>
                    <w:bottom w:val="single" w:color="auto" w:sz="4" w:space="0"/>
                  </w:tcBorders>
                  <w:shd w:val="clear" w:color="auto" w:fill="auto"/>
                  <w:vAlign w:val="center"/>
                </w:tcPr>
                <w:p w14:paraId="57032EF6">
                  <w:pPr>
                    <w:pStyle w:val="143"/>
                    <w:rPr>
                      <w:rFonts w:ascii="Times New Roman" w:hAnsi="Times New Roman" w:eastAsia="宋体" w:cs="Times New Roman"/>
                      <w:color w:val="auto"/>
                      <w:kern w:val="2"/>
                      <w:sz w:val="18"/>
                      <w:szCs w:val="18"/>
                      <w:lang w:val="en-US" w:eastAsia="zh-CN" w:bidi="ar-SA"/>
                    </w:rPr>
                  </w:pPr>
                  <w:r>
                    <w:rPr>
                      <w:color w:val="auto"/>
                      <w:sz w:val="18"/>
                      <w:szCs w:val="18"/>
                    </w:rPr>
                    <w:t>系数法</w:t>
                  </w:r>
                </w:p>
              </w:tc>
              <w:tc>
                <w:tcPr>
                  <w:tcW w:w="732" w:type="dxa"/>
                  <w:tcBorders>
                    <w:bottom w:val="single" w:color="auto" w:sz="4" w:space="0"/>
                  </w:tcBorders>
                  <w:shd w:val="clear" w:color="auto" w:fill="auto"/>
                  <w:vAlign w:val="center"/>
                </w:tcPr>
                <w:p w14:paraId="4E269FCB">
                  <w:pPr>
                    <w:pStyle w:val="143"/>
                    <w:rPr>
                      <w:rFonts w:hint="default"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450</w:t>
                  </w:r>
                </w:p>
              </w:tc>
              <w:tc>
                <w:tcPr>
                  <w:tcW w:w="539" w:type="dxa"/>
                  <w:tcBorders>
                    <w:bottom w:val="single" w:color="auto" w:sz="4" w:space="0"/>
                  </w:tcBorders>
                  <w:shd w:val="clear" w:color="auto" w:fill="auto"/>
                  <w:vAlign w:val="center"/>
                </w:tcPr>
                <w:p w14:paraId="574834FA">
                  <w:pPr>
                    <w:pStyle w:val="119"/>
                    <w:rPr>
                      <w:rFonts w:hint="default" w:ascii="Times New Roman" w:hAnsi="Times New Roman" w:eastAsia="宋体" w:cs="Times New Roman"/>
                      <w:color w:val="auto"/>
                      <w:spacing w:val="1"/>
                      <w:kern w:val="0"/>
                      <w:sz w:val="18"/>
                      <w:szCs w:val="18"/>
                      <w:lang w:val="en-US" w:eastAsia="zh-CN" w:bidi="ar-SA"/>
                    </w:rPr>
                  </w:pPr>
                  <w:r>
                    <w:rPr>
                      <w:rFonts w:hint="eastAsia"/>
                      <w:color w:val="auto"/>
                      <w:sz w:val="18"/>
                      <w:szCs w:val="18"/>
                      <w:lang w:val="en-US" w:eastAsia="zh-CN"/>
                    </w:rPr>
                    <w:t>6.483</w:t>
                  </w:r>
                </w:p>
              </w:tc>
              <w:tc>
                <w:tcPr>
                  <w:tcW w:w="564" w:type="dxa"/>
                  <w:tcBorders>
                    <w:bottom w:val="single" w:color="auto" w:sz="4" w:space="0"/>
                  </w:tcBorders>
                  <w:shd w:val="clear" w:color="auto" w:fill="auto"/>
                  <w:vAlign w:val="center"/>
                </w:tcPr>
                <w:p w14:paraId="2C488E28">
                  <w:pPr>
                    <w:pStyle w:val="119"/>
                    <w:rPr>
                      <w:rFonts w:hint="default" w:ascii="Times New Roman" w:hAnsi="Times New Roman" w:eastAsia="宋体" w:cs="Times New Roman"/>
                      <w:color w:val="auto"/>
                      <w:spacing w:val="1"/>
                      <w:kern w:val="0"/>
                      <w:sz w:val="18"/>
                      <w:szCs w:val="18"/>
                      <w:lang w:val="en-US" w:eastAsia="zh-CN" w:bidi="ar-SA"/>
                    </w:rPr>
                  </w:pPr>
                  <w:r>
                    <w:rPr>
                      <w:rFonts w:hint="eastAsia"/>
                      <w:color w:val="auto"/>
                      <w:sz w:val="18"/>
                      <w:szCs w:val="18"/>
                      <w:lang w:val="en-US" w:eastAsia="zh-CN"/>
                    </w:rPr>
                    <w:t>2.25</w:t>
                  </w:r>
                </w:p>
              </w:tc>
              <w:tc>
                <w:tcPr>
                  <w:tcW w:w="625" w:type="dxa"/>
                  <w:tcBorders>
                    <w:bottom w:val="single" w:color="auto" w:sz="4" w:space="0"/>
                  </w:tcBorders>
                  <w:shd w:val="clear" w:color="auto" w:fill="auto"/>
                  <w:vAlign w:val="center"/>
                </w:tcPr>
                <w:p w14:paraId="1FC6F732">
                  <w:pPr>
                    <w:pStyle w:val="143"/>
                    <w:rPr>
                      <w:rFonts w:hint="eastAsia" w:ascii="Times New Roman" w:hAnsi="Times New Roman" w:eastAsia="宋体" w:cs="Times New Roman"/>
                      <w:color w:val="auto"/>
                      <w:kern w:val="2"/>
                      <w:sz w:val="18"/>
                      <w:szCs w:val="18"/>
                      <w:lang w:val="en-US" w:eastAsia="zh-CN" w:bidi="ar-SA"/>
                    </w:rPr>
                  </w:pPr>
                  <w:r>
                    <w:rPr>
                      <w:color w:val="auto"/>
                      <w:sz w:val="18"/>
                      <w:szCs w:val="18"/>
                    </w:rPr>
                    <w:t>布袋除尘+</w:t>
                  </w:r>
                  <w:r>
                    <w:rPr>
                      <w:rFonts w:hint="eastAsia"/>
                      <w:color w:val="auto"/>
                      <w:sz w:val="18"/>
                      <w:szCs w:val="18"/>
                      <w:lang w:val="en-US" w:eastAsia="zh-CN"/>
                    </w:rPr>
                    <w:t>2</w:t>
                  </w:r>
                  <w:r>
                    <w:rPr>
                      <w:color w:val="auto"/>
                      <w:sz w:val="18"/>
                      <w:szCs w:val="18"/>
                    </w:rPr>
                    <w:t>5m排气筒</w:t>
                  </w:r>
                </w:p>
              </w:tc>
              <w:tc>
                <w:tcPr>
                  <w:tcW w:w="574" w:type="dxa"/>
                  <w:tcBorders>
                    <w:bottom w:val="single" w:color="auto" w:sz="4" w:space="0"/>
                  </w:tcBorders>
                  <w:shd w:val="clear" w:color="auto" w:fill="auto"/>
                  <w:vAlign w:val="center"/>
                </w:tcPr>
                <w:p w14:paraId="1AA2993B">
                  <w:pPr>
                    <w:pStyle w:val="143"/>
                    <w:rPr>
                      <w:rFonts w:hint="eastAsia" w:ascii="Times New Roman" w:hAnsi="Times New Roman" w:eastAsia="宋体" w:cs="Times New Roman"/>
                      <w:color w:val="auto"/>
                      <w:kern w:val="2"/>
                      <w:sz w:val="18"/>
                      <w:szCs w:val="18"/>
                      <w:lang w:val="en-US" w:eastAsia="zh-CN" w:bidi="ar-SA"/>
                    </w:rPr>
                  </w:pPr>
                  <w:r>
                    <w:rPr>
                      <w:rFonts w:hint="eastAsia"/>
                      <w:color w:val="auto"/>
                      <w:sz w:val="18"/>
                      <w:szCs w:val="18"/>
                      <w:highlight w:val="none"/>
                      <w:lang w:val="en-US" w:eastAsia="zh-CN"/>
                    </w:rPr>
                    <w:t>30</w:t>
                  </w:r>
                  <w:r>
                    <w:rPr>
                      <w:color w:val="auto"/>
                      <w:sz w:val="18"/>
                      <w:szCs w:val="18"/>
                      <w:highlight w:val="none"/>
                    </w:rPr>
                    <w:t>000</w:t>
                  </w:r>
                </w:p>
              </w:tc>
              <w:tc>
                <w:tcPr>
                  <w:tcW w:w="451" w:type="dxa"/>
                  <w:tcBorders>
                    <w:bottom w:val="single" w:color="auto" w:sz="4" w:space="0"/>
                  </w:tcBorders>
                  <w:shd w:val="clear" w:color="auto" w:fill="auto"/>
                  <w:vAlign w:val="center"/>
                </w:tcPr>
                <w:p w14:paraId="4153EDFD">
                  <w:pPr>
                    <w:pStyle w:val="143"/>
                    <w:rPr>
                      <w:rFonts w:hint="eastAsia"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9</w:t>
                  </w:r>
                  <w:r>
                    <w:rPr>
                      <w:color w:val="auto"/>
                      <w:sz w:val="18"/>
                      <w:szCs w:val="18"/>
                    </w:rPr>
                    <w:t>5</w:t>
                  </w:r>
                </w:p>
              </w:tc>
              <w:tc>
                <w:tcPr>
                  <w:tcW w:w="419" w:type="dxa"/>
                  <w:tcBorders>
                    <w:bottom w:val="single" w:color="auto" w:sz="4" w:space="0"/>
                  </w:tcBorders>
                  <w:shd w:val="clear" w:color="auto" w:fill="auto"/>
                  <w:vAlign w:val="center"/>
                </w:tcPr>
                <w:p w14:paraId="422A2C9B">
                  <w:pPr>
                    <w:pStyle w:val="143"/>
                    <w:rPr>
                      <w:rFonts w:ascii="Times New Roman" w:hAnsi="Times New Roman" w:eastAsia="宋体" w:cs="Times New Roman"/>
                      <w:color w:val="auto"/>
                      <w:kern w:val="2"/>
                      <w:sz w:val="18"/>
                      <w:szCs w:val="18"/>
                      <w:lang w:val="en-US" w:eastAsia="zh-CN" w:bidi="ar-SA"/>
                    </w:rPr>
                  </w:pPr>
                  <w:r>
                    <w:rPr>
                      <w:color w:val="auto"/>
                      <w:sz w:val="18"/>
                      <w:szCs w:val="18"/>
                    </w:rPr>
                    <w:t>是</w:t>
                  </w:r>
                </w:p>
              </w:tc>
              <w:tc>
                <w:tcPr>
                  <w:tcW w:w="544" w:type="dxa"/>
                  <w:tcBorders>
                    <w:bottom w:val="single" w:color="auto" w:sz="4" w:space="0"/>
                  </w:tcBorders>
                  <w:shd w:val="clear" w:color="auto" w:fill="auto"/>
                  <w:vAlign w:val="center"/>
                </w:tcPr>
                <w:p w14:paraId="4202EE56">
                  <w:pPr>
                    <w:pStyle w:val="143"/>
                    <w:rPr>
                      <w:rFonts w:hint="eastAsia" w:ascii="Times New Roman" w:hAnsi="Times New Roman" w:eastAsia="宋体" w:cs="Times New Roman"/>
                      <w:color w:val="auto"/>
                      <w:kern w:val="2"/>
                      <w:sz w:val="18"/>
                      <w:szCs w:val="18"/>
                      <w:highlight w:val="none"/>
                      <w:lang w:val="en-US" w:eastAsia="zh-CN" w:bidi="ar-SA"/>
                    </w:rPr>
                  </w:pPr>
                  <w:r>
                    <w:rPr>
                      <w:rFonts w:hint="eastAsia"/>
                      <w:color w:val="auto"/>
                      <w:sz w:val="18"/>
                      <w:szCs w:val="18"/>
                      <w:highlight w:val="none"/>
                      <w:lang w:val="en-US" w:eastAsia="zh-CN"/>
                    </w:rPr>
                    <w:t>30</w:t>
                  </w:r>
                  <w:r>
                    <w:rPr>
                      <w:color w:val="auto"/>
                      <w:sz w:val="18"/>
                      <w:szCs w:val="18"/>
                      <w:highlight w:val="none"/>
                    </w:rPr>
                    <w:t>000</w:t>
                  </w:r>
                </w:p>
              </w:tc>
              <w:tc>
                <w:tcPr>
                  <w:tcW w:w="696" w:type="dxa"/>
                  <w:shd w:val="clear" w:color="auto" w:fill="auto"/>
                  <w:vAlign w:val="center"/>
                </w:tcPr>
                <w:p w14:paraId="30DDF3A6">
                  <w:pPr>
                    <w:pStyle w:val="143"/>
                    <w:rPr>
                      <w:rFonts w:hint="default" w:ascii="Times New Roman" w:hAnsi="Times New Roman" w:eastAsia="宋体" w:cs="Times New Roman"/>
                      <w:color w:val="auto"/>
                      <w:kern w:val="2"/>
                      <w:sz w:val="18"/>
                      <w:szCs w:val="18"/>
                      <w:highlight w:val="none"/>
                      <w:lang w:val="en-US" w:eastAsia="zh-CN" w:bidi="ar-SA"/>
                    </w:rPr>
                  </w:pPr>
                  <w:r>
                    <w:rPr>
                      <w:rFonts w:hint="eastAsia"/>
                      <w:color w:val="auto"/>
                      <w:sz w:val="18"/>
                      <w:szCs w:val="18"/>
                      <w:highlight w:val="none"/>
                      <w:lang w:val="en-US" w:eastAsia="zh-CN"/>
                    </w:rPr>
                    <w:t>3</w:t>
                  </w:r>
                </w:p>
              </w:tc>
              <w:tc>
                <w:tcPr>
                  <w:tcW w:w="564" w:type="dxa"/>
                  <w:shd w:val="clear" w:color="auto" w:fill="auto"/>
                  <w:vAlign w:val="center"/>
                </w:tcPr>
                <w:p w14:paraId="2F57783B">
                  <w:pPr>
                    <w:pStyle w:val="143"/>
                    <w:rPr>
                      <w:rFonts w:hint="default" w:ascii="Times New Roman" w:hAnsi="Times New Roman" w:eastAsia="宋体" w:cs="Times New Roman"/>
                      <w:color w:val="auto"/>
                      <w:kern w:val="2"/>
                      <w:sz w:val="18"/>
                      <w:szCs w:val="18"/>
                      <w:lang w:val="en-US" w:eastAsia="zh-CN" w:bidi="ar-SA"/>
                    </w:rPr>
                  </w:pPr>
                  <w:r>
                    <w:rPr>
                      <w:rFonts w:hint="eastAsia"/>
                      <w:color w:val="auto"/>
                      <w:sz w:val="18"/>
                      <w:szCs w:val="18"/>
                    </w:rPr>
                    <w:t>0</w:t>
                  </w:r>
                  <w:r>
                    <w:rPr>
                      <w:color w:val="auto"/>
                      <w:sz w:val="18"/>
                      <w:szCs w:val="18"/>
                    </w:rPr>
                    <w:t>.</w:t>
                  </w:r>
                  <w:r>
                    <w:rPr>
                      <w:rFonts w:hint="eastAsia"/>
                      <w:color w:val="auto"/>
                      <w:sz w:val="18"/>
                      <w:szCs w:val="18"/>
                      <w:lang w:val="en-US" w:eastAsia="zh-CN"/>
                    </w:rPr>
                    <w:t>324</w:t>
                  </w:r>
                </w:p>
              </w:tc>
              <w:tc>
                <w:tcPr>
                  <w:tcW w:w="530" w:type="dxa"/>
                  <w:shd w:val="clear" w:color="auto" w:fill="auto"/>
                  <w:vAlign w:val="center"/>
                </w:tcPr>
                <w:p w14:paraId="4B90D2B7">
                  <w:pPr>
                    <w:pStyle w:val="143"/>
                    <w:rPr>
                      <w:rFonts w:hint="default" w:ascii="Times New Roman" w:hAnsi="Times New Roman" w:eastAsia="宋体" w:cs="Times New Roman"/>
                      <w:color w:val="auto"/>
                      <w:kern w:val="2"/>
                      <w:sz w:val="18"/>
                      <w:szCs w:val="18"/>
                      <w:lang w:val="en-US" w:eastAsia="zh-CN" w:bidi="ar-SA"/>
                    </w:rPr>
                  </w:pPr>
                  <w:r>
                    <w:rPr>
                      <w:rFonts w:hint="eastAsia"/>
                      <w:color w:val="auto"/>
                      <w:sz w:val="18"/>
                      <w:szCs w:val="18"/>
                    </w:rPr>
                    <w:t>0</w:t>
                  </w:r>
                  <w:r>
                    <w:rPr>
                      <w:color w:val="auto"/>
                      <w:sz w:val="18"/>
                      <w:szCs w:val="18"/>
                    </w:rPr>
                    <w:t>.</w:t>
                  </w:r>
                  <w:r>
                    <w:rPr>
                      <w:rFonts w:hint="eastAsia"/>
                      <w:color w:val="auto"/>
                      <w:sz w:val="18"/>
                      <w:szCs w:val="18"/>
                      <w:lang w:val="en-US" w:eastAsia="zh-CN"/>
                    </w:rPr>
                    <w:t>90</w:t>
                  </w:r>
                </w:p>
              </w:tc>
              <w:tc>
                <w:tcPr>
                  <w:tcW w:w="483" w:type="dxa"/>
                  <w:tcBorders>
                    <w:bottom w:val="single" w:color="auto" w:sz="4" w:space="0"/>
                  </w:tcBorders>
                  <w:shd w:val="clear" w:color="auto" w:fill="auto"/>
                  <w:vAlign w:val="center"/>
                </w:tcPr>
                <w:p w14:paraId="783BA82E">
                  <w:pPr>
                    <w:pStyle w:val="143"/>
                    <w:rPr>
                      <w:rFonts w:hint="default"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3600</w:t>
                  </w:r>
                </w:p>
              </w:tc>
              <w:tc>
                <w:tcPr>
                  <w:tcW w:w="477" w:type="dxa"/>
                  <w:tcBorders>
                    <w:bottom w:val="single" w:color="auto" w:sz="4" w:space="0"/>
                  </w:tcBorders>
                  <w:shd w:val="clear" w:color="auto" w:fill="auto"/>
                  <w:vAlign w:val="center"/>
                </w:tcPr>
                <w:p w14:paraId="171AAF79">
                  <w:pPr>
                    <w:pStyle w:val="143"/>
                    <w:rPr>
                      <w:rFonts w:ascii="Times New Roman" w:hAnsi="Times New Roman" w:eastAsia="宋体" w:cs="Times New Roman"/>
                      <w:color w:val="auto"/>
                      <w:kern w:val="2"/>
                      <w:sz w:val="18"/>
                      <w:szCs w:val="18"/>
                      <w:lang w:val="en-US" w:eastAsia="zh-CN" w:bidi="ar-SA"/>
                    </w:rPr>
                  </w:pPr>
                  <w:r>
                    <w:rPr>
                      <w:color w:val="auto"/>
                      <w:sz w:val="18"/>
                      <w:szCs w:val="18"/>
                    </w:rPr>
                    <w:t>DA003</w:t>
                  </w:r>
                </w:p>
              </w:tc>
              <w:tc>
                <w:tcPr>
                  <w:tcW w:w="374" w:type="dxa"/>
                  <w:tcBorders>
                    <w:bottom w:val="single" w:color="auto" w:sz="4" w:space="0"/>
                  </w:tcBorders>
                  <w:shd w:val="clear" w:color="auto" w:fill="auto"/>
                  <w:vAlign w:val="center"/>
                </w:tcPr>
                <w:p w14:paraId="759969F9">
                  <w:pPr>
                    <w:pStyle w:val="143"/>
                    <w:rPr>
                      <w:rFonts w:ascii="Times New Roman" w:hAnsi="Times New Roman" w:eastAsia="宋体" w:cs="Times New Roman"/>
                      <w:color w:val="auto"/>
                      <w:kern w:val="2"/>
                      <w:sz w:val="18"/>
                      <w:szCs w:val="18"/>
                      <w:highlight w:val="none"/>
                      <w:lang w:val="en-US" w:eastAsia="zh-CN" w:bidi="ar-SA"/>
                    </w:rPr>
                  </w:pPr>
                  <w:r>
                    <w:rPr>
                      <w:rFonts w:hint="eastAsia"/>
                      <w:color w:val="auto"/>
                      <w:sz w:val="18"/>
                      <w:szCs w:val="18"/>
                      <w:highlight w:val="none"/>
                      <w:lang w:val="en-US" w:eastAsia="zh-CN"/>
                    </w:rPr>
                    <w:t>2</w:t>
                  </w:r>
                  <w:r>
                    <w:rPr>
                      <w:color w:val="auto"/>
                      <w:sz w:val="18"/>
                      <w:szCs w:val="18"/>
                      <w:highlight w:val="none"/>
                    </w:rPr>
                    <w:t>5</w:t>
                  </w:r>
                </w:p>
              </w:tc>
              <w:tc>
                <w:tcPr>
                  <w:tcW w:w="375" w:type="dxa"/>
                  <w:tcBorders>
                    <w:bottom w:val="single" w:color="auto" w:sz="4" w:space="0"/>
                  </w:tcBorders>
                  <w:shd w:val="clear" w:color="auto" w:fill="auto"/>
                  <w:vAlign w:val="center"/>
                </w:tcPr>
                <w:p w14:paraId="553A60F4">
                  <w:pPr>
                    <w:pStyle w:val="143"/>
                    <w:rPr>
                      <w:rFonts w:hint="eastAsia" w:ascii="Times New Roman" w:hAnsi="Times New Roman" w:eastAsia="宋体" w:cs="Times New Roman"/>
                      <w:color w:val="auto"/>
                      <w:kern w:val="2"/>
                      <w:sz w:val="18"/>
                      <w:szCs w:val="18"/>
                      <w:highlight w:val="none"/>
                      <w:lang w:val="en-US" w:eastAsia="zh-CN" w:bidi="ar-SA"/>
                    </w:rPr>
                  </w:pPr>
                  <w:r>
                    <w:rPr>
                      <w:color w:val="auto"/>
                      <w:sz w:val="18"/>
                      <w:szCs w:val="18"/>
                      <w:highlight w:val="none"/>
                    </w:rPr>
                    <w:t>0.</w:t>
                  </w:r>
                  <w:r>
                    <w:rPr>
                      <w:rFonts w:hint="eastAsia"/>
                      <w:color w:val="auto"/>
                      <w:sz w:val="18"/>
                      <w:szCs w:val="18"/>
                      <w:highlight w:val="none"/>
                      <w:lang w:val="en-US" w:eastAsia="zh-CN"/>
                    </w:rPr>
                    <w:t>9</w:t>
                  </w:r>
                </w:p>
              </w:tc>
              <w:tc>
                <w:tcPr>
                  <w:tcW w:w="407" w:type="dxa"/>
                  <w:tcBorders>
                    <w:bottom w:val="single" w:color="auto" w:sz="4" w:space="0"/>
                  </w:tcBorders>
                  <w:shd w:val="clear" w:color="auto" w:fill="auto"/>
                  <w:vAlign w:val="center"/>
                </w:tcPr>
                <w:p w14:paraId="18CBE9A8">
                  <w:pPr>
                    <w:pStyle w:val="143"/>
                    <w:rPr>
                      <w:rFonts w:ascii="Times New Roman" w:hAnsi="Times New Roman" w:eastAsia="宋体" w:cs="Times New Roman"/>
                      <w:color w:val="auto"/>
                      <w:kern w:val="2"/>
                      <w:sz w:val="18"/>
                      <w:szCs w:val="18"/>
                      <w:highlight w:val="none"/>
                      <w:lang w:val="en-US" w:eastAsia="zh-CN" w:bidi="ar-SA"/>
                    </w:rPr>
                  </w:pPr>
                  <w:r>
                    <w:rPr>
                      <w:color w:val="auto"/>
                      <w:sz w:val="18"/>
                      <w:szCs w:val="18"/>
                      <w:highlight w:val="none"/>
                    </w:rPr>
                    <w:t>25</w:t>
                  </w:r>
                </w:p>
              </w:tc>
              <w:tc>
                <w:tcPr>
                  <w:tcW w:w="1171" w:type="dxa"/>
                  <w:tcBorders>
                    <w:bottom w:val="single" w:color="auto" w:sz="4" w:space="0"/>
                  </w:tcBorders>
                  <w:shd w:val="clear" w:color="auto" w:fill="auto"/>
                  <w:vAlign w:val="center"/>
                </w:tcPr>
                <w:p w14:paraId="46B3495D">
                  <w:pPr>
                    <w:pStyle w:val="143"/>
                    <w:rPr>
                      <w:rFonts w:hint="default" w:ascii="Times New Roman" w:hAnsi="Times New Roman" w:cs="Times New Roman"/>
                      <w:color w:val="auto"/>
                      <w:sz w:val="18"/>
                      <w:szCs w:val="18"/>
                      <w:lang w:val="en-US" w:eastAsia="zh-CN"/>
                    </w:rPr>
                  </w:pPr>
                  <w:r>
                    <w:rPr>
                      <w:rFonts w:hint="default" w:ascii="Times New Roman" w:hAnsi="Times New Roman" w:cs="Times New Roman"/>
                      <w:color w:val="auto"/>
                      <w:sz w:val="18"/>
                      <w:szCs w:val="18"/>
                    </w:rPr>
                    <w:t>119°18′11.921″</w:t>
                  </w:r>
                  <w:r>
                    <w:rPr>
                      <w:rFonts w:hint="eastAsia" w:cs="Times New Roman"/>
                      <w:color w:val="auto"/>
                      <w:sz w:val="18"/>
                      <w:szCs w:val="18"/>
                      <w:lang w:eastAsia="zh-CN"/>
                    </w:rPr>
                    <w:t>;</w:t>
                  </w:r>
                  <w:r>
                    <w:rPr>
                      <w:rFonts w:hint="default" w:ascii="Times New Roman" w:hAnsi="Times New Roman" w:cs="Times New Roman"/>
                      <w:color w:val="auto"/>
                      <w:sz w:val="18"/>
                      <w:szCs w:val="18"/>
                    </w:rPr>
                    <w:t>25°59′53.552″</w:t>
                  </w:r>
                </w:p>
              </w:tc>
              <w:tc>
                <w:tcPr>
                  <w:tcW w:w="885" w:type="dxa"/>
                  <w:tcBorders>
                    <w:bottom w:val="single" w:color="auto" w:sz="4" w:space="0"/>
                  </w:tcBorders>
                  <w:shd w:val="clear" w:color="auto" w:fill="auto"/>
                  <w:vAlign w:val="center"/>
                </w:tcPr>
                <w:p w14:paraId="66E28407">
                  <w:pPr>
                    <w:pStyle w:val="143"/>
                    <w:rPr>
                      <w:rFonts w:hint="eastAsia" w:ascii="Times New Roman" w:hAnsi="Times New Roman" w:eastAsia="宋体" w:cs="Times New Roman"/>
                      <w:color w:val="auto"/>
                      <w:kern w:val="2"/>
                      <w:sz w:val="18"/>
                      <w:szCs w:val="18"/>
                      <w:lang w:val="en-US" w:eastAsia="zh-CN" w:bidi="ar-SA"/>
                    </w:rPr>
                  </w:pPr>
                  <w:r>
                    <w:rPr>
                      <w:rFonts w:hint="eastAsia"/>
                      <w:color w:val="auto"/>
                      <w:sz w:val="18"/>
                      <w:szCs w:val="18"/>
                    </w:rPr>
                    <w:t>1</w:t>
                  </w:r>
                  <w:r>
                    <w:rPr>
                      <w:color w:val="auto"/>
                      <w:sz w:val="18"/>
                      <w:szCs w:val="18"/>
                    </w:rPr>
                    <w:t>20</w:t>
                  </w:r>
                </w:p>
              </w:tc>
              <w:tc>
                <w:tcPr>
                  <w:tcW w:w="751" w:type="dxa"/>
                  <w:tcBorders>
                    <w:bottom w:val="single" w:color="auto" w:sz="4" w:space="0"/>
                  </w:tcBorders>
                  <w:shd w:val="clear" w:color="auto" w:fill="auto"/>
                  <w:vAlign w:val="center"/>
                </w:tcPr>
                <w:p w14:paraId="280B9A57">
                  <w:pPr>
                    <w:pStyle w:val="143"/>
                    <w:rPr>
                      <w:rFonts w:hint="eastAsia"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7.225</w:t>
                  </w:r>
                </w:p>
              </w:tc>
              <w:tc>
                <w:tcPr>
                  <w:tcW w:w="419" w:type="dxa"/>
                  <w:tcBorders>
                    <w:bottom w:val="single" w:color="auto" w:sz="4" w:space="0"/>
                  </w:tcBorders>
                  <w:shd w:val="clear" w:color="auto" w:fill="auto"/>
                  <w:vAlign w:val="center"/>
                </w:tcPr>
                <w:p w14:paraId="78FFB52A">
                  <w:pPr>
                    <w:pStyle w:val="143"/>
                    <w:rPr>
                      <w:rFonts w:ascii="Times New Roman" w:hAnsi="Times New Roman" w:eastAsia="宋体" w:cs="Times New Roman"/>
                      <w:color w:val="auto"/>
                      <w:kern w:val="2"/>
                      <w:sz w:val="18"/>
                      <w:szCs w:val="18"/>
                      <w:lang w:val="en-US" w:eastAsia="zh-CN" w:bidi="ar-SA"/>
                    </w:rPr>
                  </w:pPr>
                  <w:r>
                    <w:rPr>
                      <w:color w:val="auto"/>
                      <w:sz w:val="18"/>
                      <w:szCs w:val="18"/>
                    </w:rPr>
                    <w:t>达标</w:t>
                  </w:r>
                </w:p>
              </w:tc>
            </w:tr>
            <w:tr w14:paraId="7C9CB4E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342" w:type="dxa"/>
                  <w:vMerge w:val="continue"/>
                  <w:vAlign w:val="center"/>
                </w:tcPr>
                <w:p w14:paraId="5E8D07CF">
                  <w:pPr>
                    <w:pStyle w:val="143"/>
                    <w:rPr>
                      <w:color w:val="auto"/>
                      <w:sz w:val="18"/>
                      <w:szCs w:val="18"/>
                    </w:rPr>
                  </w:pPr>
                </w:p>
              </w:tc>
              <w:tc>
                <w:tcPr>
                  <w:tcW w:w="563" w:type="dxa"/>
                  <w:vMerge w:val="continue"/>
                  <w:tcBorders>
                    <w:bottom w:val="single" w:color="auto" w:sz="4" w:space="0"/>
                  </w:tcBorders>
                  <w:shd w:val="clear" w:color="auto" w:fill="auto"/>
                  <w:tcMar>
                    <w:top w:w="0" w:type="dxa"/>
                    <w:left w:w="28" w:type="dxa"/>
                    <w:bottom w:w="0" w:type="dxa"/>
                    <w:right w:w="28" w:type="dxa"/>
                  </w:tcMar>
                  <w:vAlign w:val="center"/>
                </w:tcPr>
                <w:p w14:paraId="2A619CEB">
                  <w:pPr>
                    <w:jc w:val="center"/>
                    <w:rPr>
                      <w:rFonts w:hint="eastAsia"/>
                      <w:color w:val="auto"/>
                      <w:sz w:val="18"/>
                      <w:szCs w:val="18"/>
                      <w:lang w:eastAsia="zh-CN"/>
                    </w:rPr>
                  </w:pPr>
                </w:p>
              </w:tc>
              <w:tc>
                <w:tcPr>
                  <w:tcW w:w="688" w:type="dxa"/>
                  <w:tcBorders>
                    <w:bottom w:val="single" w:color="auto" w:sz="4" w:space="0"/>
                  </w:tcBorders>
                  <w:shd w:val="clear" w:color="auto" w:fill="auto"/>
                  <w:vAlign w:val="center"/>
                </w:tcPr>
                <w:p w14:paraId="336F045C">
                  <w:pPr>
                    <w:pStyle w:val="143"/>
                    <w:rPr>
                      <w:rFonts w:hint="eastAsia"/>
                      <w:color w:val="auto"/>
                      <w:sz w:val="18"/>
                      <w:szCs w:val="18"/>
                      <w:lang w:eastAsia="zh-CN"/>
                    </w:rPr>
                  </w:pPr>
                  <w:r>
                    <w:rPr>
                      <w:rFonts w:hint="eastAsia"/>
                      <w:color w:val="auto"/>
                      <w:sz w:val="18"/>
                      <w:szCs w:val="18"/>
                      <w:lang w:eastAsia="zh-CN"/>
                    </w:rPr>
                    <w:t>无组织</w:t>
                  </w:r>
                </w:p>
              </w:tc>
              <w:tc>
                <w:tcPr>
                  <w:tcW w:w="485" w:type="dxa"/>
                  <w:tcBorders>
                    <w:bottom w:val="single" w:color="auto" w:sz="4" w:space="0"/>
                  </w:tcBorders>
                  <w:shd w:val="clear" w:color="auto" w:fill="auto"/>
                  <w:vAlign w:val="center"/>
                </w:tcPr>
                <w:p w14:paraId="2267AE78">
                  <w:pPr>
                    <w:pStyle w:val="143"/>
                    <w:rPr>
                      <w:color w:val="auto"/>
                      <w:sz w:val="18"/>
                      <w:szCs w:val="18"/>
                    </w:rPr>
                  </w:pPr>
                  <w:r>
                    <w:rPr>
                      <w:color w:val="auto"/>
                      <w:sz w:val="18"/>
                      <w:szCs w:val="18"/>
                    </w:rPr>
                    <w:t>颗粒物</w:t>
                  </w:r>
                </w:p>
              </w:tc>
              <w:tc>
                <w:tcPr>
                  <w:tcW w:w="353" w:type="dxa"/>
                  <w:tcBorders>
                    <w:bottom w:val="single" w:color="auto" w:sz="4" w:space="0"/>
                  </w:tcBorders>
                  <w:shd w:val="clear" w:color="auto" w:fill="auto"/>
                  <w:vAlign w:val="center"/>
                </w:tcPr>
                <w:p w14:paraId="3353BF56">
                  <w:pPr>
                    <w:pStyle w:val="143"/>
                    <w:rPr>
                      <w:color w:val="auto"/>
                      <w:sz w:val="18"/>
                      <w:szCs w:val="18"/>
                    </w:rPr>
                  </w:pPr>
                </w:p>
              </w:tc>
              <w:tc>
                <w:tcPr>
                  <w:tcW w:w="732" w:type="dxa"/>
                  <w:tcBorders>
                    <w:bottom w:val="single" w:color="auto" w:sz="4" w:space="0"/>
                  </w:tcBorders>
                  <w:shd w:val="clear" w:color="auto" w:fill="auto"/>
                  <w:vAlign w:val="center"/>
                </w:tcPr>
                <w:p w14:paraId="737333C8">
                  <w:pPr>
                    <w:pStyle w:val="143"/>
                    <w:rPr>
                      <w:rFonts w:hint="eastAsia" w:eastAsia="宋体"/>
                      <w:color w:val="auto"/>
                      <w:sz w:val="18"/>
                      <w:szCs w:val="18"/>
                      <w:lang w:eastAsia="zh-CN"/>
                    </w:rPr>
                  </w:pPr>
                  <w:r>
                    <w:rPr>
                      <w:rFonts w:hint="eastAsia"/>
                      <w:color w:val="auto"/>
                      <w:sz w:val="18"/>
                      <w:szCs w:val="18"/>
                      <w:lang w:val="en-US" w:eastAsia="zh-CN"/>
                    </w:rPr>
                    <w:t>/</w:t>
                  </w:r>
                </w:p>
              </w:tc>
              <w:tc>
                <w:tcPr>
                  <w:tcW w:w="539" w:type="dxa"/>
                  <w:tcBorders>
                    <w:bottom w:val="single" w:color="auto" w:sz="4" w:space="0"/>
                  </w:tcBorders>
                  <w:shd w:val="clear" w:color="auto" w:fill="auto"/>
                  <w:vAlign w:val="center"/>
                </w:tcPr>
                <w:p w14:paraId="72618C12">
                  <w:pPr>
                    <w:pStyle w:val="119"/>
                    <w:rPr>
                      <w:rFonts w:hint="default" w:eastAsia="宋体"/>
                      <w:color w:val="auto"/>
                      <w:sz w:val="18"/>
                      <w:szCs w:val="18"/>
                      <w:lang w:val="en-US" w:eastAsia="zh-CN"/>
                    </w:rPr>
                  </w:pPr>
                  <w:r>
                    <w:rPr>
                      <w:rFonts w:hint="eastAsia"/>
                      <w:color w:val="auto"/>
                      <w:sz w:val="18"/>
                      <w:szCs w:val="18"/>
                      <w:lang w:val="en-US" w:eastAsia="zh-CN"/>
                    </w:rPr>
                    <w:t>1.62</w:t>
                  </w:r>
                </w:p>
              </w:tc>
              <w:tc>
                <w:tcPr>
                  <w:tcW w:w="564" w:type="dxa"/>
                  <w:tcBorders>
                    <w:bottom w:val="single" w:color="auto" w:sz="4" w:space="0"/>
                  </w:tcBorders>
                  <w:shd w:val="clear" w:color="auto" w:fill="auto"/>
                  <w:vAlign w:val="center"/>
                </w:tcPr>
                <w:p w14:paraId="407C40DB">
                  <w:pPr>
                    <w:pStyle w:val="119"/>
                    <w:rPr>
                      <w:rFonts w:hint="default" w:eastAsia="宋体"/>
                      <w:color w:val="auto"/>
                      <w:sz w:val="18"/>
                      <w:szCs w:val="18"/>
                      <w:lang w:val="en-US" w:eastAsia="zh-CN"/>
                    </w:rPr>
                  </w:pPr>
                  <w:r>
                    <w:rPr>
                      <w:rFonts w:hint="eastAsia"/>
                      <w:color w:val="auto"/>
                      <w:sz w:val="18"/>
                      <w:szCs w:val="18"/>
                      <w:lang w:val="en-US" w:eastAsia="zh-CN"/>
                    </w:rPr>
                    <w:t>0.450</w:t>
                  </w:r>
                </w:p>
              </w:tc>
              <w:tc>
                <w:tcPr>
                  <w:tcW w:w="625" w:type="dxa"/>
                  <w:tcBorders>
                    <w:bottom w:val="single" w:color="auto" w:sz="4" w:space="0"/>
                  </w:tcBorders>
                  <w:shd w:val="clear" w:color="auto" w:fill="auto"/>
                  <w:vAlign w:val="center"/>
                </w:tcPr>
                <w:p w14:paraId="2A6EC99E">
                  <w:pPr>
                    <w:jc w:val="center"/>
                    <w:rPr>
                      <w:color w:val="auto"/>
                      <w:sz w:val="18"/>
                      <w:szCs w:val="18"/>
                    </w:rPr>
                  </w:pPr>
                  <w:r>
                    <w:rPr>
                      <w:rFonts w:hint="eastAsia"/>
                      <w:color w:val="auto"/>
                      <w:sz w:val="18"/>
                      <w:szCs w:val="18"/>
                      <w:lang w:val="en-US" w:eastAsia="zh-CN"/>
                    </w:rPr>
                    <w:t>/</w:t>
                  </w:r>
                </w:p>
              </w:tc>
              <w:tc>
                <w:tcPr>
                  <w:tcW w:w="574" w:type="dxa"/>
                  <w:tcBorders>
                    <w:bottom w:val="single" w:color="auto" w:sz="4" w:space="0"/>
                  </w:tcBorders>
                  <w:shd w:val="clear" w:color="auto" w:fill="auto"/>
                  <w:vAlign w:val="center"/>
                </w:tcPr>
                <w:p w14:paraId="16043DE3">
                  <w:pPr>
                    <w:jc w:val="center"/>
                    <w:rPr>
                      <w:rFonts w:hint="eastAsia"/>
                      <w:color w:val="auto"/>
                      <w:sz w:val="18"/>
                      <w:szCs w:val="18"/>
                    </w:rPr>
                  </w:pPr>
                  <w:r>
                    <w:rPr>
                      <w:rFonts w:hint="eastAsia"/>
                      <w:color w:val="auto"/>
                      <w:sz w:val="18"/>
                      <w:szCs w:val="18"/>
                      <w:highlight w:val="none"/>
                      <w:lang w:val="en-US" w:eastAsia="zh-CN"/>
                    </w:rPr>
                    <w:t>/</w:t>
                  </w:r>
                </w:p>
              </w:tc>
              <w:tc>
                <w:tcPr>
                  <w:tcW w:w="451" w:type="dxa"/>
                  <w:tcBorders>
                    <w:bottom w:val="single" w:color="auto" w:sz="4" w:space="0"/>
                  </w:tcBorders>
                  <w:shd w:val="clear" w:color="auto" w:fill="auto"/>
                  <w:vAlign w:val="center"/>
                </w:tcPr>
                <w:p w14:paraId="5002A913">
                  <w:pPr>
                    <w:jc w:val="center"/>
                    <w:rPr>
                      <w:rFonts w:hint="eastAsia"/>
                      <w:color w:val="auto"/>
                      <w:sz w:val="18"/>
                      <w:szCs w:val="18"/>
                    </w:rPr>
                  </w:pPr>
                  <w:r>
                    <w:rPr>
                      <w:rFonts w:hint="eastAsia"/>
                      <w:color w:val="auto"/>
                      <w:sz w:val="18"/>
                      <w:szCs w:val="18"/>
                      <w:lang w:val="en-US" w:eastAsia="zh-CN"/>
                    </w:rPr>
                    <w:t>/</w:t>
                  </w:r>
                </w:p>
              </w:tc>
              <w:tc>
                <w:tcPr>
                  <w:tcW w:w="419" w:type="dxa"/>
                  <w:tcBorders>
                    <w:bottom w:val="single" w:color="auto" w:sz="4" w:space="0"/>
                  </w:tcBorders>
                  <w:shd w:val="clear" w:color="auto" w:fill="auto"/>
                  <w:vAlign w:val="center"/>
                </w:tcPr>
                <w:p w14:paraId="246148B9">
                  <w:pPr>
                    <w:jc w:val="center"/>
                    <w:rPr>
                      <w:color w:val="auto"/>
                      <w:sz w:val="18"/>
                      <w:szCs w:val="18"/>
                    </w:rPr>
                  </w:pPr>
                  <w:r>
                    <w:rPr>
                      <w:rFonts w:hint="eastAsia"/>
                      <w:color w:val="auto"/>
                      <w:sz w:val="18"/>
                      <w:szCs w:val="18"/>
                      <w:lang w:val="en-US" w:eastAsia="zh-CN"/>
                    </w:rPr>
                    <w:t>/</w:t>
                  </w:r>
                </w:p>
              </w:tc>
              <w:tc>
                <w:tcPr>
                  <w:tcW w:w="544" w:type="dxa"/>
                  <w:tcBorders>
                    <w:bottom w:val="single" w:color="auto" w:sz="4" w:space="0"/>
                  </w:tcBorders>
                  <w:shd w:val="clear" w:color="auto" w:fill="auto"/>
                  <w:vAlign w:val="center"/>
                </w:tcPr>
                <w:p w14:paraId="15D68DE7">
                  <w:pPr>
                    <w:jc w:val="center"/>
                    <w:rPr>
                      <w:rFonts w:hint="eastAsia"/>
                      <w:color w:val="auto"/>
                      <w:sz w:val="18"/>
                      <w:szCs w:val="18"/>
                      <w:highlight w:val="none"/>
                    </w:rPr>
                  </w:pPr>
                  <w:r>
                    <w:rPr>
                      <w:rFonts w:hint="eastAsia"/>
                      <w:color w:val="auto"/>
                      <w:sz w:val="18"/>
                      <w:szCs w:val="18"/>
                      <w:highlight w:val="none"/>
                      <w:lang w:val="en-US" w:eastAsia="zh-CN"/>
                    </w:rPr>
                    <w:t>/</w:t>
                  </w:r>
                </w:p>
              </w:tc>
              <w:tc>
                <w:tcPr>
                  <w:tcW w:w="696" w:type="dxa"/>
                  <w:shd w:val="clear" w:color="auto" w:fill="auto"/>
                  <w:vAlign w:val="center"/>
                </w:tcPr>
                <w:p w14:paraId="7B9D9469">
                  <w:pPr>
                    <w:jc w:val="center"/>
                    <w:rPr>
                      <w:rFonts w:hint="eastAsia"/>
                      <w:color w:val="auto"/>
                      <w:sz w:val="18"/>
                      <w:szCs w:val="18"/>
                      <w:highlight w:val="none"/>
                    </w:rPr>
                  </w:pPr>
                  <w:r>
                    <w:rPr>
                      <w:rFonts w:hint="eastAsia"/>
                      <w:color w:val="auto"/>
                      <w:sz w:val="18"/>
                      <w:szCs w:val="18"/>
                      <w:highlight w:val="none"/>
                      <w:lang w:val="en-US" w:eastAsia="zh-CN"/>
                    </w:rPr>
                    <w:t>/</w:t>
                  </w:r>
                </w:p>
              </w:tc>
              <w:tc>
                <w:tcPr>
                  <w:tcW w:w="564" w:type="dxa"/>
                  <w:shd w:val="clear" w:color="auto" w:fill="auto"/>
                  <w:vAlign w:val="center"/>
                </w:tcPr>
                <w:p w14:paraId="79D9FE61">
                  <w:pPr>
                    <w:pStyle w:val="119"/>
                    <w:rPr>
                      <w:rFonts w:hint="eastAsia"/>
                      <w:color w:val="auto"/>
                      <w:sz w:val="18"/>
                      <w:szCs w:val="18"/>
                    </w:rPr>
                  </w:pPr>
                  <w:r>
                    <w:rPr>
                      <w:rFonts w:hint="eastAsia"/>
                      <w:color w:val="auto"/>
                      <w:sz w:val="18"/>
                      <w:szCs w:val="18"/>
                      <w:lang w:val="en-US" w:eastAsia="zh-CN"/>
                    </w:rPr>
                    <w:t>1.62</w:t>
                  </w:r>
                </w:p>
              </w:tc>
              <w:tc>
                <w:tcPr>
                  <w:tcW w:w="530" w:type="dxa"/>
                  <w:shd w:val="clear" w:color="auto" w:fill="auto"/>
                  <w:vAlign w:val="center"/>
                </w:tcPr>
                <w:p w14:paraId="22B04F62">
                  <w:pPr>
                    <w:pStyle w:val="119"/>
                    <w:rPr>
                      <w:rFonts w:hint="eastAsia"/>
                      <w:color w:val="auto"/>
                      <w:sz w:val="18"/>
                      <w:szCs w:val="18"/>
                    </w:rPr>
                  </w:pPr>
                  <w:r>
                    <w:rPr>
                      <w:rFonts w:hint="eastAsia"/>
                      <w:color w:val="auto"/>
                      <w:sz w:val="18"/>
                      <w:szCs w:val="18"/>
                      <w:lang w:val="en-US" w:eastAsia="zh-CN"/>
                    </w:rPr>
                    <w:t>0.450</w:t>
                  </w:r>
                </w:p>
              </w:tc>
              <w:tc>
                <w:tcPr>
                  <w:tcW w:w="483" w:type="dxa"/>
                  <w:tcBorders>
                    <w:bottom w:val="single" w:color="auto" w:sz="4" w:space="0"/>
                  </w:tcBorders>
                  <w:shd w:val="clear" w:color="auto" w:fill="auto"/>
                  <w:vAlign w:val="center"/>
                </w:tcPr>
                <w:p w14:paraId="246B2A20">
                  <w:pPr>
                    <w:jc w:val="center"/>
                    <w:rPr>
                      <w:rFonts w:hint="eastAsia"/>
                      <w:color w:val="auto"/>
                      <w:sz w:val="18"/>
                      <w:szCs w:val="18"/>
                    </w:rPr>
                  </w:pPr>
                  <w:r>
                    <w:rPr>
                      <w:rFonts w:hint="eastAsia"/>
                      <w:color w:val="auto"/>
                      <w:sz w:val="18"/>
                      <w:szCs w:val="18"/>
                      <w:lang w:val="en-US" w:eastAsia="zh-CN"/>
                    </w:rPr>
                    <w:t>/</w:t>
                  </w:r>
                </w:p>
              </w:tc>
              <w:tc>
                <w:tcPr>
                  <w:tcW w:w="477" w:type="dxa"/>
                  <w:tcBorders>
                    <w:bottom w:val="single" w:color="auto" w:sz="4" w:space="0"/>
                  </w:tcBorders>
                  <w:shd w:val="clear" w:color="auto" w:fill="auto"/>
                  <w:vAlign w:val="center"/>
                </w:tcPr>
                <w:p w14:paraId="575E57BD">
                  <w:pPr>
                    <w:jc w:val="center"/>
                    <w:rPr>
                      <w:color w:val="auto"/>
                      <w:sz w:val="18"/>
                      <w:szCs w:val="18"/>
                    </w:rPr>
                  </w:pPr>
                  <w:r>
                    <w:rPr>
                      <w:rFonts w:hint="eastAsia"/>
                      <w:color w:val="auto"/>
                      <w:sz w:val="18"/>
                      <w:szCs w:val="18"/>
                      <w:lang w:val="en-US" w:eastAsia="zh-CN"/>
                    </w:rPr>
                    <w:t>/</w:t>
                  </w:r>
                </w:p>
              </w:tc>
              <w:tc>
                <w:tcPr>
                  <w:tcW w:w="374" w:type="dxa"/>
                  <w:tcBorders>
                    <w:bottom w:val="single" w:color="auto" w:sz="4" w:space="0"/>
                  </w:tcBorders>
                  <w:shd w:val="clear" w:color="auto" w:fill="auto"/>
                  <w:vAlign w:val="center"/>
                </w:tcPr>
                <w:p w14:paraId="59093F4D">
                  <w:pPr>
                    <w:jc w:val="center"/>
                    <w:rPr>
                      <w:color w:val="auto"/>
                      <w:sz w:val="18"/>
                      <w:szCs w:val="18"/>
                      <w:highlight w:val="none"/>
                    </w:rPr>
                  </w:pPr>
                  <w:r>
                    <w:rPr>
                      <w:rFonts w:hint="eastAsia"/>
                      <w:color w:val="auto"/>
                      <w:sz w:val="18"/>
                      <w:szCs w:val="18"/>
                      <w:highlight w:val="none"/>
                      <w:lang w:val="en-US" w:eastAsia="zh-CN"/>
                    </w:rPr>
                    <w:t>/</w:t>
                  </w:r>
                </w:p>
              </w:tc>
              <w:tc>
                <w:tcPr>
                  <w:tcW w:w="375" w:type="dxa"/>
                  <w:tcBorders>
                    <w:bottom w:val="single" w:color="auto" w:sz="4" w:space="0"/>
                  </w:tcBorders>
                  <w:shd w:val="clear" w:color="auto" w:fill="auto"/>
                  <w:vAlign w:val="center"/>
                </w:tcPr>
                <w:p w14:paraId="682D399E">
                  <w:pPr>
                    <w:jc w:val="center"/>
                    <w:rPr>
                      <w:color w:val="auto"/>
                      <w:sz w:val="18"/>
                      <w:szCs w:val="18"/>
                      <w:highlight w:val="none"/>
                    </w:rPr>
                  </w:pPr>
                  <w:r>
                    <w:rPr>
                      <w:rFonts w:hint="eastAsia"/>
                      <w:color w:val="auto"/>
                      <w:sz w:val="18"/>
                      <w:szCs w:val="18"/>
                      <w:highlight w:val="none"/>
                      <w:lang w:val="en-US" w:eastAsia="zh-CN"/>
                    </w:rPr>
                    <w:t>/</w:t>
                  </w:r>
                </w:p>
              </w:tc>
              <w:tc>
                <w:tcPr>
                  <w:tcW w:w="407" w:type="dxa"/>
                  <w:tcBorders>
                    <w:bottom w:val="single" w:color="auto" w:sz="4" w:space="0"/>
                  </w:tcBorders>
                  <w:shd w:val="clear" w:color="auto" w:fill="auto"/>
                  <w:vAlign w:val="center"/>
                </w:tcPr>
                <w:p w14:paraId="3D9DF228">
                  <w:pPr>
                    <w:jc w:val="center"/>
                    <w:rPr>
                      <w:color w:val="auto"/>
                      <w:sz w:val="18"/>
                      <w:szCs w:val="18"/>
                      <w:highlight w:val="none"/>
                    </w:rPr>
                  </w:pPr>
                  <w:r>
                    <w:rPr>
                      <w:rFonts w:hint="eastAsia"/>
                      <w:color w:val="auto"/>
                      <w:sz w:val="18"/>
                      <w:szCs w:val="18"/>
                      <w:highlight w:val="none"/>
                      <w:lang w:val="en-US" w:eastAsia="zh-CN"/>
                    </w:rPr>
                    <w:t>/</w:t>
                  </w:r>
                </w:p>
              </w:tc>
              <w:tc>
                <w:tcPr>
                  <w:tcW w:w="1171" w:type="dxa"/>
                  <w:tcBorders>
                    <w:bottom w:val="single" w:color="auto" w:sz="4" w:space="0"/>
                  </w:tcBorders>
                  <w:shd w:val="clear" w:color="auto" w:fill="auto"/>
                  <w:vAlign w:val="center"/>
                </w:tcPr>
                <w:p w14:paraId="013BC6D0">
                  <w:pPr>
                    <w:jc w:val="center"/>
                    <w:rPr>
                      <w:color w:val="auto"/>
                      <w:sz w:val="18"/>
                      <w:szCs w:val="18"/>
                    </w:rPr>
                  </w:pPr>
                  <w:r>
                    <w:rPr>
                      <w:rFonts w:hint="eastAsia"/>
                      <w:color w:val="auto"/>
                      <w:sz w:val="18"/>
                      <w:szCs w:val="18"/>
                      <w:lang w:val="en-US" w:eastAsia="zh-CN"/>
                    </w:rPr>
                    <w:t>/</w:t>
                  </w:r>
                </w:p>
              </w:tc>
              <w:tc>
                <w:tcPr>
                  <w:tcW w:w="885" w:type="dxa"/>
                  <w:tcBorders>
                    <w:bottom w:val="single" w:color="auto" w:sz="4" w:space="0"/>
                  </w:tcBorders>
                  <w:shd w:val="clear" w:color="auto" w:fill="auto"/>
                  <w:vAlign w:val="center"/>
                </w:tcPr>
                <w:p w14:paraId="39F5055F">
                  <w:pPr>
                    <w:jc w:val="center"/>
                    <w:rPr>
                      <w:rFonts w:hint="eastAsia"/>
                      <w:color w:val="auto"/>
                      <w:sz w:val="18"/>
                      <w:szCs w:val="18"/>
                    </w:rPr>
                  </w:pPr>
                  <w:r>
                    <w:rPr>
                      <w:rFonts w:hint="eastAsia"/>
                      <w:color w:val="auto"/>
                      <w:sz w:val="18"/>
                      <w:szCs w:val="18"/>
                      <w:lang w:val="en-US" w:eastAsia="zh-CN"/>
                    </w:rPr>
                    <w:t>/</w:t>
                  </w:r>
                </w:p>
              </w:tc>
              <w:tc>
                <w:tcPr>
                  <w:tcW w:w="751" w:type="dxa"/>
                  <w:tcBorders>
                    <w:bottom w:val="single" w:color="auto" w:sz="4" w:space="0"/>
                  </w:tcBorders>
                  <w:shd w:val="clear" w:color="auto" w:fill="auto"/>
                  <w:vAlign w:val="center"/>
                </w:tcPr>
                <w:p w14:paraId="55E3C95C">
                  <w:pPr>
                    <w:jc w:val="center"/>
                    <w:rPr>
                      <w:rFonts w:hint="eastAsia"/>
                      <w:color w:val="auto"/>
                      <w:sz w:val="18"/>
                      <w:szCs w:val="18"/>
                    </w:rPr>
                  </w:pPr>
                  <w:r>
                    <w:rPr>
                      <w:rFonts w:hint="eastAsia"/>
                      <w:color w:val="auto"/>
                      <w:sz w:val="18"/>
                      <w:szCs w:val="18"/>
                      <w:lang w:val="en-US" w:eastAsia="zh-CN"/>
                    </w:rPr>
                    <w:t>/</w:t>
                  </w:r>
                </w:p>
              </w:tc>
              <w:tc>
                <w:tcPr>
                  <w:tcW w:w="419" w:type="dxa"/>
                  <w:tcBorders>
                    <w:bottom w:val="single" w:color="auto" w:sz="4" w:space="0"/>
                  </w:tcBorders>
                  <w:shd w:val="clear" w:color="auto" w:fill="auto"/>
                  <w:vAlign w:val="center"/>
                </w:tcPr>
                <w:p w14:paraId="7317EE41">
                  <w:pPr>
                    <w:jc w:val="center"/>
                    <w:rPr>
                      <w:color w:val="auto"/>
                      <w:sz w:val="18"/>
                      <w:szCs w:val="18"/>
                    </w:rPr>
                  </w:pPr>
                  <w:r>
                    <w:rPr>
                      <w:rFonts w:hint="eastAsia"/>
                      <w:color w:val="auto"/>
                      <w:sz w:val="18"/>
                      <w:szCs w:val="18"/>
                      <w:lang w:val="en-US" w:eastAsia="zh-CN"/>
                    </w:rPr>
                    <w:t>/</w:t>
                  </w:r>
                </w:p>
              </w:tc>
            </w:tr>
            <w:tr w14:paraId="042C9B4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342" w:type="dxa"/>
                  <w:vMerge w:val="restart"/>
                  <w:vAlign w:val="center"/>
                </w:tcPr>
                <w:p w14:paraId="7155DDEE">
                  <w:pPr>
                    <w:pStyle w:val="143"/>
                    <w:rPr>
                      <w:color w:val="auto"/>
                      <w:sz w:val="18"/>
                      <w:szCs w:val="18"/>
                    </w:rPr>
                  </w:pPr>
                  <w:r>
                    <w:rPr>
                      <w:rFonts w:hint="eastAsia"/>
                      <w:color w:val="auto"/>
                      <w:sz w:val="18"/>
                      <w:szCs w:val="18"/>
                    </w:rPr>
                    <w:t>测试</w:t>
                  </w:r>
                </w:p>
              </w:tc>
              <w:tc>
                <w:tcPr>
                  <w:tcW w:w="563" w:type="dxa"/>
                  <w:vMerge w:val="restart"/>
                  <w:tcMar>
                    <w:top w:w="0" w:type="dxa"/>
                    <w:left w:w="28" w:type="dxa"/>
                    <w:bottom w:w="0" w:type="dxa"/>
                    <w:right w:w="28" w:type="dxa"/>
                  </w:tcMar>
                  <w:vAlign w:val="center"/>
                </w:tcPr>
                <w:p w14:paraId="707BA3E3">
                  <w:pPr>
                    <w:pStyle w:val="143"/>
                    <w:rPr>
                      <w:rFonts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90</w:t>
                  </w:r>
                </w:p>
              </w:tc>
              <w:tc>
                <w:tcPr>
                  <w:tcW w:w="688" w:type="dxa"/>
                  <w:vMerge w:val="restart"/>
                  <w:vAlign w:val="center"/>
                </w:tcPr>
                <w:p w14:paraId="75A77AA7">
                  <w:pPr>
                    <w:pStyle w:val="143"/>
                    <w:rPr>
                      <w:color w:val="auto"/>
                      <w:sz w:val="18"/>
                      <w:szCs w:val="18"/>
                    </w:rPr>
                  </w:pPr>
                  <w:r>
                    <w:rPr>
                      <w:color w:val="auto"/>
                      <w:sz w:val="18"/>
                      <w:szCs w:val="18"/>
                    </w:rPr>
                    <w:t>DA00</w:t>
                  </w:r>
                  <w:r>
                    <w:rPr>
                      <w:rFonts w:hint="eastAsia"/>
                      <w:color w:val="auto"/>
                      <w:sz w:val="18"/>
                      <w:szCs w:val="18"/>
                      <w:lang w:val="en-US" w:eastAsia="zh-CN"/>
                    </w:rPr>
                    <w:t>4</w:t>
                  </w:r>
                  <w:r>
                    <w:rPr>
                      <w:color w:val="auto"/>
                      <w:sz w:val="18"/>
                      <w:szCs w:val="18"/>
                    </w:rPr>
                    <w:t>排气筒</w:t>
                  </w:r>
                </w:p>
              </w:tc>
              <w:tc>
                <w:tcPr>
                  <w:tcW w:w="485" w:type="dxa"/>
                  <w:tcBorders>
                    <w:bottom w:val="single" w:color="auto" w:sz="4" w:space="0"/>
                  </w:tcBorders>
                  <w:vAlign w:val="center"/>
                </w:tcPr>
                <w:p w14:paraId="3794658C">
                  <w:pPr>
                    <w:pStyle w:val="143"/>
                    <w:rPr>
                      <w:color w:val="auto"/>
                      <w:sz w:val="18"/>
                      <w:szCs w:val="18"/>
                    </w:rPr>
                  </w:pPr>
                  <w:r>
                    <w:rPr>
                      <w:rFonts w:hint="eastAsia"/>
                      <w:color w:val="auto"/>
                      <w:sz w:val="18"/>
                      <w:szCs w:val="18"/>
                      <w:lang w:bidi="en-US"/>
                    </w:rPr>
                    <w:t>SO</w:t>
                  </w:r>
                  <w:r>
                    <w:rPr>
                      <w:rFonts w:hint="eastAsia"/>
                      <w:color w:val="auto"/>
                      <w:sz w:val="18"/>
                      <w:szCs w:val="18"/>
                      <w:vertAlign w:val="subscript"/>
                      <w:lang w:bidi="en-US"/>
                    </w:rPr>
                    <w:t>2</w:t>
                  </w:r>
                </w:p>
              </w:tc>
              <w:tc>
                <w:tcPr>
                  <w:tcW w:w="353" w:type="dxa"/>
                  <w:vMerge w:val="restart"/>
                  <w:vAlign w:val="center"/>
                </w:tcPr>
                <w:p w14:paraId="308155EA">
                  <w:pPr>
                    <w:pStyle w:val="143"/>
                    <w:rPr>
                      <w:color w:val="auto"/>
                      <w:sz w:val="18"/>
                      <w:szCs w:val="18"/>
                    </w:rPr>
                  </w:pPr>
                  <w:r>
                    <w:rPr>
                      <w:color w:val="auto"/>
                      <w:sz w:val="18"/>
                      <w:szCs w:val="18"/>
                    </w:rPr>
                    <w:t>系数法</w:t>
                  </w:r>
                </w:p>
              </w:tc>
              <w:tc>
                <w:tcPr>
                  <w:tcW w:w="732" w:type="dxa"/>
                  <w:tcBorders>
                    <w:bottom w:val="single" w:color="auto" w:sz="4" w:space="0"/>
                  </w:tcBorders>
                  <w:vAlign w:val="center"/>
                </w:tcPr>
                <w:p w14:paraId="14DD1954">
                  <w:pPr>
                    <w:pStyle w:val="143"/>
                    <w:rPr>
                      <w:rFonts w:hint="default" w:eastAsia="宋体"/>
                      <w:color w:val="auto"/>
                      <w:sz w:val="18"/>
                      <w:szCs w:val="18"/>
                      <w:lang w:val="en-US" w:eastAsia="zh-CN"/>
                    </w:rPr>
                  </w:pPr>
                  <w:r>
                    <w:rPr>
                      <w:rFonts w:hint="eastAsia"/>
                      <w:color w:val="auto"/>
                      <w:sz w:val="18"/>
                      <w:szCs w:val="18"/>
                      <w:lang w:val="en-US" w:eastAsia="zh-CN"/>
                    </w:rPr>
                    <w:t>16.5</w:t>
                  </w:r>
                </w:p>
              </w:tc>
              <w:tc>
                <w:tcPr>
                  <w:tcW w:w="539" w:type="dxa"/>
                  <w:tcBorders>
                    <w:bottom w:val="single" w:color="auto" w:sz="4" w:space="0"/>
                  </w:tcBorders>
                  <w:vAlign w:val="center"/>
                </w:tcPr>
                <w:p w14:paraId="4952A031">
                  <w:pPr>
                    <w:pStyle w:val="119"/>
                    <w:rPr>
                      <w:rFonts w:hint="default" w:eastAsia="宋体"/>
                      <w:color w:val="auto"/>
                      <w:sz w:val="18"/>
                      <w:szCs w:val="18"/>
                      <w:lang w:val="en-US" w:eastAsia="zh-CN"/>
                    </w:rPr>
                  </w:pPr>
                  <w:r>
                    <w:rPr>
                      <w:rFonts w:hint="eastAsia"/>
                      <w:color w:val="auto"/>
                      <w:sz w:val="18"/>
                      <w:szCs w:val="18"/>
                      <w:lang w:val="en-US" w:eastAsia="zh-CN"/>
                    </w:rPr>
                    <w:t>0.297</w:t>
                  </w:r>
                </w:p>
              </w:tc>
              <w:tc>
                <w:tcPr>
                  <w:tcW w:w="564" w:type="dxa"/>
                  <w:tcBorders>
                    <w:bottom w:val="single" w:color="auto" w:sz="4" w:space="0"/>
                  </w:tcBorders>
                  <w:vAlign w:val="center"/>
                </w:tcPr>
                <w:p w14:paraId="586C8FA3">
                  <w:pPr>
                    <w:pStyle w:val="119"/>
                    <w:rPr>
                      <w:rFonts w:hint="default" w:eastAsia="宋体"/>
                      <w:color w:val="auto"/>
                      <w:sz w:val="18"/>
                      <w:szCs w:val="18"/>
                      <w:lang w:val="en-US" w:eastAsia="zh-CN"/>
                    </w:rPr>
                  </w:pPr>
                  <w:r>
                    <w:rPr>
                      <w:rFonts w:hint="eastAsia"/>
                      <w:color w:val="auto"/>
                      <w:sz w:val="18"/>
                      <w:szCs w:val="18"/>
                      <w:lang w:val="en-US" w:eastAsia="zh-CN"/>
                    </w:rPr>
                    <w:t>8.25×10</w:t>
                  </w:r>
                  <w:r>
                    <w:rPr>
                      <w:rFonts w:hint="eastAsia"/>
                      <w:color w:val="auto"/>
                      <w:sz w:val="18"/>
                      <w:szCs w:val="18"/>
                      <w:vertAlign w:val="superscript"/>
                      <w:lang w:val="en-US" w:eastAsia="zh-CN"/>
                    </w:rPr>
                    <w:t>-2</w:t>
                  </w:r>
                </w:p>
              </w:tc>
              <w:tc>
                <w:tcPr>
                  <w:tcW w:w="625" w:type="dxa"/>
                  <w:vMerge w:val="restart"/>
                  <w:vAlign w:val="center"/>
                </w:tcPr>
                <w:p w14:paraId="39B0D126">
                  <w:pPr>
                    <w:pStyle w:val="143"/>
                    <w:rPr>
                      <w:color w:val="auto"/>
                      <w:sz w:val="18"/>
                      <w:szCs w:val="18"/>
                    </w:rPr>
                  </w:pPr>
                  <w:r>
                    <w:rPr>
                      <w:rFonts w:hint="eastAsia"/>
                      <w:color w:val="auto"/>
                      <w:sz w:val="18"/>
                      <w:szCs w:val="18"/>
                      <w:lang w:eastAsia="zh-CN"/>
                    </w:rPr>
                    <w:t>黑烟净化器+SCR脱硝反应器</w:t>
                  </w:r>
                  <w:r>
                    <w:rPr>
                      <w:rFonts w:hint="eastAsia"/>
                      <w:color w:val="auto"/>
                      <w:sz w:val="18"/>
                      <w:szCs w:val="18"/>
                      <w:lang w:val="en-US" w:eastAsia="zh-CN"/>
                    </w:rPr>
                    <w:t>+2</w:t>
                  </w:r>
                  <w:r>
                    <w:rPr>
                      <w:color w:val="auto"/>
                      <w:sz w:val="18"/>
                      <w:szCs w:val="18"/>
                    </w:rPr>
                    <w:t>5m排气筒</w:t>
                  </w:r>
                </w:p>
              </w:tc>
              <w:tc>
                <w:tcPr>
                  <w:tcW w:w="574" w:type="dxa"/>
                  <w:vMerge w:val="restart"/>
                  <w:vAlign w:val="center"/>
                </w:tcPr>
                <w:p w14:paraId="6AE7444A">
                  <w:pPr>
                    <w:pStyle w:val="143"/>
                    <w:rPr>
                      <w:color w:val="auto"/>
                      <w:sz w:val="18"/>
                      <w:szCs w:val="18"/>
                    </w:rPr>
                  </w:pPr>
                  <w:r>
                    <w:rPr>
                      <w:rFonts w:hint="eastAsia"/>
                      <w:color w:val="auto"/>
                      <w:sz w:val="18"/>
                      <w:szCs w:val="18"/>
                      <w:highlight w:val="none"/>
                      <w:lang w:val="en-US" w:eastAsia="zh-CN"/>
                    </w:rPr>
                    <w:t>20736</w:t>
                  </w:r>
                </w:p>
              </w:tc>
              <w:tc>
                <w:tcPr>
                  <w:tcW w:w="451" w:type="dxa"/>
                  <w:tcBorders>
                    <w:bottom w:val="single" w:color="auto" w:sz="4" w:space="0"/>
                  </w:tcBorders>
                  <w:vAlign w:val="center"/>
                </w:tcPr>
                <w:p w14:paraId="60C389F0">
                  <w:pPr>
                    <w:pStyle w:val="143"/>
                    <w:rPr>
                      <w:color w:val="auto"/>
                      <w:sz w:val="18"/>
                      <w:szCs w:val="18"/>
                    </w:rPr>
                  </w:pPr>
                  <w:r>
                    <w:rPr>
                      <w:rFonts w:hint="eastAsia"/>
                      <w:color w:val="auto"/>
                      <w:sz w:val="18"/>
                      <w:szCs w:val="18"/>
                    </w:rPr>
                    <w:t>/</w:t>
                  </w:r>
                </w:p>
              </w:tc>
              <w:tc>
                <w:tcPr>
                  <w:tcW w:w="419" w:type="dxa"/>
                  <w:vMerge w:val="restart"/>
                  <w:vAlign w:val="center"/>
                </w:tcPr>
                <w:p w14:paraId="591C1F0B">
                  <w:pPr>
                    <w:pStyle w:val="143"/>
                    <w:rPr>
                      <w:color w:val="auto"/>
                      <w:sz w:val="18"/>
                      <w:szCs w:val="18"/>
                    </w:rPr>
                  </w:pPr>
                  <w:r>
                    <w:rPr>
                      <w:color w:val="auto"/>
                      <w:sz w:val="18"/>
                      <w:szCs w:val="18"/>
                    </w:rPr>
                    <w:t>是</w:t>
                  </w:r>
                </w:p>
              </w:tc>
              <w:tc>
                <w:tcPr>
                  <w:tcW w:w="544" w:type="dxa"/>
                  <w:vMerge w:val="restart"/>
                  <w:vAlign w:val="center"/>
                </w:tcPr>
                <w:p w14:paraId="0BCB0B64">
                  <w:pPr>
                    <w:pStyle w:val="143"/>
                    <w:rPr>
                      <w:color w:val="auto"/>
                      <w:sz w:val="18"/>
                      <w:szCs w:val="18"/>
                      <w:highlight w:val="none"/>
                    </w:rPr>
                  </w:pPr>
                  <w:r>
                    <w:rPr>
                      <w:rFonts w:hint="eastAsia"/>
                      <w:color w:val="auto"/>
                      <w:sz w:val="18"/>
                      <w:szCs w:val="18"/>
                      <w:highlight w:val="none"/>
                      <w:lang w:val="en-US" w:eastAsia="zh-CN"/>
                    </w:rPr>
                    <w:t>20736</w:t>
                  </w:r>
                </w:p>
              </w:tc>
              <w:tc>
                <w:tcPr>
                  <w:tcW w:w="696" w:type="dxa"/>
                  <w:vAlign w:val="center"/>
                </w:tcPr>
                <w:p w14:paraId="6309E017">
                  <w:pPr>
                    <w:pStyle w:val="143"/>
                    <w:rPr>
                      <w:rFonts w:hint="default" w:eastAsia="宋体"/>
                      <w:color w:val="auto"/>
                      <w:sz w:val="18"/>
                      <w:szCs w:val="18"/>
                      <w:highlight w:val="none"/>
                      <w:lang w:val="en-US" w:eastAsia="zh-CN"/>
                    </w:rPr>
                  </w:pPr>
                  <w:r>
                    <w:rPr>
                      <w:rFonts w:hint="eastAsia"/>
                      <w:color w:val="auto"/>
                      <w:sz w:val="18"/>
                      <w:szCs w:val="18"/>
                      <w:highlight w:val="none"/>
                      <w:lang w:val="en-US" w:eastAsia="zh-CN"/>
                    </w:rPr>
                    <w:t>4.0</w:t>
                  </w:r>
                </w:p>
              </w:tc>
              <w:tc>
                <w:tcPr>
                  <w:tcW w:w="564" w:type="dxa"/>
                  <w:vAlign w:val="center"/>
                </w:tcPr>
                <w:p w14:paraId="70DFAECD">
                  <w:pPr>
                    <w:pStyle w:val="119"/>
                    <w:rPr>
                      <w:color w:val="auto"/>
                      <w:sz w:val="18"/>
                      <w:szCs w:val="18"/>
                    </w:rPr>
                  </w:pPr>
                  <w:r>
                    <w:rPr>
                      <w:rFonts w:hint="eastAsia"/>
                      <w:color w:val="auto"/>
                      <w:sz w:val="18"/>
                      <w:szCs w:val="18"/>
                      <w:lang w:val="en-US" w:eastAsia="zh-CN"/>
                    </w:rPr>
                    <w:t>0.297</w:t>
                  </w:r>
                </w:p>
              </w:tc>
              <w:tc>
                <w:tcPr>
                  <w:tcW w:w="530" w:type="dxa"/>
                  <w:vAlign w:val="center"/>
                </w:tcPr>
                <w:p w14:paraId="4D7DC99F">
                  <w:pPr>
                    <w:pStyle w:val="119"/>
                    <w:rPr>
                      <w:rFonts w:hint="default" w:eastAsia="宋体"/>
                      <w:color w:val="auto"/>
                      <w:sz w:val="18"/>
                      <w:szCs w:val="18"/>
                      <w:lang w:val="en-US" w:eastAsia="zh-CN"/>
                    </w:rPr>
                  </w:pPr>
                  <w:r>
                    <w:rPr>
                      <w:rFonts w:hint="eastAsia"/>
                      <w:color w:val="auto"/>
                      <w:sz w:val="18"/>
                      <w:szCs w:val="18"/>
                      <w:lang w:val="en-US" w:eastAsia="zh-CN"/>
                    </w:rPr>
                    <w:t>8.25×10</w:t>
                  </w:r>
                  <w:r>
                    <w:rPr>
                      <w:rFonts w:hint="eastAsia"/>
                      <w:color w:val="auto"/>
                      <w:sz w:val="18"/>
                      <w:szCs w:val="18"/>
                      <w:vertAlign w:val="superscript"/>
                      <w:lang w:val="en-US" w:eastAsia="zh-CN"/>
                    </w:rPr>
                    <w:t>-2</w:t>
                  </w:r>
                </w:p>
              </w:tc>
              <w:tc>
                <w:tcPr>
                  <w:tcW w:w="483" w:type="dxa"/>
                  <w:vMerge w:val="restart"/>
                  <w:vAlign w:val="center"/>
                </w:tcPr>
                <w:p w14:paraId="531AE8B2">
                  <w:pPr>
                    <w:pStyle w:val="143"/>
                    <w:rPr>
                      <w:color w:val="auto"/>
                      <w:sz w:val="18"/>
                      <w:szCs w:val="18"/>
                    </w:rPr>
                  </w:pPr>
                  <w:r>
                    <w:rPr>
                      <w:rFonts w:hint="eastAsia"/>
                      <w:color w:val="auto"/>
                      <w:sz w:val="18"/>
                      <w:szCs w:val="18"/>
                      <w:lang w:val="en-US" w:eastAsia="zh-CN"/>
                    </w:rPr>
                    <w:t>360</w:t>
                  </w:r>
                  <w:r>
                    <w:rPr>
                      <w:color w:val="auto"/>
                      <w:sz w:val="18"/>
                      <w:szCs w:val="18"/>
                    </w:rPr>
                    <w:t>0</w:t>
                  </w:r>
                </w:p>
              </w:tc>
              <w:tc>
                <w:tcPr>
                  <w:tcW w:w="477" w:type="dxa"/>
                  <w:vMerge w:val="restart"/>
                  <w:vAlign w:val="center"/>
                </w:tcPr>
                <w:p w14:paraId="52F70585">
                  <w:pPr>
                    <w:pStyle w:val="143"/>
                    <w:rPr>
                      <w:rFonts w:hint="eastAsia" w:eastAsia="宋体"/>
                      <w:color w:val="auto"/>
                      <w:sz w:val="18"/>
                      <w:szCs w:val="18"/>
                      <w:lang w:eastAsia="zh-CN"/>
                    </w:rPr>
                  </w:pPr>
                  <w:r>
                    <w:rPr>
                      <w:color w:val="auto"/>
                      <w:sz w:val="18"/>
                      <w:szCs w:val="18"/>
                    </w:rPr>
                    <w:t>DA00</w:t>
                  </w:r>
                  <w:r>
                    <w:rPr>
                      <w:rFonts w:hint="eastAsia"/>
                      <w:color w:val="auto"/>
                      <w:sz w:val="18"/>
                      <w:szCs w:val="18"/>
                      <w:lang w:val="en-US" w:eastAsia="zh-CN"/>
                    </w:rPr>
                    <w:t>4</w:t>
                  </w:r>
                </w:p>
              </w:tc>
              <w:tc>
                <w:tcPr>
                  <w:tcW w:w="374" w:type="dxa"/>
                  <w:vMerge w:val="restart"/>
                  <w:vAlign w:val="center"/>
                </w:tcPr>
                <w:p w14:paraId="15538363">
                  <w:pPr>
                    <w:pStyle w:val="143"/>
                    <w:rPr>
                      <w:color w:val="auto"/>
                      <w:sz w:val="18"/>
                      <w:szCs w:val="18"/>
                      <w:highlight w:val="none"/>
                    </w:rPr>
                  </w:pPr>
                  <w:r>
                    <w:rPr>
                      <w:rFonts w:hint="eastAsia"/>
                      <w:color w:val="auto"/>
                      <w:sz w:val="18"/>
                      <w:szCs w:val="18"/>
                      <w:highlight w:val="none"/>
                      <w:lang w:val="en-US" w:eastAsia="zh-CN"/>
                    </w:rPr>
                    <w:t>2</w:t>
                  </w:r>
                  <w:r>
                    <w:rPr>
                      <w:color w:val="auto"/>
                      <w:sz w:val="18"/>
                      <w:szCs w:val="18"/>
                      <w:highlight w:val="none"/>
                    </w:rPr>
                    <w:t>5</w:t>
                  </w:r>
                </w:p>
              </w:tc>
              <w:tc>
                <w:tcPr>
                  <w:tcW w:w="375" w:type="dxa"/>
                  <w:vMerge w:val="restart"/>
                  <w:vAlign w:val="center"/>
                </w:tcPr>
                <w:p w14:paraId="681A2958">
                  <w:pPr>
                    <w:pStyle w:val="143"/>
                    <w:rPr>
                      <w:rFonts w:hint="eastAsia" w:eastAsia="宋体"/>
                      <w:color w:val="auto"/>
                      <w:sz w:val="18"/>
                      <w:szCs w:val="18"/>
                      <w:highlight w:val="none"/>
                      <w:lang w:eastAsia="zh-CN"/>
                    </w:rPr>
                  </w:pPr>
                  <w:r>
                    <w:rPr>
                      <w:color w:val="auto"/>
                      <w:sz w:val="18"/>
                      <w:szCs w:val="18"/>
                      <w:highlight w:val="none"/>
                    </w:rPr>
                    <w:t>0.</w:t>
                  </w:r>
                  <w:r>
                    <w:rPr>
                      <w:rFonts w:hint="eastAsia"/>
                      <w:color w:val="auto"/>
                      <w:sz w:val="18"/>
                      <w:szCs w:val="18"/>
                      <w:highlight w:val="none"/>
                      <w:lang w:val="en-US" w:eastAsia="zh-CN"/>
                    </w:rPr>
                    <w:t>7</w:t>
                  </w:r>
                </w:p>
              </w:tc>
              <w:tc>
                <w:tcPr>
                  <w:tcW w:w="407" w:type="dxa"/>
                  <w:vMerge w:val="restart"/>
                  <w:vAlign w:val="center"/>
                </w:tcPr>
                <w:p w14:paraId="277D1DB8">
                  <w:pPr>
                    <w:pStyle w:val="143"/>
                    <w:rPr>
                      <w:color w:val="auto"/>
                      <w:sz w:val="18"/>
                      <w:szCs w:val="18"/>
                      <w:highlight w:val="none"/>
                    </w:rPr>
                  </w:pPr>
                  <w:r>
                    <w:rPr>
                      <w:color w:val="auto"/>
                      <w:sz w:val="18"/>
                      <w:szCs w:val="18"/>
                      <w:highlight w:val="none"/>
                    </w:rPr>
                    <w:t>25</w:t>
                  </w:r>
                </w:p>
              </w:tc>
              <w:tc>
                <w:tcPr>
                  <w:tcW w:w="1171" w:type="dxa"/>
                  <w:vMerge w:val="restart"/>
                  <w:vAlign w:val="center"/>
                </w:tcPr>
                <w:p w14:paraId="3F0860B7">
                  <w:pPr>
                    <w:pStyle w:val="143"/>
                    <w:rPr>
                      <w:color w:val="auto"/>
                      <w:sz w:val="18"/>
                      <w:szCs w:val="18"/>
                    </w:rPr>
                  </w:pPr>
                  <w:r>
                    <w:rPr>
                      <w:color w:val="auto"/>
                      <w:sz w:val="18"/>
                      <w:szCs w:val="18"/>
                    </w:rPr>
                    <w:t>119°18′7.721″</w:t>
                  </w:r>
                  <w:r>
                    <w:rPr>
                      <w:rFonts w:hint="eastAsia"/>
                      <w:color w:val="auto"/>
                      <w:sz w:val="18"/>
                      <w:szCs w:val="18"/>
                      <w:lang w:eastAsia="zh-CN"/>
                    </w:rPr>
                    <w:t>;</w:t>
                  </w:r>
                  <w:r>
                    <w:rPr>
                      <w:color w:val="auto"/>
                      <w:sz w:val="18"/>
                      <w:szCs w:val="18"/>
                    </w:rPr>
                    <w:t>25°59′55.831″</w:t>
                  </w:r>
                </w:p>
              </w:tc>
              <w:tc>
                <w:tcPr>
                  <w:tcW w:w="885" w:type="dxa"/>
                  <w:tcBorders>
                    <w:bottom w:val="single" w:color="auto" w:sz="4" w:space="0"/>
                  </w:tcBorders>
                  <w:vAlign w:val="center"/>
                </w:tcPr>
                <w:p w14:paraId="0EC4F0E8">
                  <w:pPr>
                    <w:pStyle w:val="143"/>
                    <w:rPr>
                      <w:color w:val="auto"/>
                      <w:sz w:val="18"/>
                      <w:szCs w:val="18"/>
                    </w:rPr>
                  </w:pPr>
                  <w:r>
                    <w:rPr>
                      <w:rFonts w:hint="eastAsia"/>
                      <w:color w:val="auto"/>
                      <w:sz w:val="18"/>
                      <w:szCs w:val="18"/>
                    </w:rPr>
                    <w:t>5</w:t>
                  </w:r>
                  <w:r>
                    <w:rPr>
                      <w:color w:val="auto"/>
                      <w:sz w:val="18"/>
                      <w:szCs w:val="18"/>
                    </w:rPr>
                    <w:t>50</w:t>
                  </w:r>
                </w:p>
              </w:tc>
              <w:tc>
                <w:tcPr>
                  <w:tcW w:w="751" w:type="dxa"/>
                  <w:tcBorders>
                    <w:bottom w:val="single" w:color="auto" w:sz="4" w:space="0"/>
                  </w:tcBorders>
                  <w:vAlign w:val="center"/>
                </w:tcPr>
                <w:p w14:paraId="251926F4">
                  <w:pPr>
                    <w:pStyle w:val="143"/>
                    <w:rPr>
                      <w:rFonts w:hint="default" w:eastAsia="宋体"/>
                      <w:color w:val="auto"/>
                      <w:sz w:val="18"/>
                      <w:szCs w:val="18"/>
                      <w:lang w:val="en-US" w:eastAsia="zh-CN"/>
                    </w:rPr>
                  </w:pPr>
                  <w:r>
                    <w:rPr>
                      <w:rFonts w:hint="eastAsia"/>
                      <w:color w:val="auto"/>
                      <w:sz w:val="18"/>
                      <w:szCs w:val="18"/>
                      <w:lang w:val="en-US" w:eastAsia="zh-CN"/>
                    </w:rPr>
                    <w:t>4.825</w:t>
                  </w:r>
                </w:p>
              </w:tc>
              <w:tc>
                <w:tcPr>
                  <w:tcW w:w="419" w:type="dxa"/>
                  <w:tcBorders>
                    <w:bottom w:val="single" w:color="auto" w:sz="4" w:space="0"/>
                  </w:tcBorders>
                  <w:vAlign w:val="center"/>
                </w:tcPr>
                <w:p w14:paraId="3A2EFDBE">
                  <w:pPr>
                    <w:pStyle w:val="143"/>
                    <w:rPr>
                      <w:color w:val="auto"/>
                      <w:sz w:val="18"/>
                      <w:szCs w:val="18"/>
                    </w:rPr>
                  </w:pPr>
                  <w:r>
                    <w:rPr>
                      <w:color w:val="auto"/>
                      <w:sz w:val="18"/>
                      <w:szCs w:val="18"/>
                    </w:rPr>
                    <w:t>达标</w:t>
                  </w:r>
                </w:p>
              </w:tc>
            </w:tr>
            <w:tr w14:paraId="1B85003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342" w:type="dxa"/>
                  <w:vMerge w:val="continue"/>
                  <w:vAlign w:val="center"/>
                </w:tcPr>
                <w:p w14:paraId="30125A08">
                  <w:pPr>
                    <w:pStyle w:val="143"/>
                    <w:rPr>
                      <w:color w:val="auto"/>
                      <w:sz w:val="18"/>
                      <w:szCs w:val="18"/>
                    </w:rPr>
                  </w:pPr>
                </w:p>
              </w:tc>
              <w:tc>
                <w:tcPr>
                  <w:tcW w:w="563" w:type="dxa"/>
                  <w:vMerge w:val="continue"/>
                  <w:tcMar>
                    <w:top w:w="0" w:type="dxa"/>
                    <w:left w:w="28" w:type="dxa"/>
                    <w:bottom w:w="0" w:type="dxa"/>
                    <w:right w:w="28" w:type="dxa"/>
                  </w:tcMar>
                  <w:vAlign w:val="center"/>
                </w:tcPr>
                <w:p w14:paraId="355F0B74">
                  <w:pPr>
                    <w:pStyle w:val="143"/>
                    <w:rPr>
                      <w:color w:val="auto"/>
                      <w:sz w:val="18"/>
                      <w:szCs w:val="18"/>
                    </w:rPr>
                  </w:pPr>
                </w:p>
              </w:tc>
              <w:tc>
                <w:tcPr>
                  <w:tcW w:w="688" w:type="dxa"/>
                  <w:vMerge w:val="continue"/>
                  <w:vAlign w:val="center"/>
                </w:tcPr>
                <w:p w14:paraId="6E39BCF8">
                  <w:pPr>
                    <w:pStyle w:val="143"/>
                    <w:rPr>
                      <w:color w:val="auto"/>
                      <w:sz w:val="18"/>
                      <w:szCs w:val="18"/>
                    </w:rPr>
                  </w:pPr>
                </w:p>
              </w:tc>
              <w:tc>
                <w:tcPr>
                  <w:tcW w:w="485" w:type="dxa"/>
                  <w:tcBorders>
                    <w:bottom w:val="single" w:color="auto" w:sz="4" w:space="0"/>
                  </w:tcBorders>
                  <w:vAlign w:val="center"/>
                </w:tcPr>
                <w:p w14:paraId="4AE88B1D">
                  <w:pPr>
                    <w:pStyle w:val="143"/>
                    <w:rPr>
                      <w:color w:val="auto"/>
                      <w:sz w:val="18"/>
                      <w:szCs w:val="18"/>
                    </w:rPr>
                  </w:pPr>
                  <w:r>
                    <w:rPr>
                      <w:rFonts w:hint="eastAsia"/>
                      <w:color w:val="auto"/>
                      <w:sz w:val="18"/>
                      <w:szCs w:val="18"/>
                    </w:rPr>
                    <w:t>颗粒物</w:t>
                  </w:r>
                </w:p>
              </w:tc>
              <w:tc>
                <w:tcPr>
                  <w:tcW w:w="353" w:type="dxa"/>
                  <w:vMerge w:val="continue"/>
                  <w:vAlign w:val="center"/>
                </w:tcPr>
                <w:p w14:paraId="1DC89980">
                  <w:pPr>
                    <w:pStyle w:val="143"/>
                    <w:rPr>
                      <w:color w:val="auto"/>
                      <w:sz w:val="18"/>
                      <w:szCs w:val="18"/>
                    </w:rPr>
                  </w:pPr>
                </w:p>
              </w:tc>
              <w:tc>
                <w:tcPr>
                  <w:tcW w:w="732" w:type="dxa"/>
                  <w:tcBorders>
                    <w:bottom w:val="single" w:color="auto" w:sz="4" w:space="0"/>
                  </w:tcBorders>
                  <w:vAlign w:val="center"/>
                </w:tcPr>
                <w:p w14:paraId="7F13CFCF">
                  <w:pPr>
                    <w:pStyle w:val="143"/>
                    <w:rPr>
                      <w:rFonts w:hint="default" w:eastAsia="宋体"/>
                      <w:color w:val="auto"/>
                      <w:sz w:val="18"/>
                      <w:szCs w:val="18"/>
                      <w:lang w:val="en-US" w:eastAsia="zh-CN"/>
                    </w:rPr>
                  </w:pPr>
                  <w:r>
                    <w:rPr>
                      <w:rFonts w:hint="eastAsia"/>
                      <w:color w:val="auto"/>
                      <w:sz w:val="18"/>
                      <w:szCs w:val="18"/>
                      <w:lang w:val="en-US" w:eastAsia="zh-CN"/>
                    </w:rPr>
                    <w:t>3.0</w:t>
                  </w:r>
                </w:p>
              </w:tc>
              <w:tc>
                <w:tcPr>
                  <w:tcW w:w="539" w:type="dxa"/>
                  <w:tcBorders>
                    <w:bottom w:val="single" w:color="auto" w:sz="4" w:space="0"/>
                  </w:tcBorders>
                  <w:vAlign w:val="center"/>
                </w:tcPr>
                <w:p w14:paraId="3B0827BE">
                  <w:pPr>
                    <w:pStyle w:val="119"/>
                    <w:rPr>
                      <w:rFonts w:hint="default" w:eastAsia="宋体"/>
                      <w:color w:val="auto"/>
                      <w:sz w:val="18"/>
                      <w:szCs w:val="18"/>
                      <w:lang w:val="en-US" w:eastAsia="zh-CN"/>
                    </w:rPr>
                  </w:pPr>
                  <w:r>
                    <w:rPr>
                      <w:rFonts w:hint="eastAsia"/>
                      <w:color w:val="auto"/>
                      <w:sz w:val="18"/>
                      <w:szCs w:val="18"/>
                      <w:lang w:val="en-US" w:eastAsia="zh-CN"/>
                    </w:rPr>
                    <w:t>0.054</w:t>
                  </w:r>
                </w:p>
              </w:tc>
              <w:tc>
                <w:tcPr>
                  <w:tcW w:w="564" w:type="dxa"/>
                  <w:tcBorders>
                    <w:bottom w:val="single" w:color="auto" w:sz="4" w:space="0"/>
                  </w:tcBorders>
                  <w:vAlign w:val="center"/>
                </w:tcPr>
                <w:p w14:paraId="00B08AE4">
                  <w:pPr>
                    <w:pStyle w:val="119"/>
                    <w:rPr>
                      <w:rFonts w:hint="default" w:eastAsia="宋体"/>
                      <w:color w:val="auto"/>
                      <w:sz w:val="18"/>
                      <w:szCs w:val="18"/>
                      <w:lang w:val="en-US" w:eastAsia="zh-CN"/>
                    </w:rPr>
                  </w:pPr>
                  <w:r>
                    <w:rPr>
                      <w:rFonts w:hint="eastAsia"/>
                      <w:color w:val="auto"/>
                      <w:sz w:val="18"/>
                      <w:szCs w:val="18"/>
                      <w:lang w:val="en-US" w:eastAsia="zh-CN"/>
                    </w:rPr>
                    <w:t>1.50×10</w:t>
                  </w:r>
                  <w:r>
                    <w:rPr>
                      <w:rFonts w:hint="eastAsia"/>
                      <w:color w:val="auto"/>
                      <w:sz w:val="18"/>
                      <w:szCs w:val="18"/>
                      <w:vertAlign w:val="superscript"/>
                      <w:lang w:val="en-US" w:eastAsia="zh-CN"/>
                    </w:rPr>
                    <w:t>-2</w:t>
                  </w:r>
                </w:p>
              </w:tc>
              <w:tc>
                <w:tcPr>
                  <w:tcW w:w="625" w:type="dxa"/>
                  <w:vMerge w:val="continue"/>
                  <w:vAlign w:val="center"/>
                </w:tcPr>
                <w:p w14:paraId="65230C1C">
                  <w:pPr>
                    <w:pStyle w:val="143"/>
                    <w:rPr>
                      <w:color w:val="auto"/>
                      <w:sz w:val="18"/>
                      <w:szCs w:val="18"/>
                    </w:rPr>
                  </w:pPr>
                </w:p>
              </w:tc>
              <w:tc>
                <w:tcPr>
                  <w:tcW w:w="574" w:type="dxa"/>
                  <w:vMerge w:val="continue"/>
                  <w:vAlign w:val="center"/>
                </w:tcPr>
                <w:p w14:paraId="0C970F70">
                  <w:pPr>
                    <w:pStyle w:val="143"/>
                    <w:rPr>
                      <w:color w:val="auto"/>
                      <w:sz w:val="18"/>
                      <w:szCs w:val="18"/>
                    </w:rPr>
                  </w:pPr>
                </w:p>
              </w:tc>
              <w:tc>
                <w:tcPr>
                  <w:tcW w:w="451" w:type="dxa"/>
                  <w:tcBorders>
                    <w:bottom w:val="single" w:color="auto" w:sz="4" w:space="0"/>
                  </w:tcBorders>
                  <w:vAlign w:val="center"/>
                </w:tcPr>
                <w:p w14:paraId="1D5600BE">
                  <w:pPr>
                    <w:pStyle w:val="143"/>
                    <w:rPr>
                      <w:rFonts w:hint="default" w:eastAsia="宋体"/>
                      <w:color w:val="auto"/>
                      <w:sz w:val="18"/>
                      <w:szCs w:val="18"/>
                      <w:lang w:val="en-US" w:eastAsia="zh-CN"/>
                    </w:rPr>
                  </w:pPr>
                  <w:r>
                    <w:rPr>
                      <w:rFonts w:hint="eastAsia"/>
                      <w:color w:val="auto"/>
                      <w:sz w:val="18"/>
                      <w:szCs w:val="18"/>
                      <w:lang w:val="en-US" w:eastAsia="zh-CN"/>
                    </w:rPr>
                    <w:t>90</w:t>
                  </w:r>
                </w:p>
              </w:tc>
              <w:tc>
                <w:tcPr>
                  <w:tcW w:w="419" w:type="dxa"/>
                  <w:vMerge w:val="continue"/>
                  <w:vAlign w:val="center"/>
                </w:tcPr>
                <w:p w14:paraId="3F87C06B">
                  <w:pPr>
                    <w:pStyle w:val="143"/>
                    <w:rPr>
                      <w:color w:val="auto"/>
                      <w:sz w:val="18"/>
                      <w:szCs w:val="18"/>
                    </w:rPr>
                  </w:pPr>
                </w:p>
              </w:tc>
              <w:tc>
                <w:tcPr>
                  <w:tcW w:w="544" w:type="dxa"/>
                  <w:vMerge w:val="continue"/>
                  <w:vAlign w:val="center"/>
                </w:tcPr>
                <w:p w14:paraId="1AE244B1">
                  <w:pPr>
                    <w:pStyle w:val="143"/>
                    <w:rPr>
                      <w:color w:val="auto"/>
                      <w:sz w:val="18"/>
                      <w:szCs w:val="18"/>
                    </w:rPr>
                  </w:pPr>
                </w:p>
              </w:tc>
              <w:tc>
                <w:tcPr>
                  <w:tcW w:w="696" w:type="dxa"/>
                  <w:vAlign w:val="center"/>
                </w:tcPr>
                <w:p w14:paraId="784FDA49">
                  <w:pPr>
                    <w:pStyle w:val="143"/>
                    <w:rPr>
                      <w:rFonts w:hint="default" w:eastAsia="宋体"/>
                      <w:color w:val="auto"/>
                      <w:sz w:val="18"/>
                      <w:szCs w:val="18"/>
                      <w:lang w:val="en-US" w:eastAsia="zh-CN"/>
                    </w:rPr>
                  </w:pPr>
                  <w:r>
                    <w:rPr>
                      <w:rFonts w:hint="eastAsia"/>
                      <w:color w:val="auto"/>
                      <w:sz w:val="18"/>
                      <w:szCs w:val="18"/>
                      <w:lang w:val="en-US" w:eastAsia="zh-CN"/>
                    </w:rPr>
                    <w:t>0.07</w:t>
                  </w:r>
                </w:p>
              </w:tc>
              <w:tc>
                <w:tcPr>
                  <w:tcW w:w="564" w:type="dxa"/>
                  <w:vAlign w:val="center"/>
                </w:tcPr>
                <w:p w14:paraId="31F4984E">
                  <w:pPr>
                    <w:pStyle w:val="143"/>
                    <w:rPr>
                      <w:rFonts w:hint="default" w:eastAsia="宋体"/>
                      <w:color w:val="auto"/>
                      <w:sz w:val="18"/>
                      <w:szCs w:val="18"/>
                      <w:lang w:val="en-US" w:eastAsia="zh-CN"/>
                    </w:rPr>
                  </w:pPr>
                  <w:r>
                    <w:rPr>
                      <w:rFonts w:hint="eastAsia"/>
                      <w:color w:val="auto"/>
                      <w:sz w:val="18"/>
                      <w:szCs w:val="18"/>
                      <w:lang w:val="en-US" w:eastAsia="zh-CN"/>
                    </w:rPr>
                    <w:t>5.40×10</w:t>
                  </w:r>
                  <w:r>
                    <w:rPr>
                      <w:rFonts w:hint="eastAsia"/>
                      <w:color w:val="auto"/>
                      <w:sz w:val="18"/>
                      <w:szCs w:val="18"/>
                      <w:vertAlign w:val="superscript"/>
                      <w:lang w:val="en-US" w:eastAsia="zh-CN"/>
                    </w:rPr>
                    <w:t>-3</w:t>
                  </w:r>
                </w:p>
              </w:tc>
              <w:tc>
                <w:tcPr>
                  <w:tcW w:w="530" w:type="dxa"/>
                  <w:vAlign w:val="center"/>
                </w:tcPr>
                <w:p w14:paraId="3AE980B0">
                  <w:pPr>
                    <w:pStyle w:val="143"/>
                    <w:rPr>
                      <w:rFonts w:hint="default" w:eastAsia="宋体"/>
                      <w:color w:val="auto"/>
                      <w:sz w:val="18"/>
                      <w:szCs w:val="18"/>
                      <w:lang w:val="en-US" w:eastAsia="zh-CN"/>
                    </w:rPr>
                  </w:pPr>
                  <w:r>
                    <w:rPr>
                      <w:rFonts w:hint="eastAsia"/>
                      <w:color w:val="auto"/>
                      <w:sz w:val="18"/>
                      <w:szCs w:val="18"/>
                      <w:lang w:val="en-US" w:eastAsia="zh-CN"/>
                    </w:rPr>
                    <w:t>1.50×10</w:t>
                  </w:r>
                  <w:r>
                    <w:rPr>
                      <w:rFonts w:hint="eastAsia"/>
                      <w:color w:val="auto"/>
                      <w:sz w:val="18"/>
                      <w:szCs w:val="18"/>
                      <w:vertAlign w:val="superscript"/>
                      <w:lang w:val="en-US" w:eastAsia="zh-CN"/>
                    </w:rPr>
                    <w:t>-3</w:t>
                  </w:r>
                </w:p>
              </w:tc>
              <w:tc>
                <w:tcPr>
                  <w:tcW w:w="483" w:type="dxa"/>
                  <w:vMerge w:val="continue"/>
                  <w:vAlign w:val="center"/>
                </w:tcPr>
                <w:p w14:paraId="0C72A26F">
                  <w:pPr>
                    <w:pStyle w:val="143"/>
                    <w:rPr>
                      <w:color w:val="auto"/>
                      <w:sz w:val="18"/>
                      <w:szCs w:val="18"/>
                    </w:rPr>
                  </w:pPr>
                </w:p>
              </w:tc>
              <w:tc>
                <w:tcPr>
                  <w:tcW w:w="477" w:type="dxa"/>
                  <w:vMerge w:val="continue"/>
                  <w:vAlign w:val="center"/>
                </w:tcPr>
                <w:p w14:paraId="273E5AF9">
                  <w:pPr>
                    <w:pStyle w:val="143"/>
                    <w:rPr>
                      <w:color w:val="auto"/>
                      <w:sz w:val="18"/>
                      <w:szCs w:val="18"/>
                    </w:rPr>
                  </w:pPr>
                </w:p>
              </w:tc>
              <w:tc>
                <w:tcPr>
                  <w:tcW w:w="374" w:type="dxa"/>
                  <w:vMerge w:val="continue"/>
                  <w:vAlign w:val="center"/>
                </w:tcPr>
                <w:p w14:paraId="07B8335A">
                  <w:pPr>
                    <w:pStyle w:val="143"/>
                    <w:rPr>
                      <w:color w:val="auto"/>
                      <w:sz w:val="18"/>
                      <w:szCs w:val="18"/>
                    </w:rPr>
                  </w:pPr>
                </w:p>
              </w:tc>
              <w:tc>
                <w:tcPr>
                  <w:tcW w:w="375" w:type="dxa"/>
                  <w:vMerge w:val="continue"/>
                  <w:vAlign w:val="center"/>
                </w:tcPr>
                <w:p w14:paraId="1C52BCC1">
                  <w:pPr>
                    <w:pStyle w:val="143"/>
                    <w:rPr>
                      <w:color w:val="auto"/>
                      <w:sz w:val="18"/>
                      <w:szCs w:val="18"/>
                    </w:rPr>
                  </w:pPr>
                </w:p>
              </w:tc>
              <w:tc>
                <w:tcPr>
                  <w:tcW w:w="407" w:type="dxa"/>
                  <w:vMerge w:val="continue"/>
                  <w:vAlign w:val="center"/>
                </w:tcPr>
                <w:p w14:paraId="7683B369">
                  <w:pPr>
                    <w:pStyle w:val="143"/>
                    <w:rPr>
                      <w:color w:val="auto"/>
                      <w:sz w:val="18"/>
                      <w:szCs w:val="18"/>
                    </w:rPr>
                  </w:pPr>
                </w:p>
              </w:tc>
              <w:tc>
                <w:tcPr>
                  <w:tcW w:w="1171" w:type="dxa"/>
                  <w:vMerge w:val="continue"/>
                  <w:vAlign w:val="center"/>
                </w:tcPr>
                <w:p w14:paraId="36955B92">
                  <w:pPr>
                    <w:pStyle w:val="143"/>
                    <w:rPr>
                      <w:color w:val="auto"/>
                      <w:sz w:val="18"/>
                      <w:szCs w:val="18"/>
                    </w:rPr>
                  </w:pPr>
                </w:p>
              </w:tc>
              <w:tc>
                <w:tcPr>
                  <w:tcW w:w="885" w:type="dxa"/>
                  <w:tcBorders>
                    <w:bottom w:val="single" w:color="auto" w:sz="4" w:space="0"/>
                  </w:tcBorders>
                  <w:vAlign w:val="center"/>
                </w:tcPr>
                <w:p w14:paraId="18057033">
                  <w:pPr>
                    <w:pStyle w:val="143"/>
                    <w:rPr>
                      <w:color w:val="auto"/>
                      <w:sz w:val="18"/>
                      <w:szCs w:val="18"/>
                    </w:rPr>
                  </w:pPr>
                  <w:r>
                    <w:rPr>
                      <w:rFonts w:hint="eastAsia"/>
                      <w:color w:val="auto"/>
                      <w:sz w:val="18"/>
                      <w:szCs w:val="18"/>
                    </w:rPr>
                    <w:t>1</w:t>
                  </w:r>
                  <w:r>
                    <w:rPr>
                      <w:color w:val="auto"/>
                      <w:sz w:val="18"/>
                      <w:szCs w:val="18"/>
                    </w:rPr>
                    <w:t>20</w:t>
                  </w:r>
                </w:p>
              </w:tc>
              <w:tc>
                <w:tcPr>
                  <w:tcW w:w="751" w:type="dxa"/>
                  <w:tcBorders>
                    <w:bottom w:val="single" w:color="auto" w:sz="4" w:space="0"/>
                  </w:tcBorders>
                  <w:vAlign w:val="center"/>
                </w:tcPr>
                <w:p w14:paraId="12A658E7">
                  <w:pPr>
                    <w:pStyle w:val="143"/>
                    <w:rPr>
                      <w:color w:val="auto"/>
                      <w:sz w:val="18"/>
                      <w:szCs w:val="18"/>
                    </w:rPr>
                  </w:pPr>
                  <w:r>
                    <w:rPr>
                      <w:rFonts w:hint="eastAsia"/>
                      <w:color w:val="auto"/>
                      <w:sz w:val="18"/>
                      <w:szCs w:val="18"/>
                      <w:lang w:val="en-US" w:eastAsia="zh-CN"/>
                    </w:rPr>
                    <w:t>7.225</w:t>
                  </w:r>
                </w:p>
              </w:tc>
              <w:tc>
                <w:tcPr>
                  <w:tcW w:w="419" w:type="dxa"/>
                  <w:tcBorders>
                    <w:bottom w:val="single" w:color="auto" w:sz="4" w:space="0"/>
                  </w:tcBorders>
                  <w:vAlign w:val="center"/>
                </w:tcPr>
                <w:p w14:paraId="5777A82C">
                  <w:pPr>
                    <w:pStyle w:val="143"/>
                    <w:rPr>
                      <w:color w:val="auto"/>
                      <w:sz w:val="18"/>
                      <w:szCs w:val="18"/>
                    </w:rPr>
                  </w:pPr>
                  <w:r>
                    <w:rPr>
                      <w:color w:val="auto"/>
                      <w:sz w:val="18"/>
                      <w:szCs w:val="18"/>
                    </w:rPr>
                    <w:t>达标</w:t>
                  </w:r>
                </w:p>
              </w:tc>
            </w:tr>
            <w:tr w14:paraId="754F868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342" w:type="dxa"/>
                  <w:vMerge w:val="continue"/>
                  <w:vAlign w:val="center"/>
                </w:tcPr>
                <w:p w14:paraId="73235509">
                  <w:pPr>
                    <w:pStyle w:val="143"/>
                    <w:rPr>
                      <w:color w:val="auto"/>
                      <w:sz w:val="18"/>
                      <w:szCs w:val="18"/>
                    </w:rPr>
                  </w:pPr>
                </w:p>
              </w:tc>
              <w:tc>
                <w:tcPr>
                  <w:tcW w:w="563" w:type="dxa"/>
                  <w:vMerge w:val="continue"/>
                  <w:tcMar>
                    <w:top w:w="0" w:type="dxa"/>
                    <w:left w:w="28" w:type="dxa"/>
                    <w:bottom w:w="0" w:type="dxa"/>
                    <w:right w:w="28" w:type="dxa"/>
                  </w:tcMar>
                  <w:vAlign w:val="center"/>
                </w:tcPr>
                <w:p w14:paraId="359B6FBE">
                  <w:pPr>
                    <w:pStyle w:val="143"/>
                    <w:rPr>
                      <w:color w:val="auto"/>
                      <w:sz w:val="18"/>
                      <w:szCs w:val="18"/>
                    </w:rPr>
                  </w:pPr>
                </w:p>
              </w:tc>
              <w:tc>
                <w:tcPr>
                  <w:tcW w:w="688" w:type="dxa"/>
                  <w:vMerge w:val="continue"/>
                  <w:vAlign w:val="center"/>
                </w:tcPr>
                <w:p w14:paraId="4287F6A5">
                  <w:pPr>
                    <w:pStyle w:val="143"/>
                    <w:rPr>
                      <w:color w:val="auto"/>
                      <w:sz w:val="18"/>
                      <w:szCs w:val="18"/>
                    </w:rPr>
                  </w:pPr>
                </w:p>
              </w:tc>
              <w:tc>
                <w:tcPr>
                  <w:tcW w:w="485" w:type="dxa"/>
                  <w:tcBorders>
                    <w:bottom w:val="single" w:color="auto" w:sz="4" w:space="0"/>
                  </w:tcBorders>
                  <w:vAlign w:val="center"/>
                </w:tcPr>
                <w:p w14:paraId="43FB3C83">
                  <w:pPr>
                    <w:pStyle w:val="143"/>
                    <w:rPr>
                      <w:color w:val="auto"/>
                      <w:sz w:val="18"/>
                      <w:szCs w:val="18"/>
                    </w:rPr>
                  </w:pPr>
                  <w:r>
                    <w:rPr>
                      <w:rFonts w:hint="eastAsia"/>
                      <w:color w:val="auto"/>
                      <w:sz w:val="18"/>
                      <w:szCs w:val="18"/>
                      <w:lang w:bidi="en-US"/>
                    </w:rPr>
                    <w:t>NOx</w:t>
                  </w:r>
                </w:p>
              </w:tc>
              <w:tc>
                <w:tcPr>
                  <w:tcW w:w="353" w:type="dxa"/>
                  <w:vMerge w:val="continue"/>
                  <w:tcBorders>
                    <w:bottom w:val="single" w:color="auto" w:sz="4" w:space="0"/>
                  </w:tcBorders>
                  <w:vAlign w:val="center"/>
                </w:tcPr>
                <w:p w14:paraId="2249F21F">
                  <w:pPr>
                    <w:pStyle w:val="143"/>
                    <w:rPr>
                      <w:color w:val="auto"/>
                      <w:sz w:val="18"/>
                      <w:szCs w:val="18"/>
                    </w:rPr>
                  </w:pPr>
                </w:p>
              </w:tc>
              <w:tc>
                <w:tcPr>
                  <w:tcW w:w="732" w:type="dxa"/>
                  <w:tcBorders>
                    <w:bottom w:val="single" w:color="auto" w:sz="4" w:space="0"/>
                  </w:tcBorders>
                  <w:vAlign w:val="center"/>
                </w:tcPr>
                <w:p w14:paraId="48366386">
                  <w:pPr>
                    <w:pStyle w:val="143"/>
                    <w:rPr>
                      <w:rFonts w:hint="default" w:eastAsia="宋体"/>
                      <w:color w:val="auto"/>
                      <w:sz w:val="18"/>
                      <w:szCs w:val="18"/>
                      <w:lang w:val="en-US" w:eastAsia="zh-CN"/>
                    </w:rPr>
                  </w:pPr>
                  <w:r>
                    <w:rPr>
                      <w:rFonts w:hint="eastAsia"/>
                      <w:color w:val="auto"/>
                      <w:sz w:val="18"/>
                      <w:szCs w:val="18"/>
                      <w:lang w:val="en-US" w:eastAsia="zh-CN"/>
                    </w:rPr>
                    <w:t>11.1</w:t>
                  </w:r>
                </w:p>
              </w:tc>
              <w:tc>
                <w:tcPr>
                  <w:tcW w:w="539" w:type="dxa"/>
                  <w:tcBorders>
                    <w:bottom w:val="single" w:color="auto" w:sz="4" w:space="0"/>
                  </w:tcBorders>
                  <w:vAlign w:val="center"/>
                </w:tcPr>
                <w:p w14:paraId="0FCE0272">
                  <w:pPr>
                    <w:pStyle w:val="119"/>
                    <w:rPr>
                      <w:rFonts w:hint="default" w:eastAsia="宋体"/>
                      <w:color w:val="auto"/>
                      <w:sz w:val="18"/>
                      <w:szCs w:val="18"/>
                      <w:lang w:val="en-US" w:eastAsia="zh-CN"/>
                    </w:rPr>
                  </w:pPr>
                  <w:r>
                    <w:rPr>
                      <w:rFonts w:hint="eastAsia"/>
                      <w:color w:val="auto"/>
                      <w:sz w:val="18"/>
                      <w:szCs w:val="18"/>
                      <w:lang w:val="en-US" w:eastAsia="zh-CN"/>
                    </w:rPr>
                    <w:t>0.200</w:t>
                  </w:r>
                </w:p>
              </w:tc>
              <w:tc>
                <w:tcPr>
                  <w:tcW w:w="564" w:type="dxa"/>
                  <w:tcBorders>
                    <w:bottom w:val="single" w:color="auto" w:sz="4" w:space="0"/>
                  </w:tcBorders>
                  <w:vAlign w:val="center"/>
                </w:tcPr>
                <w:p w14:paraId="06B4BB68">
                  <w:pPr>
                    <w:pStyle w:val="119"/>
                    <w:rPr>
                      <w:rFonts w:hint="default" w:eastAsia="宋体"/>
                      <w:color w:val="auto"/>
                      <w:sz w:val="18"/>
                      <w:szCs w:val="18"/>
                      <w:lang w:val="en-US" w:eastAsia="zh-CN"/>
                    </w:rPr>
                  </w:pPr>
                  <w:r>
                    <w:rPr>
                      <w:rFonts w:hint="eastAsia"/>
                      <w:color w:val="auto"/>
                      <w:sz w:val="18"/>
                      <w:szCs w:val="18"/>
                      <w:lang w:val="en-US" w:eastAsia="zh-CN"/>
                    </w:rPr>
                    <w:t>5.56×10</w:t>
                  </w:r>
                  <w:r>
                    <w:rPr>
                      <w:rFonts w:hint="eastAsia"/>
                      <w:color w:val="auto"/>
                      <w:sz w:val="18"/>
                      <w:szCs w:val="18"/>
                      <w:vertAlign w:val="superscript"/>
                      <w:lang w:val="en-US" w:eastAsia="zh-CN"/>
                    </w:rPr>
                    <w:t>-2</w:t>
                  </w:r>
                </w:p>
              </w:tc>
              <w:tc>
                <w:tcPr>
                  <w:tcW w:w="625" w:type="dxa"/>
                  <w:vMerge w:val="continue"/>
                  <w:tcBorders>
                    <w:bottom w:val="single" w:color="auto" w:sz="4" w:space="0"/>
                  </w:tcBorders>
                  <w:vAlign w:val="center"/>
                </w:tcPr>
                <w:p w14:paraId="4419ED3E">
                  <w:pPr>
                    <w:pStyle w:val="143"/>
                    <w:rPr>
                      <w:color w:val="auto"/>
                      <w:sz w:val="18"/>
                      <w:szCs w:val="18"/>
                    </w:rPr>
                  </w:pPr>
                </w:p>
              </w:tc>
              <w:tc>
                <w:tcPr>
                  <w:tcW w:w="574" w:type="dxa"/>
                  <w:vMerge w:val="continue"/>
                  <w:tcBorders>
                    <w:bottom w:val="single" w:color="auto" w:sz="4" w:space="0"/>
                  </w:tcBorders>
                  <w:vAlign w:val="center"/>
                </w:tcPr>
                <w:p w14:paraId="60189564">
                  <w:pPr>
                    <w:pStyle w:val="143"/>
                    <w:rPr>
                      <w:color w:val="auto"/>
                      <w:sz w:val="18"/>
                      <w:szCs w:val="18"/>
                    </w:rPr>
                  </w:pPr>
                </w:p>
              </w:tc>
              <w:tc>
                <w:tcPr>
                  <w:tcW w:w="451" w:type="dxa"/>
                  <w:tcBorders>
                    <w:bottom w:val="single" w:color="auto" w:sz="4" w:space="0"/>
                  </w:tcBorders>
                  <w:vAlign w:val="center"/>
                </w:tcPr>
                <w:p w14:paraId="085DF796">
                  <w:pPr>
                    <w:pStyle w:val="143"/>
                    <w:rPr>
                      <w:rFonts w:hint="default" w:eastAsia="宋体"/>
                      <w:color w:val="auto"/>
                      <w:sz w:val="18"/>
                      <w:szCs w:val="18"/>
                      <w:lang w:val="en-US" w:eastAsia="zh-CN"/>
                    </w:rPr>
                  </w:pPr>
                  <w:r>
                    <w:rPr>
                      <w:rFonts w:hint="eastAsia"/>
                      <w:color w:val="auto"/>
                      <w:sz w:val="18"/>
                      <w:szCs w:val="18"/>
                      <w:lang w:val="en-US" w:eastAsia="zh-CN"/>
                    </w:rPr>
                    <w:t>90</w:t>
                  </w:r>
                </w:p>
              </w:tc>
              <w:tc>
                <w:tcPr>
                  <w:tcW w:w="419" w:type="dxa"/>
                  <w:vMerge w:val="continue"/>
                  <w:tcBorders>
                    <w:bottom w:val="single" w:color="auto" w:sz="4" w:space="0"/>
                  </w:tcBorders>
                  <w:vAlign w:val="center"/>
                </w:tcPr>
                <w:p w14:paraId="254DD613">
                  <w:pPr>
                    <w:pStyle w:val="143"/>
                    <w:rPr>
                      <w:color w:val="auto"/>
                      <w:sz w:val="18"/>
                      <w:szCs w:val="18"/>
                    </w:rPr>
                  </w:pPr>
                </w:p>
              </w:tc>
              <w:tc>
                <w:tcPr>
                  <w:tcW w:w="544" w:type="dxa"/>
                  <w:vMerge w:val="continue"/>
                  <w:tcBorders>
                    <w:bottom w:val="single" w:color="auto" w:sz="4" w:space="0"/>
                  </w:tcBorders>
                  <w:vAlign w:val="center"/>
                </w:tcPr>
                <w:p w14:paraId="3D7D26D3">
                  <w:pPr>
                    <w:pStyle w:val="143"/>
                    <w:rPr>
                      <w:color w:val="auto"/>
                      <w:sz w:val="18"/>
                      <w:szCs w:val="18"/>
                    </w:rPr>
                  </w:pPr>
                </w:p>
              </w:tc>
              <w:tc>
                <w:tcPr>
                  <w:tcW w:w="696" w:type="dxa"/>
                  <w:vAlign w:val="center"/>
                </w:tcPr>
                <w:p w14:paraId="50046B9E">
                  <w:pPr>
                    <w:pStyle w:val="143"/>
                    <w:rPr>
                      <w:rFonts w:hint="default" w:eastAsia="宋体"/>
                      <w:color w:val="auto"/>
                      <w:sz w:val="18"/>
                      <w:szCs w:val="18"/>
                      <w:lang w:val="en-US" w:eastAsia="zh-CN"/>
                    </w:rPr>
                  </w:pPr>
                  <w:r>
                    <w:rPr>
                      <w:rFonts w:hint="eastAsia"/>
                      <w:color w:val="auto"/>
                      <w:sz w:val="18"/>
                      <w:szCs w:val="18"/>
                      <w:lang w:val="en-US" w:eastAsia="zh-CN"/>
                    </w:rPr>
                    <w:t>0.27</w:t>
                  </w:r>
                </w:p>
              </w:tc>
              <w:tc>
                <w:tcPr>
                  <w:tcW w:w="564" w:type="dxa"/>
                  <w:vAlign w:val="center"/>
                </w:tcPr>
                <w:p w14:paraId="5A416638">
                  <w:pPr>
                    <w:pStyle w:val="143"/>
                    <w:rPr>
                      <w:rFonts w:hint="default" w:eastAsia="宋体"/>
                      <w:color w:val="auto"/>
                      <w:sz w:val="18"/>
                      <w:szCs w:val="18"/>
                      <w:lang w:val="en-US" w:eastAsia="zh-CN"/>
                    </w:rPr>
                  </w:pPr>
                  <w:r>
                    <w:rPr>
                      <w:rFonts w:hint="eastAsia"/>
                      <w:color w:val="auto"/>
                      <w:sz w:val="18"/>
                      <w:szCs w:val="18"/>
                      <w:lang w:val="en-US" w:eastAsia="zh-CN"/>
                    </w:rPr>
                    <w:t>0.020</w:t>
                  </w:r>
                </w:p>
              </w:tc>
              <w:tc>
                <w:tcPr>
                  <w:tcW w:w="530" w:type="dxa"/>
                  <w:vAlign w:val="center"/>
                </w:tcPr>
                <w:p w14:paraId="7F63676A">
                  <w:pPr>
                    <w:pStyle w:val="143"/>
                    <w:rPr>
                      <w:rFonts w:hint="default" w:eastAsia="宋体"/>
                      <w:color w:val="auto"/>
                      <w:sz w:val="18"/>
                      <w:szCs w:val="18"/>
                      <w:lang w:val="en-US" w:eastAsia="zh-CN"/>
                    </w:rPr>
                  </w:pPr>
                  <w:r>
                    <w:rPr>
                      <w:rFonts w:hint="eastAsia"/>
                      <w:color w:val="auto"/>
                      <w:sz w:val="18"/>
                      <w:szCs w:val="18"/>
                      <w:lang w:val="en-US" w:eastAsia="zh-CN"/>
                    </w:rPr>
                    <w:t>5.56×10</w:t>
                  </w:r>
                  <w:r>
                    <w:rPr>
                      <w:rFonts w:hint="eastAsia"/>
                      <w:color w:val="auto"/>
                      <w:sz w:val="18"/>
                      <w:szCs w:val="18"/>
                      <w:vertAlign w:val="superscript"/>
                      <w:lang w:val="en-US" w:eastAsia="zh-CN"/>
                    </w:rPr>
                    <w:t>-3</w:t>
                  </w:r>
                </w:p>
              </w:tc>
              <w:tc>
                <w:tcPr>
                  <w:tcW w:w="483" w:type="dxa"/>
                  <w:vMerge w:val="continue"/>
                  <w:tcBorders>
                    <w:bottom w:val="single" w:color="auto" w:sz="4" w:space="0"/>
                  </w:tcBorders>
                  <w:vAlign w:val="center"/>
                </w:tcPr>
                <w:p w14:paraId="27D61E96">
                  <w:pPr>
                    <w:pStyle w:val="143"/>
                    <w:rPr>
                      <w:color w:val="auto"/>
                      <w:sz w:val="18"/>
                      <w:szCs w:val="18"/>
                    </w:rPr>
                  </w:pPr>
                </w:p>
              </w:tc>
              <w:tc>
                <w:tcPr>
                  <w:tcW w:w="477" w:type="dxa"/>
                  <w:vMerge w:val="continue"/>
                  <w:tcBorders>
                    <w:bottom w:val="single" w:color="auto" w:sz="4" w:space="0"/>
                  </w:tcBorders>
                  <w:vAlign w:val="center"/>
                </w:tcPr>
                <w:p w14:paraId="198E6246">
                  <w:pPr>
                    <w:pStyle w:val="143"/>
                    <w:rPr>
                      <w:color w:val="auto"/>
                      <w:sz w:val="18"/>
                      <w:szCs w:val="18"/>
                    </w:rPr>
                  </w:pPr>
                </w:p>
              </w:tc>
              <w:tc>
                <w:tcPr>
                  <w:tcW w:w="374" w:type="dxa"/>
                  <w:vMerge w:val="continue"/>
                  <w:tcBorders>
                    <w:bottom w:val="single" w:color="auto" w:sz="4" w:space="0"/>
                  </w:tcBorders>
                  <w:vAlign w:val="center"/>
                </w:tcPr>
                <w:p w14:paraId="64F96B05">
                  <w:pPr>
                    <w:pStyle w:val="143"/>
                    <w:rPr>
                      <w:color w:val="auto"/>
                      <w:sz w:val="18"/>
                      <w:szCs w:val="18"/>
                    </w:rPr>
                  </w:pPr>
                </w:p>
              </w:tc>
              <w:tc>
                <w:tcPr>
                  <w:tcW w:w="375" w:type="dxa"/>
                  <w:vMerge w:val="continue"/>
                  <w:tcBorders>
                    <w:bottom w:val="single" w:color="auto" w:sz="4" w:space="0"/>
                  </w:tcBorders>
                  <w:vAlign w:val="center"/>
                </w:tcPr>
                <w:p w14:paraId="5548F4B7">
                  <w:pPr>
                    <w:pStyle w:val="143"/>
                    <w:rPr>
                      <w:color w:val="auto"/>
                      <w:sz w:val="18"/>
                      <w:szCs w:val="18"/>
                    </w:rPr>
                  </w:pPr>
                </w:p>
              </w:tc>
              <w:tc>
                <w:tcPr>
                  <w:tcW w:w="407" w:type="dxa"/>
                  <w:vMerge w:val="continue"/>
                  <w:tcBorders>
                    <w:bottom w:val="single" w:color="auto" w:sz="4" w:space="0"/>
                  </w:tcBorders>
                  <w:vAlign w:val="center"/>
                </w:tcPr>
                <w:p w14:paraId="5F9ACFCE">
                  <w:pPr>
                    <w:pStyle w:val="143"/>
                    <w:rPr>
                      <w:color w:val="auto"/>
                      <w:sz w:val="18"/>
                      <w:szCs w:val="18"/>
                    </w:rPr>
                  </w:pPr>
                </w:p>
              </w:tc>
              <w:tc>
                <w:tcPr>
                  <w:tcW w:w="1171" w:type="dxa"/>
                  <w:vMerge w:val="continue"/>
                  <w:tcBorders>
                    <w:bottom w:val="single" w:color="auto" w:sz="4" w:space="0"/>
                  </w:tcBorders>
                  <w:vAlign w:val="center"/>
                </w:tcPr>
                <w:p w14:paraId="75EABD0E">
                  <w:pPr>
                    <w:pStyle w:val="143"/>
                    <w:rPr>
                      <w:color w:val="auto"/>
                      <w:sz w:val="18"/>
                      <w:szCs w:val="18"/>
                    </w:rPr>
                  </w:pPr>
                </w:p>
              </w:tc>
              <w:tc>
                <w:tcPr>
                  <w:tcW w:w="885" w:type="dxa"/>
                  <w:tcBorders>
                    <w:bottom w:val="single" w:color="auto" w:sz="4" w:space="0"/>
                  </w:tcBorders>
                  <w:vAlign w:val="center"/>
                </w:tcPr>
                <w:p w14:paraId="38F201BB">
                  <w:pPr>
                    <w:pStyle w:val="143"/>
                    <w:rPr>
                      <w:color w:val="auto"/>
                      <w:sz w:val="18"/>
                      <w:szCs w:val="18"/>
                    </w:rPr>
                  </w:pPr>
                  <w:r>
                    <w:rPr>
                      <w:rFonts w:hint="eastAsia"/>
                      <w:color w:val="auto"/>
                      <w:sz w:val="18"/>
                      <w:szCs w:val="18"/>
                    </w:rPr>
                    <w:t>2</w:t>
                  </w:r>
                  <w:r>
                    <w:rPr>
                      <w:color w:val="auto"/>
                      <w:sz w:val="18"/>
                      <w:szCs w:val="18"/>
                    </w:rPr>
                    <w:t>40</w:t>
                  </w:r>
                </w:p>
              </w:tc>
              <w:tc>
                <w:tcPr>
                  <w:tcW w:w="751" w:type="dxa"/>
                  <w:tcBorders>
                    <w:bottom w:val="single" w:color="auto" w:sz="4" w:space="0"/>
                  </w:tcBorders>
                  <w:vAlign w:val="center"/>
                </w:tcPr>
                <w:p w14:paraId="71C6C2EA">
                  <w:pPr>
                    <w:pStyle w:val="143"/>
                    <w:rPr>
                      <w:rFonts w:hint="default" w:eastAsia="宋体"/>
                      <w:color w:val="auto"/>
                      <w:sz w:val="18"/>
                      <w:szCs w:val="18"/>
                      <w:lang w:val="en-US" w:eastAsia="zh-CN"/>
                    </w:rPr>
                  </w:pPr>
                  <w:r>
                    <w:rPr>
                      <w:rFonts w:hint="eastAsia"/>
                      <w:color w:val="auto"/>
                      <w:sz w:val="18"/>
                      <w:szCs w:val="18"/>
                      <w:lang w:val="en-US" w:eastAsia="zh-CN"/>
                    </w:rPr>
                    <w:t>1.425</w:t>
                  </w:r>
                </w:p>
              </w:tc>
              <w:tc>
                <w:tcPr>
                  <w:tcW w:w="419" w:type="dxa"/>
                  <w:tcBorders>
                    <w:bottom w:val="single" w:color="auto" w:sz="4" w:space="0"/>
                  </w:tcBorders>
                  <w:vAlign w:val="center"/>
                </w:tcPr>
                <w:p w14:paraId="369FFCF0">
                  <w:pPr>
                    <w:pStyle w:val="143"/>
                    <w:rPr>
                      <w:color w:val="auto"/>
                      <w:sz w:val="18"/>
                      <w:szCs w:val="18"/>
                    </w:rPr>
                  </w:pPr>
                  <w:r>
                    <w:rPr>
                      <w:color w:val="auto"/>
                      <w:sz w:val="18"/>
                      <w:szCs w:val="18"/>
                    </w:rPr>
                    <w:t>达标</w:t>
                  </w:r>
                </w:p>
              </w:tc>
            </w:tr>
            <w:tr w14:paraId="27775B9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342" w:type="dxa"/>
                  <w:vMerge w:val="continue"/>
                  <w:vAlign w:val="center"/>
                </w:tcPr>
                <w:p w14:paraId="7A019D0F">
                  <w:pPr>
                    <w:pStyle w:val="143"/>
                    <w:rPr>
                      <w:color w:val="auto"/>
                      <w:sz w:val="18"/>
                      <w:szCs w:val="18"/>
                    </w:rPr>
                  </w:pPr>
                </w:p>
              </w:tc>
              <w:tc>
                <w:tcPr>
                  <w:tcW w:w="563" w:type="dxa"/>
                  <w:vMerge w:val="continue"/>
                  <w:tcMar>
                    <w:top w:w="0" w:type="dxa"/>
                    <w:left w:w="28" w:type="dxa"/>
                    <w:bottom w:w="0" w:type="dxa"/>
                    <w:right w:w="28" w:type="dxa"/>
                  </w:tcMar>
                  <w:vAlign w:val="center"/>
                </w:tcPr>
                <w:p w14:paraId="0F82D8C8">
                  <w:pPr>
                    <w:pStyle w:val="143"/>
                    <w:rPr>
                      <w:rFonts w:hint="eastAsia" w:cs="Times New Roman"/>
                      <w:color w:val="auto"/>
                      <w:kern w:val="2"/>
                      <w:sz w:val="18"/>
                      <w:szCs w:val="18"/>
                      <w:lang w:val="en-US" w:eastAsia="zh-CN" w:bidi="ar-SA"/>
                    </w:rPr>
                  </w:pPr>
                </w:p>
              </w:tc>
              <w:tc>
                <w:tcPr>
                  <w:tcW w:w="688" w:type="dxa"/>
                  <w:vMerge w:val="restart"/>
                  <w:vAlign w:val="center"/>
                </w:tcPr>
                <w:p w14:paraId="4CCCBAF9">
                  <w:pPr>
                    <w:pStyle w:val="143"/>
                    <w:rPr>
                      <w:rFonts w:ascii="Times New Roman" w:hAnsi="Times New Roman" w:eastAsia="宋体" w:cs="Times New Roman"/>
                      <w:color w:val="auto"/>
                      <w:kern w:val="2"/>
                      <w:sz w:val="18"/>
                      <w:szCs w:val="18"/>
                      <w:lang w:val="en-US" w:eastAsia="zh-CN" w:bidi="ar-SA"/>
                    </w:rPr>
                  </w:pPr>
                  <w:r>
                    <w:rPr>
                      <w:rFonts w:hint="eastAsia" w:cs="Times New Roman"/>
                      <w:color w:val="auto"/>
                      <w:kern w:val="2"/>
                      <w:sz w:val="18"/>
                      <w:szCs w:val="18"/>
                      <w:lang w:val="en-US" w:eastAsia="zh-CN" w:bidi="ar-SA"/>
                    </w:rPr>
                    <w:t>无组织</w:t>
                  </w:r>
                </w:p>
              </w:tc>
              <w:tc>
                <w:tcPr>
                  <w:tcW w:w="485" w:type="dxa"/>
                  <w:tcBorders>
                    <w:bottom w:val="single" w:color="auto" w:sz="4" w:space="0"/>
                  </w:tcBorders>
                  <w:vAlign w:val="center"/>
                </w:tcPr>
                <w:p w14:paraId="23378CA9">
                  <w:pPr>
                    <w:pStyle w:val="143"/>
                    <w:rPr>
                      <w:rFonts w:hint="eastAsia"/>
                      <w:color w:val="auto"/>
                      <w:sz w:val="18"/>
                      <w:szCs w:val="18"/>
                      <w:lang w:bidi="en-US"/>
                    </w:rPr>
                  </w:pPr>
                  <w:r>
                    <w:rPr>
                      <w:rFonts w:hint="eastAsia"/>
                      <w:color w:val="auto"/>
                      <w:sz w:val="18"/>
                      <w:szCs w:val="18"/>
                      <w:lang w:bidi="en-US"/>
                    </w:rPr>
                    <w:t>SO</w:t>
                  </w:r>
                  <w:r>
                    <w:rPr>
                      <w:rFonts w:hint="eastAsia"/>
                      <w:color w:val="auto"/>
                      <w:sz w:val="18"/>
                      <w:szCs w:val="18"/>
                      <w:vertAlign w:val="subscript"/>
                      <w:lang w:bidi="en-US"/>
                    </w:rPr>
                    <w:t>2</w:t>
                  </w:r>
                </w:p>
              </w:tc>
              <w:tc>
                <w:tcPr>
                  <w:tcW w:w="353" w:type="dxa"/>
                  <w:vMerge w:val="restart"/>
                  <w:vAlign w:val="center"/>
                </w:tcPr>
                <w:p w14:paraId="1A59AA11">
                  <w:pPr>
                    <w:pStyle w:val="143"/>
                    <w:rPr>
                      <w:color w:val="auto"/>
                      <w:sz w:val="18"/>
                      <w:szCs w:val="18"/>
                    </w:rPr>
                  </w:pPr>
                  <w:r>
                    <w:rPr>
                      <w:color w:val="auto"/>
                      <w:sz w:val="18"/>
                      <w:szCs w:val="18"/>
                    </w:rPr>
                    <w:t>系数法</w:t>
                  </w:r>
                </w:p>
              </w:tc>
              <w:tc>
                <w:tcPr>
                  <w:tcW w:w="732" w:type="dxa"/>
                  <w:tcBorders>
                    <w:bottom w:val="single" w:color="auto" w:sz="4" w:space="0"/>
                  </w:tcBorders>
                  <w:vAlign w:val="center"/>
                </w:tcPr>
                <w:p w14:paraId="2835EDF5">
                  <w:pPr>
                    <w:pStyle w:val="143"/>
                    <w:rPr>
                      <w:rFonts w:hint="eastAsia" w:eastAsia="宋体"/>
                      <w:color w:val="auto"/>
                      <w:sz w:val="18"/>
                      <w:szCs w:val="18"/>
                      <w:lang w:eastAsia="zh-CN"/>
                    </w:rPr>
                  </w:pPr>
                  <w:r>
                    <w:rPr>
                      <w:rFonts w:hint="eastAsia"/>
                      <w:color w:val="auto"/>
                      <w:sz w:val="18"/>
                      <w:szCs w:val="18"/>
                      <w:lang w:val="en-US" w:eastAsia="zh-CN"/>
                    </w:rPr>
                    <w:t>/</w:t>
                  </w:r>
                </w:p>
              </w:tc>
              <w:tc>
                <w:tcPr>
                  <w:tcW w:w="539" w:type="dxa"/>
                  <w:tcBorders>
                    <w:bottom w:val="single" w:color="auto" w:sz="4" w:space="0"/>
                  </w:tcBorders>
                  <w:vAlign w:val="center"/>
                </w:tcPr>
                <w:p w14:paraId="339B6C7B">
                  <w:pPr>
                    <w:pStyle w:val="119"/>
                    <w:rPr>
                      <w:rFonts w:hint="default"/>
                      <w:color w:val="auto"/>
                      <w:sz w:val="18"/>
                      <w:szCs w:val="18"/>
                      <w:lang w:val="en-US"/>
                    </w:rPr>
                  </w:pPr>
                  <w:r>
                    <w:rPr>
                      <w:rFonts w:hint="eastAsia"/>
                      <w:color w:val="auto"/>
                      <w:sz w:val="18"/>
                      <w:szCs w:val="18"/>
                      <w:lang w:val="en-US" w:eastAsia="zh-CN"/>
                    </w:rPr>
                    <w:t>3.30×10</w:t>
                  </w:r>
                  <w:r>
                    <w:rPr>
                      <w:rFonts w:hint="eastAsia"/>
                      <w:color w:val="auto"/>
                      <w:sz w:val="18"/>
                      <w:szCs w:val="18"/>
                      <w:vertAlign w:val="superscript"/>
                      <w:lang w:val="en-US" w:eastAsia="zh-CN"/>
                    </w:rPr>
                    <w:t>-2</w:t>
                  </w:r>
                </w:p>
              </w:tc>
              <w:tc>
                <w:tcPr>
                  <w:tcW w:w="564" w:type="dxa"/>
                  <w:tcBorders>
                    <w:bottom w:val="single" w:color="auto" w:sz="4" w:space="0"/>
                  </w:tcBorders>
                  <w:vAlign w:val="center"/>
                </w:tcPr>
                <w:p w14:paraId="59BFF364">
                  <w:pPr>
                    <w:pStyle w:val="119"/>
                    <w:rPr>
                      <w:rFonts w:hint="default" w:eastAsia="宋体"/>
                      <w:color w:val="auto"/>
                      <w:sz w:val="18"/>
                      <w:szCs w:val="18"/>
                      <w:lang w:val="en-US" w:eastAsia="zh-CN"/>
                    </w:rPr>
                  </w:pPr>
                  <w:r>
                    <w:rPr>
                      <w:rFonts w:hint="eastAsia"/>
                      <w:color w:val="auto"/>
                      <w:sz w:val="18"/>
                      <w:szCs w:val="18"/>
                      <w:lang w:val="en-US" w:eastAsia="zh-CN"/>
                    </w:rPr>
                    <w:t>9.17×10</w:t>
                  </w:r>
                  <w:r>
                    <w:rPr>
                      <w:rFonts w:hint="eastAsia"/>
                      <w:color w:val="auto"/>
                      <w:sz w:val="18"/>
                      <w:szCs w:val="18"/>
                      <w:vertAlign w:val="superscript"/>
                      <w:lang w:val="en-US" w:eastAsia="zh-CN"/>
                    </w:rPr>
                    <w:t>-3</w:t>
                  </w:r>
                </w:p>
              </w:tc>
              <w:tc>
                <w:tcPr>
                  <w:tcW w:w="625" w:type="dxa"/>
                  <w:vMerge w:val="restart"/>
                  <w:vAlign w:val="center"/>
                </w:tcPr>
                <w:p w14:paraId="473D5CA1">
                  <w:pPr>
                    <w:pStyle w:val="143"/>
                    <w:rPr>
                      <w:rFonts w:hint="eastAsia" w:eastAsia="宋体"/>
                      <w:color w:val="auto"/>
                      <w:sz w:val="18"/>
                      <w:szCs w:val="18"/>
                      <w:lang w:val="en-US" w:eastAsia="zh-CN"/>
                    </w:rPr>
                  </w:pPr>
                  <w:r>
                    <w:rPr>
                      <w:rFonts w:hint="eastAsia"/>
                      <w:color w:val="auto"/>
                      <w:sz w:val="18"/>
                      <w:szCs w:val="18"/>
                      <w:lang w:val="en-US" w:eastAsia="zh-CN"/>
                    </w:rPr>
                    <w:t>/</w:t>
                  </w:r>
                </w:p>
              </w:tc>
              <w:tc>
                <w:tcPr>
                  <w:tcW w:w="574" w:type="dxa"/>
                  <w:tcBorders>
                    <w:bottom w:val="single" w:color="auto" w:sz="4" w:space="0"/>
                  </w:tcBorders>
                  <w:vAlign w:val="center"/>
                </w:tcPr>
                <w:p w14:paraId="4A3F9B58">
                  <w:pPr>
                    <w:pStyle w:val="143"/>
                    <w:rPr>
                      <w:color w:val="auto"/>
                      <w:sz w:val="18"/>
                      <w:szCs w:val="18"/>
                    </w:rPr>
                  </w:pPr>
                  <w:r>
                    <w:rPr>
                      <w:rFonts w:hint="eastAsia"/>
                      <w:color w:val="auto"/>
                      <w:sz w:val="18"/>
                      <w:szCs w:val="18"/>
                      <w:lang w:val="en-US" w:eastAsia="zh-CN"/>
                    </w:rPr>
                    <w:t>/</w:t>
                  </w:r>
                </w:p>
              </w:tc>
              <w:tc>
                <w:tcPr>
                  <w:tcW w:w="451" w:type="dxa"/>
                  <w:tcBorders>
                    <w:bottom w:val="single" w:color="auto" w:sz="4" w:space="0"/>
                  </w:tcBorders>
                  <w:vAlign w:val="center"/>
                </w:tcPr>
                <w:p w14:paraId="4ECA749D">
                  <w:pPr>
                    <w:pStyle w:val="143"/>
                    <w:rPr>
                      <w:rFonts w:hint="eastAsia"/>
                      <w:color w:val="auto"/>
                      <w:sz w:val="18"/>
                      <w:szCs w:val="18"/>
                    </w:rPr>
                  </w:pPr>
                  <w:r>
                    <w:rPr>
                      <w:rFonts w:hint="eastAsia"/>
                      <w:color w:val="auto"/>
                      <w:sz w:val="18"/>
                      <w:szCs w:val="18"/>
                      <w:lang w:val="en-US" w:eastAsia="zh-CN"/>
                    </w:rPr>
                    <w:t>/</w:t>
                  </w:r>
                </w:p>
              </w:tc>
              <w:tc>
                <w:tcPr>
                  <w:tcW w:w="419" w:type="dxa"/>
                  <w:tcBorders>
                    <w:bottom w:val="single" w:color="auto" w:sz="4" w:space="0"/>
                  </w:tcBorders>
                  <w:vAlign w:val="center"/>
                </w:tcPr>
                <w:p w14:paraId="6FEBB841">
                  <w:pPr>
                    <w:pStyle w:val="143"/>
                    <w:rPr>
                      <w:color w:val="auto"/>
                      <w:sz w:val="18"/>
                      <w:szCs w:val="18"/>
                    </w:rPr>
                  </w:pPr>
                  <w:r>
                    <w:rPr>
                      <w:rFonts w:hint="eastAsia"/>
                      <w:color w:val="auto"/>
                      <w:sz w:val="18"/>
                      <w:szCs w:val="18"/>
                      <w:lang w:val="en-US" w:eastAsia="zh-CN"/>
                    </w:rPr>
                    <w:t>/</w:t>
                  </w:r>
                </w:p>
              </w:tc>
              <w:tc>
                <w:tcPr>
                  <w:tcW w:w="544" w:type="dxa"/>
                  <w:tcBorders>
                    <w:bottom w:val="single" w:color="auto" w:sz="4" w:space="0"/>
                  </w:tcBorders>
                  <w:vAlign w:val="center"/>
                </w:tcPr>
                <w:p w14:paraId="474783DB">
                  <w:pPr>
                    <w:pStyle w:val="143"/>
                    <w:rPr>
                      <w:color w:val="auto"/>
                      <w:sz w:val="18"/>
                      <w:szCs w:val="18"/>
                    </w:rPr>
                  </w:pPr>
                  <w:r>
                    <w:rPr>
                      <w:rFonts w:hint="eastAsia"/>
                      <w:color w:val="auto"/>
                      <w:sz w:val="18"/>
                      <w:szCs w:val="18"/>
                      <w:lang w:val="en-US" w:eastAsia="zh-CN"/>
                    </w:rPr>
                    <w:t>/</w:t>
                  </w:r>
                </w:p>
              </w:tc>
              <w:tc>
                <w:tcPr>
                  <w:tcW w:w="696" w:type="dxa"/>
                  <w:vAlign w:val="center"/>
                </w:tcPr>
                <w:p w14:paraId="044D9F51">
                  <w:pPr>
                    <w:pStyle w:val="143"/>
                    <w:rPr>
                      <w:rFonts w:hint="eastAsia"/>
                      <w:color w:val="auto"/>
                      <w:sz w:val="18"/>
                      <w:szCs w:val="18"/>
                    </w:rPr>
                  </w:pPr>
                  <w:r>
                    <w:rPr>
                      <w:rFonts w:hint="eastAsia"/>
                      <w:color w:val="auto"/>
                      <w:sz w:val="18"/>
                      <w:szCs w:val="18"/>
                      <w:lang w:val="en-US" w:eastAsia="zh-CN"/>
                    </w:rPr>
                    <w:t>/</w:t>
                  </w:r>
                </w:p>
              </w:tc>
              <w:tc>
                <w:tcPr>
                  <w:tcW w:w="564" w:type="dxa"/>
                  <w:vAlign w:val="center"/>
                </w:tcPr>
                <w:p w14:paraId="534FC79F">
                  <w:pPr>
                    <w:pStyle w:val="119"/>
                    <w:rPr>
                      <w:rFonts w:hint="eastAsia"/>
                      <w:color w:val="auto"/>
                      <w:sz w:val="18"/>
                      <w:szCs w:val="18"/>
                    </w:rPr>
                  </w:pPr>
                  <w:r>
                    <w:rPr>
                      <w:rFonts w:hint="eastAsia"/>
                      <w:color w:val="auto"/>
                      <w:sz w:val="18"/>
                      <w:szCs w:val="18"/>
                      <w:lang w:val="en-US" w:eastAsia="zh-CN"/>
                    </w:rPr>
                    <w:t>3.30×10</w:t>
                  </w:r>
                  <w:r>
                    <w:rPr>
                      <w:rFonts w:hint="eastAsia"/>
                      <w:color w:val="auto"/>
                      <w:sz w:val="18"/>
                      <w:szCs w:val="18"/>
                      <w:vertAlign w:val="superscript"/>
                      <w:lang w:val="en-US" w:eastAsia="zh-CN"/>
                    </w:rPr>
                    <w:t>-2</w:t>
                  </w:r>
                </w:p>
              </w:tc>
              <w:tc>
                <w:tcPr>
                  <w:tcW w:w="530" w:type="dxa"/>
                  <w:vAlign w:val="center"/>
                </w:tcPr>
                <w:p w14:paraId="044020BB">
                  <w:pPr>
                    <w:pStyle w:val="119"/>
                    <w:rPr>
                      <w:rFonts w:hint="eastAsia"/>
                      <w:color w:val="auto"/>
                      <w:sz w:val="18"/>
                      <w:szCs w:val="18"/>
                    </w:rPr>
                  </w:pPr>
                  <w:r>
                    <w:rPr>
                      <w:rFonts w:hint="eastAsia"/>
                      <w:color w:val="auto"/>
                      <w:sz w:val="18"/>
                      <w:szCs w:val="18"/>
                      <w:lang w:val="en-US" w:eastAsia="zh-CN"/>
                    </w:rPr>
                    <w:t>9.17×10</w:t>
                  </w:r>
                  <w:r>
                    <w:rPr>
                      <w:rFonts w:hint="eastAsia"/>
                      <w:color w:val="auto"/>
                      <w:sz w:val="18"/>
                      <w:szCs w:val="18"/>
                      <w:vertAlign w:val="superscript"/>
                      <w:lang w:val="en-US" w:eastAsia="zh-CN"/>
                    </w:rPr>
                    <w:t>-3</w:t>
                  </w:r>
                </w:p>
              </w:tc>
              <w:tc>
                <w:tcPr>
                  <w:tcW w:w="483" w:type="dxa"/>
                  <w:tcBorders>
                    <w:bottom w:val="single" w:color="auto" w:sz="4" w:space="0"/>
                  </w:tcBorders>
                  <w:vAlign w:val="center"/>
                </w:tcPr>
                <w:p w14:paraId="0E3B9104">
                  <w:pPr>
                    <w:pStyle w:val="143"/>
                    <w:rPr>
                      <w:color w:val="auto"/>
                      <w:sz w:val="18"/>
                      <w:szCs w:val="18"/>
                    </w:rPr>
                  </w:pPr>
                  <w:r>
                    <w:rPr>
                      <w:rFonts w:hint="eastAsia"/>
                      <w:color w:val="auto"/>
                      <w:sz w:val="18"/>
                      <w:szCs w:val="18"/>
                      <w:lang w:val="en-US" w:eastAsia="zh-CN"/>
                    </w:rPr>
                    <w:t>/</w:t>
                  </w:r>
                </w:p>
              </w:tc>
              <w:tc>
                <w:tcPr>
                  <w:tcW w:w="477" w:type="dxa"/>
                  <w:tcBorders>
                    <w:bottom w:val="single" w:color="auto" w:sz="4" w:space="0"/>
                  </w:tcBorders>
                  <w:vAlign w:val="center"/>
                </w:tcPr>
                <w:p w14:paraId="3CAE37F8">
                  <w:pPr>
                    <w:pStyle w:val="143"/>
                    <w:rPr>
                      <w:color w:val="auto"/>
                      <w:sz w:val="18"/>
                      <w:szCs w:val="18"/>
                    </w:rPr>
                  </w:pPr>
                  <w:r>
                    <w:rPr>
                      <w:rFonts w:hint="eastAsia"/>
                      <w:color w:val="auto"/>
                      <w:sz w:val="18"/>
                      <w:szCs w:val="18"/>
                      <w:lang w:val="en-US" w:eastAsia="zh-CN"/>
                    </w:rPr>
                    <w:t>/</w:t>
                  </w:r>
                </w:p>
              </w:tc>
              <w:tc>
                <w:tcPr>
                  <w:tcW w:w="374" w:type="dxa"/>
                  <w:tcBorders>
                    <w:bottom w:val="single" w:color="auto" w:sz="4" w:space="0"/>
                  </w:tcBorders>
                  <w:vAlign w:val="center"/>
                </w:tcPr>
                <w:p w14:paraId="741FE88D">
                  <w:pPr>
                    <w:pStyle w:val="143"/>
                    <w:rPr>
                      <w:color w:val="auto"/>
                      <w:sz w:val="18"/>
                      <w:szCs w:val="18"/>
                    </w:rPr>
                  </w:pPr>
                  <w:r>
                    <w:rPr>
                      <w:rFonts w:hint="eastAsia"/>
                      <w:color w:val="auto"/>
                      <w:sz w:val="18"/>
                      <w:szCs w:val="18"/>
                      <w:lang w:val="en-US" w:eastAsia="zh-CN"/>
                    </w:rPr>
                    <w:t>/</w:t>
                  </w:r>
                </w:p>
              </w:tc>
              <w:tc>
                <w:tcPr>
                  <w:tcW w:w="375" w:type="dxa"/>
                  <w:tcBorders>
                    <w:bottom w:val="single" w:color="auto" w:sz="4" w:space="0"/>
                  </w:tcBorders>
                  <w:vAlign w:val="center"/>
                </w:tcPr>
                <w:p w14:paraId="438934C3">
                  <w:pPr>
                    <w:pStyle w:val="143"/>
                    <w:rPr>
                      <w:color w:val="auto"/>
                      <w:sz w:val="18"/>
                      <w:szCs w:val="18"/>
                    </w:rPr>
                  </w:pPr>
                  <w:r>
                    <w:rPr>
                      <w:rFonts w:hint="eastAsia"/>
                      <w:color w:val="auto"/>
                      <w:sz w:val="18"/>
                      <w:szCs w:val="18"/>
                      <w:lang w:val="en-US" w:eastAsia="zh-CN"/>
                    </w:rPr>
                    <w:t>/</w:t>
                  </w:r>
                </w:p>
              </w:tc>
              <w:tc>
                <w:tcPr>
                  <w:tcW w:w="407" w:type="dxa"/>
                  <w:tcBorders>
                    <w:bottom w:val="single" w:color="auto" w:sz="4" w:space="0"/>
                  </w:tcBorders>
                  <w:vAlign w:val="center"/>
                </w:tcPr>
                <w:p w14:paraId="0DCF8879">
                  <w:pPr>
                    <w:pStyle w:val="143"/>
                    <w:rPr>
                      <w:color w:val="auto"/>
                      <w:sz w:val="18"/>
                      <w:szCs w:val="18"/>
                    </w:rPr>
                  </w:pPr>
                  <w:r>
                    <w:rPr>
                      <w:rFonts w:hint="eastAsia"/>
                      <w:color w:val="auto"/>
                      <w:sz w:val="18"/>
                      <w:szCs w:val="18"/>
                      <w:lang w:val="en-US" w:eastAsia="zh-CN"/>
                    </w:rPr>
                    <w:t>/</w:t>
                  </w:r>
                </w:p>
              </w:tc>
              <w:tc>
                <w:tcPr>
                  <w:tcW w:w="1171" w:type="dxa"/>
                  <w:tcBorders>
                    <w:bottom w:val="single" w:color="auto" w:sz="4" w:space="0"/>
                  </w:tcBorders>
                  <w:vAlign w:val="center"/>
                </w:tcPr>
                <w:p w14:paraId="6413C403">
                  <w:pPr>
                    <w:pStyle w:val="143"/>
                    <w:rPr>
                      <w:color w:val="auto"/>
                      <w:sz w:val="18"/>
                      <w:szCs w:val="18"/>
                    </w:rPr>
                  </w:pPr>
                  <w:r>
                    <w:rPr>
                      <w:rFonts w:hint="eastAsia"/>
                      <w:color w:val="auto"/>
                      <w:sz w:val="18"/>
                      <w:szCs w:val="18"/>
                      <w:lang w:val="en-US" w:eastAsia="zh-CN"/>
                    </w:rPr>
                    <w:t>/</w:t>
                  </w:r>
                </w:p>
              </w:tc>
              <w:tc>
                <w:tcPr>
                  <w:tcW w:w="885" w:type="dxa"/>
                  <w:tcBorders>
                    <w:bottom w:val="single" w:color="auto" w:sz="4" w:space="0"/>
                  </w:tcBorders>
                  <w:vAlign w:val="center"/>
                </w:tcPr>
                <w:p w14:paraId="0126FD90">
                  <w:pPr>
                    <w:pStyle w:val="143"/>
                    <w:rPr>
                      <w:rFonts w:hint="eastAsia"/>
                      <w:color w:val="auto"/>
                      <w:sz w:val="18"/>
                      <w:szCs w:val="18"/>
                    </w:rPr>
                  </w:pPr>
                  <w:r>
                    <w:rPr>
                      <w:rFonts w:hint="eastAsia"/>
                      <w:color w:val="auto"/>
                      <w:sz w:val="18"/>
                      <w:szCs w:val="18"/>
                      <w:lang w:val="en-US" w:eastAsia="zh-CN"/>
                    </w:rPr>
                    <w:t>/</w:t>
                  </w:r>
                </w:p>
              </w:tc>
              <w:tc>
                <w:tcPr>
                  <w:tcW w:w="751" w:type="dxa"/>
                  <w:tcBorders>
                    <w:bottom w:val="single" w:color="auto" w:sz="4" w:space="0"/>
                  </w:tcBorders>
                  <w:vAlign w:val="center"/>
                </w:tcPr>
                <w:p w14:paraId="722B32B9">
                  <w:pPr>
                    <w:pStyle w:val="143"/>
                    <w:rPr>
                      <w:rFonts w:hint="eastAsia"/>
                      <w:color w:val="auto"/>
                      <w:sz w:val="18"/>
                      <w:szCs w:val="18"/>
                    </w:rPr>
                  </w:pPr>
                  <w:r>
                    <w:rPr>
                      <w:rFonts w:hint="eastAsia"/>
                      <w:color w:val="auto"/>
                      <w:sz w:val="18"/>
                      <w:szCs w:val="18"/>
                      <w:lang w:val="en-US" w:eastAsia="zh-CN"/>
                    </w:rPr>
                    <w:t>/</w:t>
                  </w:r>
                </w:p>
              </w:tc>
              <w:tc>
                <w:tcPr>
                  <w:tcW w:w="419" w:type="dxa"/>
                  <w:tcBorders>
                    <w:bottom w:val="single" w:color="auto" w:sz="4" w:space="0"/>
                  </w:tcBorders>
                  <w:vAlign w:val="center"/>
                </w:tcPr>
                <w:p w14:paraId="0AF4A4D0">
                  <w:pPr>
                    <w:pStyle w:val="143"/>
                    <w:rPr>
                      <w:color w:val="auto"/>
                      <w:sz w:val="18"/>
                      <w:szCs w:val="18"/>
                    </w:rPr>
                  </w:pPr>
                  <w:r>
                    <w:rPr>
                      <w:rFonts w:hint="eastAsia"/>
                      <w:color w:val="auto"/>
                      <w:sz w:val="18"/>
                      <w:szCs w:val="18"/>
                      <w:lang w:val="en-US" w:eastAsia="zh-CN"/>
                    </w:rPr>
                    <w:t>/</w:t>
                  </w:r>
                </w:p>
              </w:tc>
            </w:tr>
            <w:tr w14:paraId="7F6EDAE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342" w:type="dxa"/>
                  <w:vMerge w:val="continue"/>
                  <w:vAlign w:val="center"/>
                </w:tcPr>
                <w:p w14:paraId="0F130959">
                  <w:pPr>
                    <w:pStyle w:val="143"/>
                    <w:rPr>
                      <w:color w:val="auto"/>
                      <w:sz w:val="18"/>
                      <w:szCs w:val="18"/>
                    </w:rPr>
                  </w:pPr>
                </w:p>
              </w:tc>
              <w:tc>
                <w:tcPr>
                  <w:tcW w:w="563" w:type="dxa"/>
                  <w:vMerge w:val="continue"/>
                  <w:tcMar>
                    <w:top w:w="0" w:type="dxa"/>
                    <w:left w:w="28" w:type="dxa"/>
                    <w:bottom w:w="0" w:type="dxa"/>
                    <w:right w:w="28" w:type="dxa"/>
                  </w:tcMar>
                  <w:vAlign w:val="center"/>
                </w:tcPr>
                <w:p w14:paraId="66FE6E8B">
                  <w:pPr>
                    <w:pStyle w:val="143"/>
                    <w:rPr>
                      <w:rFonts w:ascii="Times New Roman" w:hAnsi="Times New Roman" w:eastAsia="宋体" w:cs="Times New Roman"/>
                      <w:color w:val="auto"/>
                      <w:kern w:val="2"/>
                      <w:sz w:val="18"/>
                      <w:szCs w:val="18"/>
                      <w:lang w:val="en-US" w:eastAsia="zh-CN" w:bidi="ar-SA"/>
                    </w:rPr>
                  </w:pPr>
                </w:p>
              </w:tc>
              <w:tc>
                <w:tcPr>
                  <w:tcW w:w="688" w:type="dxa"/>
                  <w:vMerge w:val="continue"/>
                  <w:vAlign w:val="center"/>
                </w:tcPr>
                <w:p w14:paraId="2984E56D">
                  <w:pPr>
                    <w:pStyle w:val="143"/>
                    <w:rPr>
                      <w:rFonts w:ascii="Times New Roman" w:hAnsi="Times New Roman" w:eastAsia="宋体" w:cs="Times New Roman"/>
                      <w:color w:val="auto"/>
                      <w:kern w:val="2"/>
                      <w:sz w:val="18"/>
                      <w:szCs w:val="18"/>
                      <w:lang w:val="en-US" w:eastAsia="zh-CN" w:bidi="ar-SA"/>
                    </w:rPr>
                  </w:pPr>
                </w:p>
              </w:tc>
              <w:tc>
                <w:tcPr>
                  <w:tcW w:w="485" w:type="dxa"/>
                  <w:tcBorders>
                    <w:bottom w:val="single" w:color="auto" w:sz="4" w:space="0"/>
                  </w:tcBorders>
                  <w:vAlign w:val="center"/>
                </w:tcPr>
                <w:p w14:paraId="66F5FB26">
                  <w:pPr>
                    <w:pStyle w:val="143"/>
                    <w:rPr>
                      <w:rFonts w:hint="eastAsia"/>
                      <w:color w:val="auto"/>
                      <w:sz w:val="18"/>
                      <w:szCs w:val="18"/>
                      <w:lang w:bidi="en-US"/>
                    </w:rPr>
                  </w:pPr>
                  <w:r>
                    <w:rPr>
                      <w:rFonts w:hint="eastAsia"/>
                      <w:color w:val="auto"/>
                      <w:sz w:val="18"/>
                      <w:szCs w:val="18"/>
                    </w:rPr>
                    <w:t>颗粒物</w:t>
                  </w:r>
                </w:p>
              </w:tc>
              <w:tc>
                <w:tcPr>
                  <w:tcW w:w="353" w:type="dxa"/>
                  <w:vMerge w:val="continue"/>
                  <w:vAlign w:val="center"/>
                </w:tcPr>
                <w:p w14:paraId="3533B0CE">
                  <w:pPr>
                    <w:pStyle w:val="143"/>
                    <w:rPr>
                      <w:color w:val="auto"/>
                      <w:sz w:val="18"/>
                      <w:szCs w:val="18"/>
                    </w:rPr>
                  </w:pPr>
                </w:p>
              </w:tc>
              <w:tc>
                <w:tcPr>
                  <w:tcW w:w="732" w:type="dxa"/>
                  <w:tcBorders>
                    <w:bottom w:val="single" w:color="auto" w:sz="4" w:space="0"/>
                  </w:tcBorders>
                  <w:vAlign w:val="center"/>
                </w:tcPr>
                <w:p w14:paraId="094E3D20">
                  <w:pPr>
                    <w:pStyle w:val="143"/>
                    <w:rPr>
                      <w:rFonts w:hint="eastAsia" w:eastAsia="宋体"/>
                      <w:color w:val="auto"/>
                      <w:sz w:val="18"/>
                      <w:szCs w:val="18"/>
                      <w:lang w:val="en-US" w:eastAsia="zh-CN"/>
                    </w:rPr>
                  </w:pPr>
                  <w:r>
                    <w:rPr>
                      <w:rFonts w:hint="eastAsia"/>
                      <w:color w:val="auto"/>
                      <w:sz w:val="18"/>
                      <w:szCs w:val="18"/>
                      <w:lang w:val="en-US" w:eastAsia="zh-CN"/>
                    </w:rPr>
                    <w:t>/</w:t>
                  </w:r>
                </w:p>
              </w:tc>
              <w:tc>
                <w:tcPr>
                  <w:tcW w:w="539" w:type="dxa"/>
                  <w:tcBorders>
                    <w:bottom w:val="single" w:color="auto" w:sz="4" w:space="0"/>
                  </w:tcBorders>
                  <w:vAlign w:val="center"/>
                </w:tcPr>
                <w:p w14:paraId="648071F0">
                  <w:pPr>
                    <w:pStyle w:val="119"/>
                    <w:rPr>
                      <w:rFonts w:hint="default" w:eastAsia="宋体"/>
                      <w:color w:val="auto"/>
                      <w:sz w:val="18"/>
                      <w:szCs w:val="18"/>
                      <w:lang w:val="en-US" w:eastAsia="zh-CN"/>
                    </w:rPr>
                  </w:pPr>
                  <w:r>
                    <w:rPr>
                      <w:rFonts w:hint="eastAsia"/>
                      <w:color w:val="auto"/>
                      <w:sz w:val="18"/>
                      <w:szCs w:val="18"/>
                      <w:lang w:val="en-US" w:eastAsia="zh-CN"/>
                    </w:rPr>
                    <w:t>6.00×10</w:t>
                  </w:r>
                  <w:r>
                    <w:rPr>
                      <w:rFonts w:hint="eastAsia"/>
                      <w:color w:val="auto"/>
                      <w:sz w:val="18"/>
                      <w:szCs w:val="18"/>
                      <w:vertAlign w:val="superscript"/>
                      <w:lang w:val="en-US" w:eastAsia="zh-CN"/>
                    </w:rPr>
                    <w:t>-3</w:t>
                  </w:r>
                </w:p>
              </w:tc>
              <w:tc>
                <w:tcPr>
                  <w:tcW w:w="564" w:type="dxa"/>
                  <w:tcBorders>
                    <w:bottom w:val="single" w:color="auto" w:sz="4" w:space="0"/>
                  </w:tcBorders>
                  <w:vAlign w:val="center"/>
                </w:tcPr>
                <w:p w14:paraId="3A2E31A5">
                  <w:pPr>
                    <w:pStyle w:val="119"/>
                    <w:rPr>
                      <w:rFonts w:hint="default" w:eastAsia="宋体"/>
                      <w:color w:val="auto"/>
                      <w:sz w:val="18"/>
                      <w:szCs w:val="18"/>
                      <w:lang w:val="en-US" w:eastAsia="zh-CN"/>
                    </w:rPr>
                  </w:pPr>
                  <w:r>
                    <w:rPr>
                      <w:rFonts w:hint="eastAsia"/>
                      <w:color w:val="auto"/>
                      <w:sz w:val="18"/>
                      <w:szCs w:val="18"/>
                      <w:lang w:val="en-US" w:eastAsia="zh-CN"/>
                    </w:rPr>
                    <w:t>1.67×10</w:t>
                  </w:r>
                  <w:r>
                    <w:rPr>
                      <w:rFonts w:hint="eastAsia"/>
                      <w:color w:val="auto"/>
                      <w:sz w:val="18"/>
                      <w:szCs w:val="18"/>
                      <w:vertAlign w:val="superscript"/>
                      <w:lang w:val="en-US" w:eastAsia="zh-CN"/>
                    </w:rPr>
                    <w:t>-3</w:t>
                  </w:r>
                </w:p>
              </w:tc>
              <w:tc>
                <w:tcPr>
                  <w:tcW w:w="625" w:type="dxa"/>
                  <w:vMerge w:val="continue"/>
                  <w:vAlign w:val="center"/>
                </w:tcPr>
                <w:p w14:paraId="7A71F7A1">
                  <w:pPr>
                    <w:pStyle w:val="143"/>
                    <w:rPr>
                      <w:color w:val="auto"/>
                      <w:sz w:val="18"/>
                      <w:szCs w:val="18"/>
                    </w:rPr>
                  </w:pPr>
                </w:p>
              </w:tc>
              <w:tc>
                <w:tcPr>
                  <w:tcW w:w="574" w:type="dxa"/>
                  <w:tcBorders>
                    <w:bottom w:val="single" w:color="auto" w:sz="4" w:space="0"/>
                  </w:tcBorders>
                  <w:vAlign w:val="center"/>
                </w:tcPr>
                <w:p w14:paraId="61BA9CB6">
                  <w:pPr>
                    <w:pStyle w:val="143"/>
                    <w:rPr>
                      <w:color w:val="auto"/>
                      <w:sz w:val="18"/>
                      <w:szCs w:val="18"/>
                    </w:rPr>
                  </w:pPr>
                  <w:r>
                    <w:rPr>
                      <w:rFonts w:hint="eastAsia"/>
                      <w:color w:val="auto"/>
                      <w:sz w:val="18"/>
                      <w:szCs w:val="18"/>
                      <w:lang w:val="en-US" w:eastAsia="zh-CN"/>
                    </w:rPr>
                    <w:t>/</w:t>
                  </w:r>
                </w:p>
              </w:tc>
              <w:tc>
                <w:tcPr>
                  <w:tcW w:w="451" w:type="dxa"/>
                  <w:tcBorders>
                    <w:bottom w:val="single" w:color="auto" w:sz="4" w:space="0"/>
                  </w:tcBorders>
                  <w:vAlign w:val="center"/>
                </w:tcPr>
                <w:p w14:paraId="5A9BD0D5">
                  <w:pPr>
                    <w:pStyle w:val="143"/>
                    <w:rPr>
                      <w:rFonts w:hint="eastAsia"/>
                      <w:color w:val="auto"/>
                      <w:sz w:val="18"/>
                      <w:szCs w:val="18"/>
                    </w:rPr>
                  </w:pPr>
                  <w:r>
                    <w:rPr>
                      <w:rFonts w:hint="eastAsia"/>
                      <w:color w:val="auto"/>
                      <w:sz w:val="18"/>
                      <w:szCs w:val="18"/>
                      <w:lang w:val="en-US" w:eastAsia="zh-CN"/>
                    </w:rPr>
                    <w:t>/</w:t>
                  </w:r>
                </w:p>
              </w:tc>
              <w:tc>
                <w:tcPr>
                  <w:tcW w:w="419" w:type="dxa"/>
                  <w:tcBorders>
                    <w:bottom w:val="single" w:color="auto" w:sz="4" w:space="0"/>
                  </w:tcBorders>
                  <w:vAlign w:val="center"/>
                </w:tcPr>
                <w:p w14:paraId="089EC232">
                  <w:pPr>
                    <w:pStyle w:val="143"/>
                    <w:rPr>
                      <w:color w:val="auto"/>
                      <w:sz w:val="18"/>
                      <w:szCs w:val="18"/>
                    </w:rPr>
                  </w:pPr>
                  <w:r>
                    <w:rPr>
                      <w:rFonts w:hint="eastAsia"/>
                      <w:color w:val="auto"/>
                      <w:sz w:val="18"/>
                      <w:szCs w:val="18"/>
                      <w:lang w:val="en-US" w:eastAsia="zh-CN"/>
                    </w:rPr>
                    <w:t>/</w:t>
                  </w:r>
                </w:p>
              </w:tc>
              <w:tc>
                <w:tcPr>
                  <w:tcW w:w="544" w:type="dxa"/>
                  <w:tcBorders>
                    <w:bottom w:val="single" w:color="auto" w:sz="4" w:space="0"/>
                  </w:tcBorders>
                  <w:vAlign w:val="center"/>
                </w:tcPr>
                <w:p w14:paraId="57EF3314">
                  <w:pPr>
                    <w:pStyle w:val="143"/>
                    <w:rPr>
                      <w:color w:val="auto"/>
                      <w:sz w:val="18"/>
                      <w:szCs w:val="18"/>
                    </w:rPr>
                  </w:pPr>
                  <w:r>
                    <w:rPr>
                      <w:rFonts w:hint="eastAsia"/>
                      <w:color w:val="auto"/>
                      <w:sz w:val="18"/>
                      <w:szCs w:val="18"/>
                      <w:lang w:val="en-US" w:eastAsia="zh-CN"/>
                    </w:rPr>
                    <w:t>/</w:t>
                  </w:r>
                </w:p>
              </w:tc>
              <w:tc>
                <w:tcPr>
                  <w:tcW w:w="696" w:type="dxa"/>
                  <w:vAlign w:val="center"/>
                </w:tcPr>
                <w:p w14:paraId="591A0061">
                  <w:pPr>
                    <w:pStyle w:val="143"/>
                    <w:rPr>
                      <w:rFonts w:hint="eastAsia"/>
                      <w:color w:val="auto"/>
                      <w:sz w:val="18"/>
                      <w:szCs w:val="18"/>
                    </w:rPr>
                  </w:pPr>
                  <w:r>
                    <w:rPr>
                      <w:rFonts w:hint="eastAsia"/>
                      <w:color w:val="auto"/>
                      <w:sz w:val="18"/>
                      <w:szCs w:val="18"/>
                      <w:lang w:val="en-US" w:eastAsia="zh-CN"/>
                    </w:rPr>
                    <w:t>/</w:t>
                  </w:r>
                </w:p>
              </w:tc>
              <w:tc>
                <w:tcPr>
                  <w:tcW w:w="564" w:type="dxa"/>
                  <w:vAlign w:val="center"/>
                </w:tcPr>
                <w:p w14:paraId="5A2D1AA3">
                  <w:pPr>
                    <w:pStyle w:val="119"/>
                    <w:rPr>
                      <w:rFonts w:hint="eastAsia"/>
                      <w:color w:val="auto"/>
                      <w:sz w:val="18"/>
                      <w:szCs w:val="18"/>
                    </w:rPr>
                  </w:pPr>
                  <w:r>
                    <w:rPr>
                      <w:rFonts w:hint="eastAsia"/>
                      <w:color w:val="auto"/>
                      <w:sz w:val="18"/>
                      <w:szCs w:val="18"/>
                      <w:lang w:val="en-US" w:eastAsia="zh-CN"/>
                    </w:rPr>
                    <w:t>6.00×10</w:t>
                  </w:r>
                  <w:r>
                    <w:rPr>
                      <w:rFonts w:hint="eastAsia"/>
                      <w:color w:val="auto"/>
                      <w:sz w:val="18"/>
                      <w:szCs w:val="18"/>
                      <w:vertAlign w:val="superscript"/>
                      <w:lang w:val="en-US" w:eastAsia="zh-CN"/>
                    </w:rPr>
                    <w:t>-3</w:t>
                  </w:r>
                </w:p>
              </w:tc>
              <w:tc>
                <w:tcPr>
                  <w:tcW w:w="530" w:type="dxa"/>
                  <w:vAlign w:val="center"/>
                </w:tcPr>
                <w:p w14:paraId="6012C51F">
                  <w:pPr>
                    <w:pStyle w:val="119"/>
                    <w:rPr>
                      <w:rFonts w:hint="eastAsia"/>
                      <w:color w:val="auto"/>
                      <w:sz w:val="18"/>
                      <w:szCs w:val="18"/>
                    </w:rPr>
                  </w:pPr>
                  <w:r>
                    <w:rPr>
                      <w:rFonts w:hint="eastAsia"/>
                      <w:color w:val="auto"/>
                      <w:sz w:val="18"/>
                      <w:szCs w:val="18"/>
                      <w:lang w:val="en-US" w:eastAsia="zh-CN"/>
                    </w:rPr>
                    <w:t>1.67×10</w:t>
                  </w:r>
                  <w:r>
                    <w:rPr>
                      <w:rFonts w:hint="eastAsia"/>
                      <w:color w:val="auto"/>
                      <w:sz w:val="18"/>
                      <w:szCs w:val="18"/>
                      <w:vertAlign w:val="superscript"/>
                      <w:lang w:val="en-US" w:eastAsia="zh-CN"/>
                    </w:rPr>
                    <w:t>-3</w:t>
                  </w:r>
                </w:p>
              </w:tc>
              <w:tc>
                <w:tcPr>
                  <w:tcW w:w="483" w:type="dxa"/>
                  <w:tcBorders>
                    <w:bottom w:val="single" w:color="auto" w:sz="4" w:space="0"/>
                  </w:tcBorders>
                  <w:vAlign w:val="center"/>
                </w:tcPr>
                <w:p w14:paraId="39684391">
                  <w:pPr>
                    <w:pStyle w:val="143"/>
                    <w:rPr>
                      <w:color w:val="auto"/>
                      <w:sz w:val="18"/>
                      <w:szCs w:val="18"/>
                    </w:rPr>
                  </w:pPr>
                  <w:r>
                    <w:rPr>
                      <w:rFonts w:hint="eastAsia"/>
                      <w:color w:val="auto"/>
                      <w:sz w:val="18"/>
                      <w:szCs w:val="18"/>
                      <w:lang w:val="en-US" w:eastAsia="zh-CN"/>
                    </w:rPr>
                    <w:t>/</w:t>
                  </w:r>
                </w:p>
              </w:tc>
              <w:tc>
                <w:tcPr>
                  <w:tcW w:w="477" w:type="dxa"/>
                  <w:tcBorders>
                    <w:bottom w:val="single" w:color="auto" w:sz="4" w:space="0"/>
                  </w:tcBorders>
                  <w:vAlign w:val="center"/>
                </w:tcPr>
                <w:p w14:paraId="261DB3B8">
                  <w:pPr>
                    <w:pStyle w:val="143"/>
                    <w:rPr>
                      <w:color w:val="auto"/>
                      <w:sz w:val="18"/>
                      <w:szCs w:val="18"/>
                    </w:rPr>
                  </w:pPr>
                  <w:r>
                    <w:rPr>
                      <w:rFonts w:hint="eastAsia"/>
                      <w:color w:val="auto"/>
                      <w:sz w:val="18"/>
                      <w:szCs w:val="18"/>
                      <w:lang w:val="en-US" w:eastAsia="zh-CN"/>
                    </w:rPr>
                    <w:t>/</w:t>
                  </w:r>
                </w:p>
              </w:tc>
              <w:tc>
                <w:tcPr>
                  <w:tcW w:w="374" w:type="dxa"/>
                  <w:tcBorders>
                    <w:bottom w:val="single" w:color="auto" w:sz="4" w:space="0"/>
                  </w:tcBorders>
                  <w:vAlign w:val="center"/>
                </w:tcPr>
                <w:p w14:paraId="5939BB1B">
                  <w:pPr>
                    <w:pStyle w:val="143"/>
                    <w:rPr>
                      <w:color w:val="auto"/>
                      <w:sz w:val="18"/>
                      <w:szCs w:val="18"/>
                    </w:rPr>
                  </w:pPr>
                  <w:r>
                    <w:rPr>
                      <w:rFonts w:hint="eastAsia"/>
                      <w:color w:val="auto"/>
                      <w:sz w:val="18"/>
                      <w:szCs w:val="18"/>
                      <w:lang w:val="en-US" w:eastAsia="zh-CN"/>
                    </w:rPr>
                    <w:t>/</w:t>
                  </w:r>
                </w:p>
              </w:tc>
              <w:tc>
                <w:tcPr>
                  <w:tcW w:w="375" w:type="dxa"/>
                  <w:tcBorders>
                    <w:bottom w:val="single" w:color="auto" w:sz="4" w:space="0"/>
                  </w:tcBorders>
                  <w:vAlign w:val="center"/>
                </w:tcPr>
                <w:p w14:paraId="39DFFA32">
                  <w:pPr>
                    <w:pStyle w:val="143"/>
                    <w:rPr>
                      <w:color w:val="auto"/>
                      <w:sz w:val="18"/>
                      <w:szCs w:val="18"/>
                    </w:rPr>
                  </w:pPr>
                  <w:r>
                    <w:rPr>
                      <w:rFonts w:hint="eastAsia"/>
                      <w:color w:val="auto"/>
                      <w:sz w:val="18"/>
                      <w:szCs w:val="18"/>
                      <w:lang w:val="en-US" w:eastAsia="zh-CN"/>
                    </w:rPr>
                    <w:t>/</w:t>
                  </w:r>
                </w:p>
              </w:tc>
              <w:tc>
                <w:tcPr>
                  <w:tcW w:w="407" w:type="dxa"/>
                  <w:tcBorders>
                    <w:bottom w:val="single" w:color="auto" w:sz="4" w:space="0"/>
                  </w:tcBorders>
                  <w:vAlign w:val="center"/>
                </w:tcPr>
                <w:p w14:paraId="7AA4AE8E">
                  <w:pPr>
                    <w:pStyle w:val="143"/>
                    <w:rPr>
                      <w:color w:val="auto"/>
                      <w:sz w:val="18"/>
                      <w:szCs w:val="18"/>
                    </w:rPr>
                  </w:pPr>
                  <w:r>
                    <w:rPr>
                      <w:rFonts w:hint="eastAsia"/>
                      <w:color w:val="auto"/>
                      <w:sz w:val="18"/>
                      <w:szCs w:val="18"/>
                      <w:lang w:val="en-US" w:eastAsia="zh-CN"/>
                    </w:rPr>
                    <w:t>/</w:t>
                  </w:r>
                </w:p>
              </w:tc>
              <w:tc>
                <w:tcPr>
                  <w:tcW w:w="1171" w:type="dxa"/>
                  <w:tcBorders>
                    <w:bottom w:val="single" w:color="auto" w:sz="4" w:space="0"/>
                  </w:tcBorders>
                  <w:vAlign w:val="center"/>
                </w:tcPr>
                <w:p w14:paraId="64C41E3B">
                  <w:pPr>
                    <w:pStyle w:val="143"/>
                    <w:rPr>
                      <w:color w:val="auto"/>
                      <w:sz w:val="18"/>
                      <w:szCs w:val="18"/>
                    </w:rPr>
                  </w:pPr>
                  <w:r>
                    <w:rPr>
                      <w:rFonts w:hint="eastAsia"/>
                      <w:color w:val="auto"/>
                      <w:sz w:val="18"/>
                      <w:szCs w:val="18"/>
                      <w:lang w:val="en-US" w:eastAsia="zh-CN"/>
                    </w:rPr>
                    <w:t>/</w:t>
                  </w:r>
                </w:p>
              </w:tc>
              <w:tc>
                <w:tcPr>
                  <w:tcW w:w="885" w:type="dxa"/>
                  <w:tcBorders>
                    <w:bottom w:val="single" w:color="auto" w:sz="4" w:space="0"/>
                  </w:tcBorders>
                  <w:vAlign w:val="center"/>
                </w:tcPr>
                <w:p w14:paraId="214720F8">
                  <w:pPr>
                    <w:pStyle w:val="143"/>
                    <w:rPr>
                      <w:rFonts w:hint="eastAsia"/>
                      <w:color w:val="auto"/>
                      <w:sz w:val="18"/>
                      <w:szCs w:val="18"/>
                    </w:rPr>
                  </w:pPr>
                  <w:r>
                    <w:rPr>
                      <w:rFonts w:hint="eastAsia"/>
                      <w:color w:val="auto"/>
                      <w:sz w:val="18"/>
                      <w:szCs w:val="18"/>
                      <w:lang w:val="en-US" w:eastAsia="zh-CN"/>
                    </w:rPr>
                    <w:t>/</w:t>
                  </w:r>
                </w:p>
              </w:tc>
              <w:tc>
                <w:tcPr>
                  <w:tcW w:w="751" w:type="dxa"/>
                  <w:tcBorders>
                    <w:bottom w:val="single" w:color="auto" w:sz="4" w:space="0"/>
                  </w:tcBorders>
                  <w:vAlign w:val="center"/>
                </w:tcPr>
                <w:p w14:paraId="1467B528">
                  <w:pPr>
                    <w:pStyle w:val="143"/>
                    <w:rPr>
                      <w:rFonts w:hint="eastAsia"/>
                      <w:color w:val="auto"/>
                      <w:sz w:val="18"/>
                      <w:szCs w:val="18"/>
                    </w:rPr>
                  </w:pPr>
                  <w:r>
                    <w:rPr>
                      <w:rFonts w:hint="eastAsia"/>
                      <w:color w:val="auto"/>
                      <w:sz w:val="18"/>
                      <w:szCs w:val="18"/>
                      <w:lang w:val="en-US" w:eastAsia="zh-CN"/>
                    </w:rPr>
                    <w:t>/</w:t>
                  </w:r>
                </w:p>
              </w:tc>
              <w:tc>
                <w:tcPr>
                  <w:tcW w:w="419" w:type="dxa"/>
                  <w:tcBorders>
                    <w:bottom w:val="single" w:color="auto" w:sz="4" w:space="0"/>
                  </w:tcBorders>
                  <w:vAlign w:val="center"/>
                </w:tcPr>
                <w:p w14:paraId="34AA8F3F">
                  <w:pPr>
                    <w:pStyle w:val="143"/>
                    <w:rPr>
                      <w:color w:val="auto"/>
                      <w:sz w:val="18"/>
                      <w:szCs w:val="18"/>
                    </w:rPr>
                  </w:pPr>
                  <w:r>
                    <w:rPr>
                      <w:rFonts w:hint="eastAsia"/>
                      <w:color w:val="auto"/>
                      <w:sz w:val="18"/>
                      <w:szCs w:val="18"/>
                      <w:lang w:val="en-US" w:eastAsia="zh-CN"/>
                    </w:rPr>
                    <w:t>/</w:t>
                  </w:r>
                </w:p>
              </w:tc>
            </w:tr>
            <w:tr w14:paraId="4BFEADD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342" w:type="dxa"/>
                  <w:vMerge w:val="continue"/>
                  <w:vAlign w:val="center"/>
                </w:tcPr>
                <w:p w14:paraId="6FBFF496">
                  <w:pPr>
                    <w:pStyle w:val="143"/>
                    <w:rPr>
                      <w:color w:val="auto"/>
                      <w:sz w:val="18"/>
                      <w:szCs w:val="18"/>
                    </w:rPr>
                  </w:pPr>
                </w:p>
              </w:tc>
              <w:tc>
                <w:tcPr>
                  <w:tcW w:w="563" w:type="dxa"/>
                  <w:vMerge w:val="continue"/>
                  <w:shd w:val="clear" w:color="auto" w:fill="auto"/>
                  <w:tcMar>
                    <w:top w:w="0" w:type="dxa"/>
                    <w:left w:w="28" w:type="dxa"/>
                    <w:bottom w:w="0" w:type="dxa"/>
                    <w:right w:w="28" w:type="dxa"/>
                  </w:tcMar>
                  <w:vAlign w:val="center"/>
                </w:tcPr>
                <w:p w14:paraId="2D4C48E5">
                  <w:pPr>
                    <w:pStyle w:val="143"/>
                    <w:rPr>
                      <w:rFonts w:ascii="Times New Roman" w:hAnsi="Times New Roman" w:eastAsia="宋体" w:cs="Times New Roman"/>
                      <w:color w:val="auto"/>
                      <w:kern w:val="2"/>
                      <w:sz w:val="18"/>
                      <w:szCs w:val="18"/>
                      <w:lang w:val="en-US" w:eastAsia="zh-CN" w:bidi="ar-SA"/>
                    </w:rPr>
                  </w:pPr>
                </w:p>
              </w:tc>
              <w:tc>
                <w:tcPr>
                  <w:tcW w:w="688" w:type="dxa"/>
                  <w:vMerge w:val="continue"/>
                  <w:shd w:val="clear" w:color="auto" w:fill="auto"/>
                  <w:vAlign w:val="center"/>
                </w:tcPr>
                <w:p w14:paraId="4C80F70F">
                  <w:pPr>
                    <w:pStyle w:val="143"/>
                    <w:rPr>
                      <w:rFonts w:ascii="Times New Roman" w:hAnsi="Times New Roman" w:eastAsia="宋体" w:cs="Times New Roman"/>
                      <w:color w:val="auto"/>
                      <w:kern w:val="2"/>
                      <w:sz w:val="18"/>
                      <w:szCs w:val="18"/>
                      <w:lang w:val="en-US" w:eastAsia="zh-CN" w:bidi="ar-SA"/>
                    </w:rPr>
                  </w:pPr>
                </w:p>
              </w:tc>
              <w:tc>
                <w:tcPr>
                  <w:tcW w:w="485" w:type="dxa"/>
                  <w:tcBorders>
                    <w:bottom w:val="single" w:color="auto" w:sz="4" w:space="0"/>
                  </w:tcBorders>
                  <w:vAlign w:val="center"/>
                </w:tcPr>
                <w:p w14:paraId="4C25561D">
                  <w:pPr>
                    <w:pStyle w:val="143"/>
                    <w:rPr>
                      <w:rFonts w:hint="eastAsia"/>
                      <w:color w:val="auto"/>
                      <w:sz w:val="18"/>
                      <w:szCs w:val="18"/>
                      <w:lang w:bidi="en-US"/>
                    </w:rPr>
                  </w:pPr>
                  <w:r>
                    <w:rPr>
                      <w:rFonts w:hint="eastAsia"/>
                      <w:color w:val="auto"/>
                      <w:sz w:val="18"/>
                      <w:szCs w:val="18"/>
                      <w:lang w:bidi="en-US"/>
                    </w:rPr>
                    <w:t>NOx</w:t>
                  </w:r>
                </w:p>
              </w:tc>
              <w:tc>
                <w:tcPr>
                  <w:tcW w:w="353" w:type="dxa"/>
                  <w:vMerge w:val="continue"/>
                  <w:tcBorders>
                    <w:bottom w:val="single" w:color="auto" w:sz="4" w:space="0"/>
                  </w:tcBorders>
                  <w:vAlign w:val="center"/>
                </w:tcPr>
                <w:p w14:paraId="615EE386">
                  <w:pPr>
                    <w:pStyle w:val="143"/>
                    <w:rPr>
                      <w:color w:val="auto"/>
                      <w:sz w:val="18"/>
                      <w:szCs w:val="18"/>
                    </w:rPr>
                  </w:pPr>
                </w:p>
              </w:tc>
              <w:tc>
                <w:tcPr>
                  <w:tcW w:w="732" w:type="dxa"/>
                  <w:tcBorders>
                    <w:bottom w:val="single" w:color="auto" w:sz="4" w:space="0"/>
                  </w:tcBorders>
                  <w:vAlign w:val="center"/>
                </w:tcPr>
                <w:p w14:paraId="30D7A266">
                  <w:pPr>
                    <w:pStyle w:val="143"/>
                    <w:rPr>
                      <w:rFonts w:hint="eastAsia" w:eastAsia="宋体"/>
                      <w:color w:val="auto"/>
                      <w:sz w:val="18"/>
                      <w:szCs w:val="18"/>
                      <w:lang w:val="en-US" w:eastAsia="zh-CN"/>
                    </w:rPr>
                  </w:pPr>
                  <w:r>
                    <w:rPr>
                      <w:rFonts w:hint="eastAsia"/>
                      <w:color w:val="auto"/>
                      <w:sz w:val="18"/>
                      <w:szCs w:val="18"/>
                      <w:lang w:val="en-US" w:eastAsia="zh-CN"/>
                    </w:rPr>
                    <w:t>/</w:t>
                  </w:r>
                </w:p>
              </w:tc>
              <w:tc>
                <w:tcPr>
                  <w:tcW w:w="539" w:type="dxa"/>
                  <w:tcBorders>
                    <w:bottom w:val="single" w:color="auto" w:sz="4" w:space="0"/>
                  </w:tcBorders>
                  <w:vAlign w:val="center"/>
                </w:tcPr>
                <w:p w14:paraId="60686C09">
                  <w:pPr>
                    <w:pStyle w:val="119"/>
                    <w:rPr>
                      <w:rFonts w:hint="default" w:eastAsia="宋体"/>
                      <w:color w:val="auto"/>
                      <w:sz w:val="18"/>
                      <w:szCs w:val="18"/>
                      <w:lang w:val="en-US" w:eastAsia="zh-CN"/>
                    </w:rPr>
                  </w:pPr>
                  <w:r>
                    <w:rPr>
                      <w:rFonts w:hint="eastAsia"/>
                      <w:color w:val="auto"/>
                      <w:sz w:val="18"/>
                      <w:szCs w:val="18"/>
                      <w:lang w:val="en-US" w:eastAsia="zh-CN"/>
                    </w:rPr>
                    <w:t>2.22×10</w:t>
                  </w:r>
                  <w:r>
                    <w:rPr>
                      <w:rFonts w:hint="eastAsia"/>
                      <w:color w:val="auto"/>
                      <w:sz w:val="18"/>
                      <w:szCs w:val="18"/>
                      <w:vertAlign w:val="superscript"/>
                      <w:lang w:val="en-US" w:eastAsia="zh-CN"/>
                    </w:rPr>
                    <w:t>-2</w:t>
                  </w:r>
                </w:p>
              </w:tc>
              <w:tc>
                <w:tcPr>
                  <w:tcW w:w="564" w:type="dxa"/>
                  <w:tcBorders>
                    <w:bottom w:val="single" w:color="auto" w:sz="4" w:space="0"/>
                  </w:tcBorders>
                  <w:vAlign w:val="center"/>
                </w:tcPr>
                <w:p w14:paraId="29AAEAB0">
                  <w:pPr>
                    <w:pStyle w:val="119"/>
                    <w:rPr>
                      <w:rFonts w:hint="default" w:eastAsia="宋体"/>
                      <w:color w:val="auto"/>
                      <w:sz w:val="18"/>
                      <w:szCs w:val="18"/>
                      <w:lang w:val="en-US" w:eastAsia="zh-CN"/>
                    </w:rPr>
                  </w:pPr>
                  <w:r>
                    <w:rPr>
                      <w:rFonts w:hint="eastAsia"/>
                      <w:color w:val="auto"/>
                      <w:sz w:val="18"/>
                      <w:szCs w:val="18"/>
                      <w:lang w:val="en-US" w:eastAsia="zh-CN"/>
                    </w:rPr>
                    <w:t>6.17×10</w:t>
                  </w:r>
                  <w:r>
                    <w:rPr>
                      <w:rFonts w:hint="eastAsia"/>
                      <w:color w:val="auto"/>
                      <w:sz w:val="18"/>
                      <w:szCs w:val="18"/>
                      <w:vertAlign w:val="superscript"/>
                      <w:lang w:val="en-US" w:eastAsia="zh-CN"/>
                    </w:rPr>
                    <w:t>-2</w:t>
                  </w:r>
                </w:p>
              </w:tc>
              <w:tc>
                <w:tcPr>
                  <w:tcW w:w="625" w:type="dxa"/>
                  <w:vMerge w:val="continue"/>
                  <w:tcBorders>
                    <w:bottom w:val="single" w:color="auto" w:sz="4" w:space="0"/>
                  </w:tcBorders>
                  <w:vAlign w:val="center"/>
                </w:tcPr>
                <w:p w14:paraId="18B61CE8">
                  <w:pPr>
                    <w:pStyle w:val="143"/>
                    <w:rPr>
                      <w:color w:val="auto"/>
                      <w:sz w:val="18"/>
                      <w:szCs w:val="18"/>
                    </w:rPr>
                  </w:pPr>
                </w:p>
              </w:tc>
              <w:tc>
                <w:tcPr>
                  <w:tcW w:w="574" w:type="dxa"/>
                  <w:tcBorders>
                    <w:bottom w:val="single" w:color="auto" w:sz="4" w:space="0"/>
                  </w:tcBorders>
                  <w:vAlign w:val="center"/>
                </w:tcPr>
                <w:p w14:paraId="436980FB">
                  <w:pPr>
                    <w:pStyle w:val="143"/>
                    <w:rPr>
                      <w:color w:val="auto"/>
                      <w:sz w:val="18"/>
                      <w:szCs w:val="18"/>
                    </w:rPr>
                  </w:pPr>
                  <w:r>
                    <w:rPr>
                      <w:rFonts w:hint="eastAsia"/>
                      <w:color w:val="auto"/>
                      <w:sz w:val="18"/>
                      <w:szCs w:val="18"/>
                      <w:lang w:val="en-US" w:eastAsia="zh-CN"/>
                    </w:rPr>
                    <w:t>/</w:t>
                  </w:r>
                </w:p>
              </w:tc>
              <w:tc>
                <w:tcPr>
                  <w:tcW w:w="451" w:type="dxa"/>
                  <w:tcBorders>
                    <w:bottom w:val="single" w:color="auto" w:sz="4" w:space="0"/>
                  </w:tcBorders>
                  <w:vAlign w:val="center"/>
                </w:tcPr>
                <w:p w14:paraId="74E85D79">
                  <w:pPr>
                    <w:pStyle w:val="143"/>
                    <w:rPr>
                      <w:rFonts w:hint="eastAsia"/>
                      <w:color w:val="auto"/>
                      <w:sz w:val="18"/>
                      <w:szCs w:val="18"/>
                    </w:rPr>
                  </w:pPr>
                  <w:r>
                    <w:rPr>
                      <w:rFonts w:hint="eastAsia"/>
                      <w:color w:val="auto"/>
                      <w:sz w:val="18"/>
                      <w:szCs w:val="18"/>
                      <w:lang w:val="en-US" w:eastAsia="zh-CN"/>
                    </w:rPr>
                    <w:t>/</w:t>
                  </w:r>
                </w:p>
              </w:tc>
              <w:tc>
                <w:tcPr>
                  <w:tcW w:w="419" w:type="dxa"/>
                  <w:tcBorders>
                    <w:bottom w:val="single" w:color="auto" w:sz="4" w:space="0"/>
                  </w:tcBorders>
                  <w:vAlign w:val="center"/>
                </w:tcPr>
                <w:p w14:paraId="38D53ACB">
                  <w:pPr>
                    <w:pStyle w:val="143"/>
                    <w:rPr>
                      <w:color w:val="auto"/>
                      <w:sz w:val="18"/>
                      <w:szCs w:val="18"/>
                    </w:rPr>
                  </w:pPr>
                  <w:r>
                    <w:rPr>
                      <w:rFonts w:hint="eastAsia"/>
                      <w:color w:val="auto"/>
                      <w:sz w:val="18"/>
                      <w:szCs w:val="18"/>
                      <w:lang w:val="en-US" w:eastAsia="zh-CN"/>
                    </w:rPr>
                    <w:t>/</w:t>
                  </w:r>
                </w:p>
              </w:tc>
              <w:tc>
                <w:tcPr>
                  <w:tcW w:w="544" w:type="dxa"/>
                  <w:tcBorders>
                    <w:bottom w:val="single" w:color="auto" w:sz="4" w:space="0"/>
                  </w:tcBorders>
                  <w:vAlign w:val="center"/>
                </w:tcPr>
                <w:p w14:paraId="4C078761">
                  <w:pPr>
                    <w:pStyle w:val="143"/>
                    <w:rPr>
                      <w:color w:val="auto"/>
                      <w:sz w:val="18"/>
                      <w:szCs w:val="18"/>
                    </w:rPr>
                  </w:pPr>
                  <w:r>
                    <w:rPr>
                      <w:rFonts w:hint="eastAsia"/>
                      <w:color w:val="auto"/>
                      <w:sz w:val="18"/>
                      <w:szCs w:val="18"/>
                      <w:lang w:val="en-US" w:eastAsia="zh-CN"/>
                    </w:rPr>
                    <w:t>/</w:t>
                  </w:r>
                </w:p>
              </w:tc>
              <w:tc>
                <w:tcPr>
                  <w:tcW w:w="696" w:type="dxa"/>
                  <w:vAlign w:val="center"/>
                </w:tcPr>
                <w:p w14:paraId="66A3AE5E">
                  <w:pPr>
                    <w:pStyle w:val="143"/>
                    <w:rPr>
                      <w:rFonts w:hint="eastAsia"/>
                      <w:color w:val="auto"/>
                      <w:sz w:val="18"/>
                      <w:szCs w:val="18"/>
                    </w:rPr>
                  </w:pPr>
                  <w:r>
                    <w:rPr>
                      <w:rFonts w:hint="eastAsia"/>
                      <w:color w:val="auto"/>
                      <w:sz w:val="18"/>
                      <w:szCs w:val="18"/>
                      <w:lang w:val="en-US" w:eastAsia="zh-CN"/>
                    </w:rPr>
                    <w:t>/</w:t>
                  </w:r>
                </w:p>
              </w:tc>
              <w:tc>
                <w:tcPr>
                  <w:tcW w:w="564" w:type="dxa"/>
                  <w:vAlign w:val="center"/>
                </w:tcPr>
                <w:p w14:paraId="2E37B3CA">
                  <w:pPr>
                    <w:pStyle w:val="119"/>
                    <w:rPr>
                      <w:rFonts w:hint="eastAsia"/>
                      <w:color w:val="auto"/>
                      <w:sz w:val="18"/>
                      <w:szCs w:val="18"/>
                    </w:rPr>
                  </w:pPr>
                  <w:r>
                    <w:rPr>
                      <w:rFonts w:hint="eastAsia"/>
                      <w:color w:val="auto"/>
                      <w:sz w:val="18"/>
                      <w:szCs w:val="18"/>
                      <w:lang w:val="en-US" w:eastAsia="zh-CN"/>
                    </w:rPr>
                    <w:t>2.22×10</w:t>
                  </w:r>
                  <w:r>
                    <w:rPr>
                      <w:rFonts w:hint="eastAsia"/>
                      <w:color w:val="auto"/>
                      <w:sz w:val="18"/>
                      <w:szCs w:val="18"/>
                      <w:vertAlign w:val="superscript"/>
                      <w:lang w:val="en-US" w:eastAsia="zh-CN"/>
                    </w:rPr>
                    <w:t>-2</w:t>
                  </w:r>
                </w:p>
              </w:tc>
              <w:tc>
                <w:tcPr>
                  <w:tcW w:w="530" w:type="dxa"/>
                  <w:vAlign w:val="center"/>
                </w:tcPr>
                <w:p w14:paraId="5179FF1E">
                  <w:pPr>
                    <w:pStyle w:val="119"/>
                    <w:rPr>
                      <w:rFonts w:hint="eastAsia"/>
                      <w:color w:val="auto"/>
                      <w:sz w:val="18"/>
                      <w:szCs w:val="18"/>
                    </w:rPr>
                  </w:pPr>
                  <w:r>
                    <w:rPr>
                      <w:rFonts w:hint="eastAsia"/>
                      <w:color w:val="auto"/>
                      <w:sz w:val="18"/>
                      <w:szCs w:val="18"/>
                      <w:lang w:val="en-US" w:eastAsia="zh-CN"/>
                    </w:rPr>
                    <w:t>6.17×10</w:t>
                  </w:r>
                  <w:r>
                    <w:rPr>
                      <w:rFonts w:hint="eastAsia"/>
                      <w:color w:val="auto"/>
                      <w:sz w:val="18"/>
                      <w:szCs w:val="18"/>
                      <w:vertAlign w:val="superscript"/>
                      <w:lang w:val="en-US" w:eastAsia="zh-CN"/>
                    </w:rPr>
                    <w:t>-2</w:t>
                  </w:r>
                </w:p>
              </w:tc>
              <w:tc>
                <w:tcPr>
                  <w:tcW w:w="483" w:type="dxa"/>
                  <w:tcBorders>
                    <w:bottom w:val="single" w:color="auto" w:sz="4" w:space="0"/>
                  </w:tcBorders>
                  <w:vAlign w:val="center"/>
                </w:tcPr>
                <w:p w14:paraId="2F2CC19E">
                  <w:pPr>
                    <w:pStyle w:val="143"/>
                    <w:rPr>
                      <w:color w:val="auto"/>
                      <w:sz w:val="18"/>
                      <w:szCs w:val="18"/>
                    </w:rPr>
                  </w:pPr>
                  <w:r>
                    <w:rPr>
                      <w:rFonts w:hint="eastAsia"/>
                      <w:color w:val="auto"/>
                      <w:sz w:val="18"/>
                      <w:szCs w:val="18"/>
                      <w:lang w:val="en-US" w:eastAsia="zh-CN"/>
                    </w:rPr>
                    <w:t>/</w:t>
                  </w:r>
                </w:p>
              </w:tc>
              <w:tc>
                <w:tcPr>
                  <w:tcW w:w="477" w:type="dxa"/>
                  <w:tcBorders>
                    <w:bottom w:val="single" w:color="auto" w:sz="4" w:space="0"/>
                  </w:tcBorders>
                  <w:vAlign w:val="center"/>
                </w:tcPr>
                <w:p w14:paraId="7CDB6CE9">
                  <w:pPr>
                    <w:pStyle w:val="143"/>
                    <w:rPr>
                      <w:color w:val="auto"/>
                      <w:sz w:val="18"/>
                      <w:szCs w:val="18"/>
                    </w:rPr>
                  </w:pPr>
                  <w:r>
                    <w:rPr>
                      <w:rFonts w:hint="eastAsia"/>
                      <w:color w:val="auto"/>
                      <w:sz w:val="18"/>
                      <w:szCs w:val="18"/>
                      <w:lang w:val="en-US" w:eastAsia="zh-CN"/>
                    </w:rPr>
                    <w:t>/</w:t>
                  </w:r>
                </w:p>
              </w:tc>
              <w:tc>
                <w:tcPr>
                  <w:tcW w:w="374" w:type="dxa"/>
                  <w:tcBorders>
                    <w:bottom w:val="single" w:color="auto" w:sz="4" w:space="0"/>
                  </w:tcBorders>
                  <w:vAlign w:val="center"/>
                </w:tcPr>
                <w:p w14:paraId="43DFC6C0">
                  <w:pPr>
                    <w:pStyle w:val="143"/>
                    <w:rPr>
                      <w:color w:val="auto"/>
                      <w:sz w:val="18"/>
                      <w:szCs w:val="18"/>
                    </w:rPr>
                  </w:pPr>
                  <w:r>
                    <w:rPr>
                      <w:rFonts w:hint="eastAsia"/>
                      <w:color w:val="auto"/>
                      <w:sz w:val="18"/>
                      <w:szCs w:val="18"/>
                      <w:lang w:val="en-US" w:eastAsia="zh-CN"/>
                    </w:rPr>
                    <w:t>/</w:t>
                  </w:r>
                </w:p>
              </w:tc>
              <w:tc>
                <w:tcPr>
                  <w:tcW w:w="375" w:type="dxa"/>
                  <w:tcBorders>
                    <w:bottom w:val="single" w:color="auto" w:sz="4" w:space="0"/>
                  </w:tcBorders>
                  <w:vAlign w:val="center"/>
                </w:tcPr>
                <w:p w14:paraId="39707F28">
                  <w:pPr>
                    <w:pStyle w:val="143"/>
                    <w:rPr>
                      <w:color w:val="auto"/>
                      <w:sz w:val="18"/>
                      <w:szCs w:val="18"/>
                    </w:rPr>
                  </w:pPr>
                  <w:r>
                    <w:rPr>
                      <w:rFonts w:hint="eastAsia"/>
                      <w:color w:val="auto"/>
                      <w:sz w:val="18"/>
                      <w:szCs w:val="18"/>
                      <w:lang w:val="en-US" w:eastAsia="zh-CN"/>
                    </w:rPr>
                    <w:t>/</w:t>
                  </w:r>
                </w:p>
              </w:tc>
              <w:tc>
                <w:tcPr>
                  <w:tcW w:w="407" w:type="dxa"/>
                  <w:tcBorders>
                    <w:bottom w:val="single" w:color="auto" w:sz="4" w:space="0"/>
                  </w:tcBorders>
                  <w:vAlign w:val="center"/>
                </w:tcPr>
                <w:p w14:paraId="3C77C1D2">
                  <w:pPr>
                    <w:pStyle w:val="143"/>
                    <w:rPr>
                      <w:color w:val="auto"/>
                      <w:sz w:val="18"/>
                      <w:szCs w:val="18"/>
                    </w:rPr>
                  </w:pPr>
                  <w:r>
                    <w:rPr>
                      <w:rFonts w:hint="eastAsia"/>
                      <w:color w:val="auto"/>
                      <w:sz w:val="18"/>
                      <w:szCs w:val="18"/>
                      <w:lang w:val="en-US" w:eastAsia="zh-CN"/>
                    </w:rPr>
                    <w:t>/</w:t>
                  </w:r>
                </w:p>
              </w:tc>
              <w:tc>
                <w:tcPr>
                  <w:tcW w:w="1171" w:type="dxa"/>
                  <w:tcBorders>
                    <w:bottom w:val="single" w:color="auto" w:sz="4" w:space="0"/>
                  </w:tcBorders>
                  <w:vAlign w:val="center"/>
                </w:tcPr>
                <w:p w14:paraId="7FCE9AD2">
                  <w:pPr>
                    <w:pStyle w:val="143"/>
                    <w:rPr>
                      <w:color w:val="auto"/>
                      <w:sz w:val="18"/>
                      <w:szCs w:val="18"/>
                    </w:rPr>
                  </w:pPr>
                  <w:r>
                    <w:rPr>
                      <w:rFonts w:hint="eastAsia"/>
                      <w:color w:val="auto"/>
                      <w:sz w:val="18"/>
                      <w:szCs w:val="18"/>
                      <w:lang w:val="en-US" w:eastAsia="zh-CN"/>
                    </w:rPr>
                    <w:t>/</w:t>
                  </w:r>
                </w:p>
              </w:tc>
              <w:tc>
                <w:tcPr>
                  <w:tcW w:w="885" w:type="dxa"/>
                  <w:tcBorders>
                    <w:bottom w:val="single" w:color="auto" w:sz="4" w:space="0"/>
                  </w:tcBorders>
                  <w:vAlign w:val="center"/>
                </w:tcPr>
                <w:p w14:paraId="01C0C354">
                  <w:pPr>
                    <w:pStyle w:val="143"/>
                    <w:rPr>
                      <w:rFonts w:hint="eastAsia"/>
                      <w:color w:val="auto"/>
                      <w:sz w:val="18"/>
                      <w:szCs w:val="18"/>
                    </w:rPr>
                  </w:pPr>
                  <w:r>
                    <w:rPr>
                      <w:rFonts w:hint="eastAsia"/>
                      <w:color w:val="auto"/>
                      <w:sz w:val="18"/>
                      <w:szCs w:val="18"/>
                      <w:lang w:val="en-US" w:eastAsia="zh-CN"/>
                    </w:rPr>
                    <w:t>/</w:t>
                  </w:r>
                </w:p>
              </w:tc>
              <w:tc>
                <w:tcPr>
                  <w:tcW w:w="751" w:type="dxa"/>
                  <w:tcBorders>
                    <w:bottom w:val="single" w:color="auto" w:sz="4" w:space="0"/>
                  </w:tcBorders>
                  <w:vAlign w:val="center"/>
                </w:tcPr>
                <w:p w14:paraId="04F6678B">
                  <w:pPr>
                    <w:pStyle w:val="143"/>
                    <w:rPr>
                      <w:rFonts w:hint="eastAsia"/>
                      <w:color w:val="auto"/>
                      <w:sz w:val="18"/>
                      <w:szCs w:val="18"/>
                    </w:rPr>
                  </w:pPr>
                  <w:r>
                    <w:rPr>
                      <w:rFonts w:hint="eastAsia"/>
                      <w:color w:val="auto"/>
                      <w:sz w:val="18"/>
                      <w:szCs w:val="18"/>
                      <w:lang w:val="en-US" w:eastAsia="zh-CN"/>
                    </w:rPr>
                    <w:t>/</w:t>
                  </w:r>
                </w:p>
              </w:tc>
              <w:tc>
                <w:tcPr>
                  <w:tcW w:w="419" w:type="dxa"/>
                  <w:tcBorders>
                    <w:bottom w:val="single" w:color="auto" w:sz="4" w:space="0"/>
                  </w:tcBorders>
                  <w:vAlign w:val="center"/>
                </w:tcPr>
                <w:p w14:paraId="444FED65">
                  <w:pPr>
                    <w:pStyle w:val="143"/>
                    <w:rPr>
                      <w:color w:val="auto"/>
                      <w:sz w:val="18"/>
                      <w:szCs w:val="18"/>
                    </w:rPr>
                  </w:pPr>
                  <w:r>
                    <w:rPr>
                      <w:rFonts w:hint="eastAsia"/>
                      <w:color w:val="auto"/>
                      <w:sz w:val="18"/>
                      <w:szCs w:val="18"/>
                      <w:lang w:val="en-US" w:eastAsia="zh-CN"/>
                    </w:rPr>
                    <w:t>/</w:t>
                  </w:r>
                </w:p>
              </w:tc>
            </w:tr>
            <w:tr w14:paraId="4D5DFD5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342" w:type="dxa"/>
                  <w:vAlign w:val="center"/>
                </w:tcPr>
                <w:p w14:paraId="7040AA7B">
                  <w:pPr>
                    <w:pStyle w:val="143"/>
                    <w:rPr>
                      <w:rFonts w:hint="eastAsia" w:eastAsia="宋体"/>
                      <w:color w:val="auto"/>
                      <w:sz w:val="18"/>
                      <w:szCs w:val="18"/>
                      <w:lang w:eastAsia="zh-CN"/>
                    </w:rPr>
                  </w:pPr>
                  <w:r>
                    <w:rPr>
                      <w:rFonts w:hint="eastAsia"/>
                      <w:color w:val="auto"/>
                      <w:sz w:val="18"/>
                      <w:szCs w:val="18"/>
                      <w:lang w:eastAsia="zh-CN"/>
                    </w:rPr>
                    <w:t>焊接</w:t>
                  </w:r>
                </w:p>
              </w:tc>
              <w:tc>
                <w:tcPr>
                  <w:tcW w:w="563" w:type="dxa"/>
                  <w:shd w:val="clear" w:color="auto" w:fill="auto"/>
                  <w:tcMar>
                    <w:top w:w="0" w:type="dxa"/>
                    <w:left w:w="28" w:type="dxa"/>
                    <w:bottom w:w="0" w:type="dxa"/>
                    <w:right w:w="28" w:type="dxa"/>
                  </w:tcMar>
                  <w:vAlign w:val="center"/>
                </w:tcPr>
                <w:p w14:paraId="3F359D02">
                  <w:pPr>
                    <w:jc w:val="center"/>
                    <w:rPr>
                      <w:rFonts w:hint="eastAsia" w:cs="Times New Roman"/>
                      <w:color w:val="auto"/>
                      <w:kern w:val="2"/>
                      <w:sz w:val="18"/>
                      <w:szCs w:val="18"/>
                      <w:lang w:val="en-US" w:eastAsia="zh-CN" w:bidi="ar-SA"/>
                    </w:rPr>
                  </w:pPr>
                  <w:r>
                    <w:rPr>
                      <w:rFonts w:hint="eastAsia"/>
                      <w:color w:val="auto"/>
                      <w:sz w:val="18"/>
                      <w:szCs w:val="18"/>
                      <w:lang w:val="en-US" w:eastAsia="zh-CN"/>
                    </w:rPr>
                    <w:t>85</w:t>
                  </w:r>
                </w:p>
              </w:tc>
              <w:tc>
                <w:tcPr>
                  <w:tcW w:w="688" w:type="dxa"/>
                  <w:shd w:val="clear" w:color="auto" w:fill="auto"/>
                  <w:vAlign w:val="center"/>
                </w:tcPr>
                <w:p w14:paraId="1BA5DBAB">
                  <w:pPr>
                    <w:pStyle w:val="143"/>
                    <w:rPr>
                      <w:rFonts w:ascii="Times New Roman" w:hAnsi="Times New Roman" w:eastAsia="宋体" w:cs="Times New Roman"/>
                      <w:color w:val="auto"/>
                      <w:kern w:val="2"/>
                      <w:sz w:val="18"/>
                      <w:szCs w:val="18"/>
                      <w:lang w:val="en-US" w:eastAsia="zh-CN" w:bidi="ar-SA"/>
                    </w:rPr>
                  </w:pPr>
                  <w:r>
                    <w:rPr>
                      <w:rFonts w:hint="eastAsia" w:cs="Times New Roman"/>
                      <w:color w:val="auto"/>
                      <w:kern w:val="2"/>
                      <w:sz w:val="18"/>
                      <w:szCs w:val="18"/>
                      <w:lang w:val="en-US" w:eastAsia="zh-CN" w:bidi="ar-SA"/>
                    </w:rPr>
                    <w:t>无组织</w:t>
                  </w:r>
                </w:p>
              </w:tc>
              <w:tc>
                <w:tcPr>
                  <w:tcW w:w="485" w:type="dxa"/>
                  <w:tcBorders>
                    <w:bottom w:val="single" w:color="auto" w:sz="4" w:space="0"/>
                  </w:tcBorders>
                  <w:vAlign w:val="center"/>
                </w:tcPr>
                <w:p w14:paraId="24A3CA1A">
                  <w:pPr>
                    <w:pStyle w:val="143"/>
                    <w:rPr>
                      <w:rFonts w:hint="eastAsia" w:eastAsia="宋体"/>
                      <w:color w:val="auto"/>
                      <w:sz w:val="18"/>
                      <w:szCs w:val="18"/>
                      <w:lang w:eastAsia="zh-CN" w:bidi="en-US"/>
                    </w:rPr>
                  </w:pPr>
                  <w:r>
                    <w:rPr>
                      <w:rFonts w:hint="eastAsia"/>
                      <w:color w:val="auto"/>
                      <w:sz w:val="18"/>
                      <w:szCs w:val="18"/>
                      <w:lang w:eastAsia="zh-CN" w:bidi="en-US"/>
                    </w:rPr>
                    <w:t>颗粒物</w:t>
                  </w:r>
                </w:p>
              </w:tc>
              <w:tc>
                <w:tcPr>
                  <w:tcW w:w="353" w:type="dxa"/>
                  <w:tcBorders>
                    <w:bottom w:val="single" w:color="auto" w:sz="4" w:space="0"/>
                  </w:tcBorders>
                  <w:vAlign w:val="center"/>
                </w:tcPr>
                <w:p w14:paraId="14B3AAFA">
                  <w:pPr>
                    <w:pStyle w:val="143"/>
                    <w:rPr>
                      <w:color w:val="auto"/>
                      <w:sz w:val="18"/>
                      <w:szCs w:val="18"/>
                    </w:rPr>
                  </w:pPr>
                  <w:r>
                    <w:rPr>
                      <w:color w:val="auto"/>
                      <w:sz w:val="18"/>
                      <w:szCs w:val="18"/>
                    </w:rPr>
                    <w:t>系数法</w:t>
                  </w:r>
                </w:p>
              </w:tc>
              <w:tc>
                <w:tcPr>
                  <w:tcW w:w="732" w:type="dxa"/>
                  <w:tcBorders>
                    <w:bottom w:val="single" w:color="auto" w:sz="4" w:space="0"/>
                  </w:tcBorders>
                  <w:vAlign w:val="center"/>
                </w:tcPr>
                <w:p w14:paraId="328C0468">
                  <w:pPr>
                    <w:pStyle w:val="143"/>
                    <w:rPr>
                      <w:rFonts w:hint="eastAsia" w:eastAsia="宋体"/>
                      <w:color w:val="auto"/>
                      <w:sz w:val="18"/>
                      <w:szCs w:val="18"/>
                      <w:lang w:val="en-US" w:eastAsia="zh-CN"/>
                    </w:rPr>
                  </w:pPr>
                  <w:r>
                    <w:rPr>
                      <w:rFonts w:hint="eastAsia"/>
                      <w:color w:val="auto"/>
                      <w:sz w:val="18"/>
                      <w:szCs w:val="18"/>
                      <w:lang w:val="en-US" w:eastAsia="zh-CN"/>
                    </w:rPr>
                    <w:t>/</w:t>
                  </w:r>
                </w:p>
              </w:tc>
              <w:tc>
                <w:tcPr>
                  <w:tcW w:w="539" w:type="dxa"/>
                  <w:tcBorders>
                    <w:bottom w:val="single" w:color="auto" w:sz="4" w:space="0"/>
                  </w:tcBorders>
                  <w:vAlign w:val="center"/>
                </w:tcPr>
                <w:p w14:paraId="40AE065F">
                  <w:pPr>
                    <w:pStyle w:val="119"/>
                    <w:rPr>
                      <w:rFonts w:hint="default" w:eastAsia="宋体"/>
                      <w:color w:val="auto"/>
                      <w:sz w:val="18"/>
                      <w:szCs w:val="18"/>
                      <w:lang w:val="en-US" w:eastAsia="zh-CN"/>
                    </w:rPr>
                  </w:pPr>
                  <w:r>
                    <w:rPr>
                      <w:rFonts w:hint="eastAsia"/>
                      <w:color w:val="auto"/>
                      <w:sz w:val="18"/>
                      <w:szCs w:val="18"/>
                      <w:lang w:val="en-US" w:eastAsia="zh-CN"/>
                    </w:rPr>
                    <w:t>7.35×10</w:t>
                  </w:r>
                  <w:r>
                    <w:rPr>
                      <w:rFonts w:hint="eastAsia"/>
                      <w:color w:val="auto"/>
                      <w:sz w:val="18"/>
                      <w:szCs w:val="18"/>
                      <w:vertAlign w:val="superscript"/>
                      <w:lang w:val="en-US" w:eastAsia="zh-CN"/>
                    </w:rPr>
                    <w:t>-3</w:t>
                  </w:r>
                </w:p>
              </w:tc>
              <w:tc>
                <w:tcPr>
                  <w:tcW w:w="564" w:type="dxa"/>
                  <w:tcBorders>
                    <w:bottom w:val="single" w:color="auto" w:sz="4" w:space="0"/>
                  </w:tcBorders>
                  <w:vAlign w:val="center"/>
                </w:tcPr>
                <w:p w14:paraId="12A37A38">
                  <w:pPr>
                    <w:pStyle w:val="119"/>
                    <w:rPr>
                      <w:rFonts w:hint="default" w:eastAsia="宋体"/>
                      <w:color w:val="auto"/>
                      <w:sz w:val="18"/>
                      <w:szCs w:val="18"/>
                      <w:lang w:val="en-US" w:eastAsia="zh-CN"/>
                    </w:rPr>
                  </w:pPr>
                  <w:r>
                    <w:rPr>
                      <w:rFonts w:hint="eastAsia"/>
                      <w:color w:val="auto"/>
                      <w:sz w:val="18"/>
                      <w:szCs w:val="18"/>
                      <w:lang w:val="en-US" w:eastAsia="zh-CN"/>
                    </w:rPr>
                    <w:t>2.04×10</w:t>
                  </w:r>
                  <w:r>
                    <w:rPr>
                      <w:rFonts w:hint="eastAsia"/>
                      <w:color w:val="auto"/>
                      <w:sz w:val="18"/>
                      <w:szCs w:val="18"/>
                      <w:vertAlign w:val="superscript"/>
                      <w:lang w:val="en-US" w:eastAsia="zh-CN"/>
                    </w:rPr>
                    <w:t>-3</w:t>
                  </w:r>
                </w:p>
              </w:tc>
              <w:tc>
                <w:tcPr>
                  <w:tcW w:w="625" w:type="dxa"/>
                  <w:tcBorders>
                    <w:bottom w:val="single" w:color="auto" w:sz="4" w:space="0"/>
                  </w:tcBorders>
                  <w:vAlign w:val="center"/>
                </w:tcPr>
                <w:p w14:paraId="654F8DC5">
                  <w:pPr>
                    <w:pStyle w:val="143"/>
                    <w:rPr>
                      <w:rFonts w:hint="eastAsia" w:eastAsia="宋体"/>
                      <w:color w:val="auto"/>
                      <w:sz w:val="18"/>
                      <w:szCs w:val="18"/>
                      <w:lang w:val="en-US" w:eastAsia="zh-CN"/>
                    </w:rPr>
                  </w:pPr>
                  <w:r>
                    <w:rPr>
                      <w:rFonts w:hint="eastAsia"/>
                      <w:color w:val="auto"/>
                      <w:sz w:val="18"/>
                      <w:szCs w:val="18"/>
                      <w:lang w:val="en-US" w:eastAsia="zh-CN"/>
                    </w:rPr>
                    <w:t>/</w:t>
                  </w:r>
                </w:p>
              </w:tc>
              <w:tc>
                <w:tcPr>
                  <w:tcW w:w="574" w:type="dxa"/>
                  <w:tcBorders>
                    <w:bottom w:val="single" w:color="auto" w:sz="4" w:space="0"/>
                  </w:tcBorders>
                  <w:vAlign w:val="center"/>
                </w:tcPr>
                <w:p w14:paraId="6DCD70FF">
                  <w:pPr>
                    <w:jc w:val="center"/>
                    <w:rPr>
                      <w:color w:val="auto"/>
                      <w:sz w:val="18"/>
                      <w:szCs w:val="18"/>
                    </w:rPr>
                  </w:pPr>
                  <w:r>
                    <w:rPr>
                      <w:rFonts w:hint="eastAsia"/>
                      <w:color w:val="auto"/>
                      <w:sz w:val="18"/>
                      <w:szCs w:val="18"/>
                      <w:lang w:val="en-US" w:eastAsia="zh-CN"/>
                    </w:rPr>
                    <w:t>/</w:t>
                  </w:r>
                </w:p>
              </w:tc>
              <w:tc>
                <w:tcPr>
                  <w:tcW w:w="451" w:type="dxa"/>
                  <w:tcBorders>
                    <w:bottom w:val="single" w:color="auto" w:sz="4" w:space="0"/>
                  </w:tcBorders>
                  <w:vAlign w:val="center"/>
                </w:tcPr>
                <w:p w14:paraId="686C3CFF">
                  <w:pPr>
                    <w:jc w:val="center"/>
                    <w:rPr>
                      <w:rFonts w:hint="default"/>
                      <w:color w:val="auto"/>
                      <w:sz w:val="18"/>
                      <w:szCs w:val="18"/>
                      <w:lang w:val="en-US"/>
                    </w:rPr>
                  </w:pPr>
                  <w:r>
                    <w:rPr>
                      <w:rFonts w:hint="eastAsia"/>
                      <w:color w:val="auto"/>
                      <w:sz w:val="18"/>
                      <w:szCs w:val="18"/>
                      <w:lang w:val="en-US" w:eastAsia="zh-CN"/>
                    </w:rPr>
                    <w:t>90</w:t>
                  </w:r>
                </w:p>
              </w:tc>
              <w:tc>
                <w:tcPr>
                  <w:tcW w:w="419" w:type="dxa"/>
                  <w:tcBorders>
                    <w:bottom w:val="single" w:color="auto" w:sz="4" w:space="0"/>
                  </w:tcBorders>
                  <w:vAlign w:val="center"/>
                </w:tcPr>
                <w:p w14:paraId="1E0403D3">
                  <w:pPr>
                    <w:jc w:val="center"/>
                    <w:rPr>
                      <w:color w:val="auto"/>
                      <w:sz w:val="18"/>
                      <w:szCs w:val="18"/>
                    </w:rPr>
                  </w:pPr>
                  <w:r>
                    <w:rPr>
                      <w:rFonts w:hint="eastAsia"/>
                      <w:color w:val="auto"/>
                      <w:sz w:val="18"/>
                      <w:szCs w:val="18"/>
                      <w:lang w:val="en-US" w:eastAsia="zh-CN"/>
                    </w:rPr>
                    <w:t>/</w:t>
                  </w:r>
                </w:p>
              </w:tc>
              <w:tc>
                <w:tcPr>
                  <w:tcW w:w="544" w:type="dxa"/>
                  <w:tcBorders>
                    <w:bottom w:val="single" w:color="auto" w:sz="4" w:space="0"/>
                  </w:tcBorders>
                  <w:vAlign w:val="center"/>
                </w:tcPr>
                <w:p w14:paraId="0B5F98BD">
                  <w:pPr>
                    <w:jc w:val="center"/>
                    <w:rPr>
                      <w:color w:val="auto"/>
                      <w:sz w:val="18"/>
                      <w:szCs w:val="18"/>
                    </w:rPr>
                  </w:pPr>
                  <w:r>
                    <w:rPr>
                      <w:rFonts w:hint="eastAsia"/>
                      <w:color w:val="auto"/>
                      <w:sz w:val="18"/>
                      <w:szCs w:val="18"/>
                      <w:lang w:val="en-US" w:eastAsia="zh-CN"/>
                    </w:rPr>
                    <w:t>/</w:t>
                  </w:r>
                </w:p>
              </w:tc>
              <w:tc>
                <w:tcPr>
                  <w:tcW w:w="696" w:type="dxa"/>
                  <w:vAlign w:val="center"/>
                </w:tcPr>
                <w:p w14:paraId="66A512F7">
                  <w:pPr>
                    <w:jc w:val="center"/>
                    <w:rPr>
                      <w:rFonts w:hint="eastAsia"/>
                      <w:color w:val="auto"/>
                      <w:sz w:val="18"/>
                      <w:szCs w:val="18"/>
                    </w:rPr>
                  </w:pPr>
                  <w:r>
                    <w:rPr>
                      <w:rFonts w:hint="eastAsia"/>
                      <w:color w:val="auto"/>
                      <w:sz w:val="18"/>
                      <w:szCs w:val="18"/>
                      <w:lang w:val="en-US" w:eastAsia="zh-CN"/>
                    </w:rPr>
                    <w:t>/</w:t>
                  </w:r>
                </w:p>
              </w:tc>
              <w:tc>
                <w:tcPr>
                  <w:tcW w:w="564" w:type="dxa"/>
                  <w:vAlign w:val="center"/>
                </w:tcPr>
                <w:p w14:paraId="2DB36C33">
                  <w:pPr>
                    <w:pStyle w:val="143"/>
                    <w:rPr>
                      <w:rFonts w:hint="default" w:eastAsia="宋体"/>
                      <w:color w:val="auto"/>
                      <w:sz w:val="18"/>
                      <w:szCs w:val="18"/>
                      <w:lang w:val="en-US" w:eastAsia="zh-CN"/>
                    </w:rPr>
                  </w:pPr>
                  <w:r>
                    <w:rPr>
                      <w:rFonts w:hint="eastAsia"/>
                      <w:color w:val="auto"/>
                      <w:sz w:val="18"/>
                      <w:szCs w:val="18"/>
                      <w:lang w:val="en-US" w:eastAsia="zh-CN"/>
                    </w:rPr>
                    <w:t>2.60×10</w:t>
                  </w:r>
                  <w:r>
                    <w:rPr>
                      <w:rFonts w:hint="eastAsia"/>
                      <w:color w:val="auto"/>
                      <w:sz w:val="18"/>
                      <w:szCs w:val="18"/>
                      <w:vertAlign w:val="superscript"/>
                      <w:lang w:val="en-US" w:eastAsia="zh-CN"/>
                    </w:rPr>
                    <w:t>-3</w:t>
                  </w:r>
                </w:p>
              </w:tc>
              <w:tc>
                <w:tcPr>
                  <w:tcW w:w="530" w:type="dxa"/>
                  <w:vAlign w:val="center"/>
                </w:tcPr>
                <w:p w14:paraId="2A05C834">
                  <w:pPr>
                    <w:pStyle w:val="143"/>
                    <w:rPr>
                      <w:rFonts w:hint="default" w:eastAsia="宋体"/>
                      <w:color w:val="auto"/>
                      <w:sz w:val="18"/>
                      <w:szCs w:val="18"/>
                      <w:lang w:val="en-US" w:eastAsia="zh-CN"/>
                    </w:rPr>
                  </w:pPr>
                  <w:r>
                    <w:rPr>
                      <w:rFonts w:hint="eastAsia"/>
                      <w:color w:val="auto"/>
                      <w:sz w:val="18"/>
                      <w:szCs w:val="18"/>
                      <w:lang w:val="en-US" w:eastAsia="zh-CN"/>
                    </w:rPr>
                    <w:t>7.22×10</w:t>
                  </w:r>
                  <w:r>
                    <w:rPr>
                      <w:rFonts w:hint="eastAsia"/>
                      <w:color w:val="auto"/>
                      <w:sz w:val="18"/>
                      <w:szCs w:val="18"/>
                      <w:vertAlign w:val="superscript"/>
                      <w:lang w:val="en-US" w:eastAsia="zh-CN"/>
                    </w:rPr>
                    <w:t>-4</w:t>
                  </w:r>
                </w:p>
              </w:tc>
              <w:tc>
                <w:tcPr>
                  <w:tcW w:w="483" w:type="dxa"/>
                  <w:tcBorders>
                    <w:bottom w:val="single" w:color="auto" w:sz="4" w:space="0"/>
                  </w:tcBorders>
                  <w:vAlign w:val="center"/>
                </w:tcPr>
                <w:p w14:paraId="068B658B">
                  <w:pPr>
                    <w:jc w:val="center"/>
                    <w:rPr>
                      <w:color w:val="auto"/>
                      <w:sz w:val="18"/>
                      <w:szCs w:val="18"/>
                    </w:rPr>
                  </w:pPr>
                  <w:r>
                    <w:rPr>
                      <w:rFonts w:hint="eastAsia"/>
                      <w:color w:val="auto"/>
                      <w:sz w:val="18"/>
                      <w:szCs w:val="18"/>
                      <w:lang w:val="en-US" w:eastAsia="zh-CN"/>
                    </w:rPr>
                    <w:t>/</w:t>
                  </w:r>
                </w:p>
              </w:tc>
              <w:tc>
                <w:tcPr>
                  <w:tcW w:w="477" w:type="dxa"/>
                  <w:tcBorders>
                    <w:bottom w:val="single" w:color="auto" w:sz="4" w:space="0"/>
                  </w:tcBorders>
                  <w:vAlign w:val="center"/>
                </w:tcPr>
                <w:p w14:paraId="77642E96">
                  <w:pPr>
                    <w:jc w:val="center"/>
                    <w:rPr>
                      <w:color w:val="auto"/>
                      <w:sz w:val="18"/>
                      <w:szCs w:val="18"/>
                    </w:rPr>
                  </w:pPr>
                  <w:r>
                    <w:rPr>
                      <w:rFonts w:hint="eastAsia"/>
                      <w:color w:val="auto"/>
                      <w:sz w:val="18"/>
                      <w:szCs w:val="18"/>
                      <w:lang w:val="en-US" w:eastAsia="zh-CN"/>
                    </w:rPr>
                    <w:t>/</w:t>
                  </w:r>
                </w:p>
              </w:tc>
              <w:tc>
                <w:tcPr>
                  <w:tcW w:w="374" w:type="dxa"/>
                  <w:tcBorders>
                    <w:bottom w:val="single" w:color="auto" w:sz="4" w:space="0"/>
                  </w:tcBorders>
                  <w:vAlign w:val="center"/>
                </w:tcPr>
                <w:p w14:paraId="5FED4A65">
                  <w:pPr>
                    <w:jc w:val="center"/>
                    <w:rPr>
                      <w:color w:val="auto"/>
                      <w:sz w:val="18"/>
                      <w:szCs w:val="18"/>
                    </w:rPr>
                  </w:pPr>
                  <w:r>
                    <w:rPr>
                      <w:rFonts w:hint="eastAsia"/>
                      <w:color w:val="auto"/>
                      <w:sz w:val="18"/>
                      <w:szCs w:val="18"/>
                      <w:lang w:val="en-US" w:eastAsia="zh-CN"/>
                    </w:rPr>
                    <w:t>/</w:t>
                  </w:r>
                </w:p>
              </w:tc>
              <w:tc>
                <w:tcPr>
                  <w:tcW w:w="375" w:type="dxa"/>
                  <w:tcBorders>
                    <w:bottom w:val="single" w:color="auto" w:sz="4" w:space="0"/>
                  </w:tcBorders>
                  <w:vAlign w:val="center"/>
                </w:tcPr>
                <w:p w14:paraId="24CF4A40">
                  <w:pPr>
                    <w:jc w:val="center"/>
                    <w:rPr>
                      <w:color w:val="auto"/>
                      <w:sz w:val="18"/>
                      <w:szCs w:val="18"/>
                    </w:rPr>
                  </w:pPr>
                  <w:r>
                    <w:rPr>
                      <w:rFonts w:hint="eastAsia"/>
                      <w:color w:val="auto"/>
                      <w:sz w:val="18"/>
                      <w:szCs w:val="18"/>
                      <w:lang w:val="en-US" w:eastAsia="zh-CN"/>
                    </w:rPr>
                    <w:t>/</w:t>
                  </w:r>
                </w:p>
              </w:tc>
              <w:tc>
                <w:tcPr>
                  <w:tcW w:w="407" w:type="dxa"/>
                  <w:tcBorders>
                    <w:bottom w:val="single" w:color="auto" w:sz="4" w:space="0"/>
                  </w:tcBorders>
                  <w:vAlign w:val="center"/>
                </w:tcPr>
                <w:p w14:paraId="32B616E6">
                  <w:pPr>
                    <w:jc w:val="center"/>
                    <w:rPr>
                      <w:color w:val="auto"/>
                      <w:sz w:val="18"/>
                      <w:szCs w:val="18"/>
                    </w:rPr>
                  </w:pPr>
                  <w:r>
                    <w:rPr>
                      <w:rFonts w:hint="eastAsia"/>
                      <w:color w:val="auto"/>
                      <w:sz w:val="18"/>
                      <w:szCs w:val="18"/>
                      <w:lang w:val="en-US" w:eastAsia="zh-CN"/>
                    </w:rPr>
                    <w:t>/</w:t>
                  </w:r>
                </w:p>
              </w:tc>
              <w:tc>
                <w:tcPr>
                  <w:tcW w:w="1171" w:type="dxa"/>
                  <w:tcBorders>
                    <w:bottom w:val="single" w:color="auto" w:sz="4" w:space="0"/>
                  </w:tcBorders>
                  <w:vAlign w:val="center"/>
                </w:tcPr>
                <w:p w14:paraId="7288A09F">
                  <w:pPr>
                    <w:jc w:val="center"/>
                    <w:rPr>
                      <w:color w:val="auto"/>
                      <w:sz w:val="18"/>
                      <w:szCs w:val="18"/>
                    </w:rPr>
                  </w:pPr>
                  <w:r>
                    <w:rPr>
                      <w:rFonts w:hint="eastAsia"/>
                      <w:color w:val="auto"/>
                      <w:sz w:val="18"/>
                      <w:szCs w:val="18"/>
                      <w:lang w:val="en-US" w:eastAsia="zh-CN"/>
                    </w:rPr>
                    <w:t>/</w:t>
                  </w:r>
                </w:p>
              </w:tc>
              <w:tc>
                <w:tcPr>
                  <w:tcW w:w="885" w:type="dxa"/>
                  <w:tcBorders>
                    <w:bottom w:val="single" w:color="auto" w:sz="4" w:space="0"/>
                  </w:tcBorders>
                  <w:vAlign w:val="center"/>
                </w:tcPr>
                <w:p w14:paraId="0456DC88">
                  <w:pPr>
                    <w:jc w:val="center"/>
                    <w:rPr>
                      <w:rFonts w:hint="eastAsia"/>
                      <w:color w:val="auto"/>
                      <w:sz w:val="18"/>
                      <w:szCs w:val="18"/>
                    </w:rPr>
                  </w:pPr>
                  <w:r>
                    <w:rPr>
                      <w:rFonts w:hint="eastAsia"/>
                      <w:color w:val="auto"/>
                      <w:sz w:val="18"/>
                      <w:szCs w:val="18"/>
                      <w:lang w:val="en-US" w:eastAsia="zh-CN"/>
                    </w:rPr>
                    <w:t>/</w:t>
                  </w:r>
                </w:p>
              </w:tc>
              <w:tc>
                <w:tcPr>
                  <w:tcW w:w="751" w:type="dxa"/>
                  <w:tcBorders>
                    <w:bottom w:val="single" w:color="auto" w:sz="4" w:space="0"/>
                  </w:tcBorders>
                  <w:vAlign w:val="center"/>
                </w:tcPr>
                <w:p w14:paraId="50DFFB0A">
                  <w:pPr>
                    <w:jc w:val="center"/>
                    <w:rPr>
                      <w:rFonts w:hint="eastAsia"/>
                      <w:color w:val="auto"/>
                      <w:sz w:val="18"/>
                      <w:szCs w:val="18"/>
                    </w:rPr>
                  </w:pPr>
                  <w:r>
                    <w:rPr>
                      <w:rFonts w:hint="eastAsia"/>
                      <w:color w:val="auto"/>
                      <w:sz w:val="18"/>
                      <w:szCs w:val="18"/>
                      <w:lang w:val="en-US" w:eastAsia="zh-CN"/>
                    </w:rPr>
                    <w:t>/</w:t>
                  </w:r>
                </w:p>
              </w:tc>
              <w:tc>
                <w:tcPr>
                  <w:tcW w:w="419" w:type="dxa"/>
                  <w:tcBorders>
                    <w:bottom w:val="single" w:color="auto" w:sz="4" w:space="0"/>
                  </w:tcBorders>
                  <w:vAlign w:val="center"/>
                </w:tcPr>
                <w:p w14:paraId="6B1E3911">
                  <w:pPr>
                    <w:jc w:val="center"/>
                    <w:rPr>
                      <w:color w:val="auto"/>
                      <w:sz w:val="18"/>
                      <w:szCs w:val="18"/>
                    </w:rPr>
                  </w:pPr>
                  <w:r>
                    <w:rPr>
                      <w:rFonts w:hint="eastAsia"/>
                      <w:color w:val="auto"/>
                      <w:sz w:val="18"/>
                      <w:szCs w:val="18"/>
                      <w:lang w:val="en-US" w:eastAsia="zh-CN"/>
                    </w:rPr>
                    <w:t>/</w:t>
                  </w:r>
                </w:p>
              </w:tc>
            </w:tr>
          </w:tbl>
          <w:p w14:paraId="344746D4">
            <w:pPr>
              <w:spacing w:before="120" w:beforeLines="50" w:line="360" w:lineRule="auto"/>
              <w:rPr>
                <w:rFonts w:ascii="Times New Roman" w:hAnsi="Times New Roman" w:eastAsia="宋体"/>
                <w:color w:val="auto"/>
              </w:rPr>
            </w:pPr>
          </w:p>
        </w:tc>
      </w:tr>
    </w:tbl>
    <w:p w14:paraId="7C1810F9">
      <w:pPr>
        <w:adjustRightInd w:val="0"/>
        <w:snapToGrid w:val="0"/>
        <w:spacing w:line="360" w:lineRule="auto"/>
        <w:jc w:val="center"/>
        <w:rPr>
          <w:rFonts w:ascii="宋体" w:cs="宋体"/>
          <w:b/>
          <w:color w:val="auto"/>
          <w:kern w:val="0"/>
          <w:sz w:val="28"/>
          <w:szCs w:val="28"/>
        </w:rPr>
        <w:sectPr>
          <w:pgSz w:w="16840" w:h="11907" w:orient="landscape"/>
          <w:pgMar w:top="1134" w:right="1531" w:bottom="1134" w:left="1531"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31"/>
        <w:tblW w:w="898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67"/>
        <w:gridCol w:w="8314"/>
      </w:tblGrid>
      <w:tr w14:paraId="7A6509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48" w:hRule="atLeast"/>
          <w:jc w:val="center"/>
        </w:trPr>
        <w:tc>
          <w:tcPr>
            <w:tcW w:w="667" w:type="dxa"/>
            <w:tcMar>
              <w:left w:w="28" w:type="dxa"/>
              <w:right w:w="28" w:type="dxa"/>
            </w:tcMar>
            <w:vAlign w:val="center"/>
          </w:tcPr>
          <w:p w14:paraId="1993FA8F">
            <w:pPr>
              <w:adjustRightInd w:val="0"/>
              <w:snapToGrid w:val="0"/>
              <w:jc w:val="center"/>
              <w:rPr>
                <w:rFonts w:hint="eastAsia" w:ascii="宋体" w:hAnsi="宋体" w:cs="宋体"/>
                <w:bCs/>
                <w:color w:val="auto"/>
                <w:sz w:val="24"/>
              </w:rPr>
            </w:pPr>
            <w:r>
              <w:rPr>
                <w:rFonts w:hint="eastAsia" w:ascii="宋体" w:hAnsi="宋体" w:cs="宋体"/>
                <w:bCs/>
                <w:color w:val="auto"/>
                <w:sz w:val="24"/>
              </w:rPr>
              <w:t>运营</w:t>
            </w:r>
          </w:p>
          <w:p w14:paraId="2A02896F">
            <w:pPr>
              <w:adjustRightInd w:val="0"/>
              <w:snapToGrid w:val="0"/>
              <w:jc w:val="center"/>
              <w:rPr>
                <w:rFonts w:hint="eastAsia" w:ascii="宋体" w:hAnsi="宋体" w:cs="宋体"/>
                <w:bCs/>
                <w:color w:val="auto"/>
                <w:sz w:val="24"/>
              </w:rPr>
            </w:pPr>
            <w:r>
              <w:rPr>
                <w:rFonts w:hint="eastAsia" w:ascii="宋体" w:hAnsi="宋体" w:cs="宋体"/>
                <w:bCs/>
                <w:color w:val="auto"/>
                <w:sz w:val="24"/>
              </w:rPr>
              <w:t>期环</w:t>
            </w:r>
          </w:p>
          <w:p w14:paraId="1D6EBE9A">
            <w:pPr>
              <w:adjustRightInd w:val="0"/>
              <w:snapToGrid w:val="0"/>
              <w:jc w:val="center"/>
              <w:rPr>
                <w:rFonts w:hint="eastAsia" w:ascii="宋体" w:hAnsi="宋体" w:cs="宋体"/>
                <w:bCs/>
                <w:color w:val="auto"/>
                <w:sz w:val="24"/>
              </w:rPr>
            </w:pPr>
            <w:r>
              <w:rPr>
                <w:rFonts w:hint="eastAsia" w:ascii="宋体" w:hAnsi="宋体" w:cs="宋体"/>
                <w:bCs/>
                <w:color w:val="auto"/>
                <w:sz w:val="24"/>
              </w:rPr>
              <w:t>境影</w:t>
            </w:r>
          </w:p>
          <w:p w14:paraId="5CE187C6">
            <w:pPr>
              <w:adjustRightInd w:val="0"/>
              <w:snapToGrid w:val="0"/>
              <w:jc w:val="center"/>
              <w:rPr>
                <w:rFonts w:hint="eastAsia" w:ascii="宋体" w:hAnsi="宋体" w:cs="宋体"/>
                <w:bCs/>
                <w:color w:val="auto"/>
                <w:sz w:val="24"/>
              </w:rPr>
            </w:pPr>
            <w:r>
              <w:rPr>
                <w:rFonts w:hint="eastAsia" w:ascii="宋体" w:hAnsi="宋体" w:cs="宋体"/>
                <w:bCs/>
                <w:color w:val="auto"/>
                <w:sz w:val="24"/>
              </w:rPr>
              <w:t>响和</w:t>
            </w:r>
          </w:p>
          <w:p w14:paraId="34AA1B4A">
            <w:pPr>
              <w:adjustRightInd w:val="0"/>
              <w:snapToGrid w:val="0"/>
              <w:jc w:val="center"/>
              <w:rPr>
                <w:rFonts w:hint="eastAsia" w:ascii="宋体" w:hAnsi="宋体" w:cs="宋体"/>
                <w:bCs/>
                <w:color w:val="auto"/>
                <w:sz w:val="24"/>
              </w:rPr>
            </w:pPr>
            <w:r>
              <w:rPr>
                <w:rFonts w:hint="eastAsia" w:ascii="宋体" w:hAnsi="宋体" w:cs="宋体"/>
                <w:bCs/>
                <w:color w:val="auto"/>
                <w:sz w:val="24"/>
              </w:rPr>
              <w:t>保护</w:t>
            </w:r>
          </w:p>
          <w:p w14:paraId="18695BE8">
            <w:pPr>
              <w:adjustRightInd w:val="0"/>
              <w:snapToGrid w:val="0"/>
              <w:jc w:val="center"/>
              <w:rPr>
                <w:rFonts w:cs="宋体"/>
                <w:bCs/>
                <w:color w:val="auto"/>
                <w:szCs w:val="21"/>
              </w:rPr>
            </w:pPr>
            <w:r>
              <w:rPr>
                <w:rFonts w:hint="eastAsia" w:ascii="宋体" w:hAnsi="宋体" w:cs="宋体"/>
                <w:bCs/>
                <w:color w:val="auto"/>
                <w:sz w:val="24"/>
              </w:rPr>
              <w:t>措施</w:t>
            </w:r>
          </w:p>
        </w:tc>
        <w:tc>
          <w:tcPr>
            <w:tcW w:w="8314" w:type="dxa"/>
            <w:vAlign w:val="center"/>
          </w:tcPr>
          <w:p w14:paraId="46AAE93B">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241" w:firstLineChars="100"/>
              <w:textAlignment w:val="baseline"/>
              <w:rPr>
                <w:rFonts w:hint="eastAsia" w:ascii="Times New Roman" w:hAnsi="Times New Roman" w:eastAsia="宋体" w:cs="Times New Roman"/>
                <w:b/>
                <w:bCs/>
                <w:color w:val="auto"/>
                <w:sz w:val="24"/>
                <w:highlight w:val="none"/>
                <w:lang w:eastAsia="zh-CN"/>
              </w:rPr>
            </w:pPr>
            <w:r>
              <w:rPr>
                <w:rFonts w:hint="default" w:ascii="Times New Roman" w:hAnsi="Times New Roman" w:eastAsia="宋体" w:cs="Times New Roman"/>
                <w:b/>
                <w:bCs/>
                <w:color w:val="auto"/>
                <w:sz w:val="24"/>
                <w:highlight w:val="none"/>
              </w:rPr>
              <w:t>4.2.</w:t>
            </w:r>
            <w:r>
              <w:rPr>
                <w:rFonts w:hint="eastAsia" w:ascii="Times New Roman" w:hAnsi="Times New Roman" w:eastAsia="宋体" w:cs="Times New Roman"/>
                <w:b/>
                <w:bCs/>
                <w:color w:val="auto"/>
                <w:sz w:val="24"/>
                <w:highlight w:val="none"/>
                <w:lang w:val="en-US" w:eastAsia="zh-CN"/>
              </w:rPr>
              <w:t>2</w:t>
            </w:r>
            <w:r>
              <w:rPr>
                <w:rFonts w:hint="default" w:ascii="Times New Roman" w:hAnsi="Times New Roman" w:eastAsia="宋体" w:cs="Times New Roman"/>
                <w:b/>
                <w:bCs/>
                <w:color w:val="auto"/>
                <w:sz w:val="24"/>
                <w:highlight w:val="none"/>
              </w:rPr>
              <w:t>.</w:t>
            </w:r>
            <w:r>
              <w:rPr>
                <w:rFonts w:hint="eastAsia" w:ascii="Times New Roman" w:hAnsi="Times New Roman" w:eastAsia="宋体" w:cs="Times New Roman"/>
                <w:b/>
                <w:bCs/>
                <w:color w:val="auto"/>
                <w:sz w:val="24"/>
                <w:highlight w:val="none"/>
                <w:lang w:val="en-US" w:eastAsia="zh-CN"/>
              </w:rPr>
              <w:t>2非正常情况下废气排放</w:t>
            </w:r>
          </w:p>
          <w:p w14:paraId="35FAF3F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bCs/>
                <w:color w:val="auto"/>
                <w:kern w:val="0"/>
                <w:szCs w:val="21"/>
                <w:highlight w:val="none"/>
                <w:lang w:val="en-US" w:eastAsia="zh-CN"/>
              </w:rPr>
            </w:pPr>
            <w:r>
              <w:rPr>
                <w:rFonts w:hint="eastAsia"/>
                <w:color w:val="auto"/>
                <w:sz w:val="24"/>
                <w:highlight w:val="none"/>
              </w:rPr>
              <w:t>项目非正常排放主要是废气处理设施损坏的情况，项目废气未经处理直接经排气筒排放至大气环境。项目废气非正常排放情况考虑废气处理</w:t>
            </w:r>
            <w:r>
              <w:rPr>
                <w:rFonts w:hint="eastAsia"/>
                <w:color w:val="auto"/>
                <w:sz w:val="24"/>
                <w:highlight w:val="none"/>
                <w:lang w:eastAsia="zh-CN"/>
              </w:rPr>
              <w:t>设备</w:t>
            </w:r>
            <w:r>
              <w:rPr>
                <w:rFonts w:hint="eastAsia"/>
                <w:color w:val="auto"/>
                <w:sz w:val="24"/>
                <w:highlight w:val="none"/>
              </w:rPr>
              <w:t>故障的情形（以最不利情况考虑，处理效率按0%计），年发生频次以1次计，单次持续时间以1h计。项目非正常情况下，废气污染物排放情况及应对措施见下表</w:t>
            </w:r>
            <w:r>
              <w:rPr>
                <w:color w:val="auto"/>
                <w:sz w:val="24"/>
                <w:highlight w:val="none"/>
              </w:rPr>
              <w:t>。</w:t>
            </w:r>
          </w:p>
          <w:p w14:paraId="370A6651">
            <w:pPr>
              <w:adjustRightInd w:val="0"/>
              <w:snapToGrid w:val="0"/>
              <w:jc w:val="center"/>
              <w:rPr>
                <w:rFonts w:hint="default" w:ascii="Times New Roman" w:hAnsi="Times New Roman" w:eastAsia="宋体" w:cs="Times New Roman"/>
                <w:b/>
                <w:bCs/>
                <w:color w:val="auto"/>
                <w:kern w:val="0"/>
                <w:szCs w:val="21"/>
                <w:highlight w:val="none"/>
                <w:lang w:val="en-US" w:eastAsia="zh-CN"/>
              </w:rPr>
            </w:pPr>
            <w:r>
              <w:rPr>
                <w:rFonts w:hint="default" w:ascii="Times New Roman" w:hAnsi="Times New Roman" w:eastAsia="宋体" w:cs="Times New Roman"/>
                <w:b/>
                <w:bCs/>
                <w:color w:val="auto"/>
                <w:kern w:val="0"/>
                <w:szCs w:val="21"/>
                <w:highlight w:val="none"/>
                <w:lang w:val="en-US" w:eastAsia="zh-CN"/>
              </w:rPr>
              <w:t>表4.</w:t>
            </w:r>
            <w:r>
              <w:rPr>
                <w:rFonts w:hint="eastAsia" w:ascii="Times New Roman" w:hAnsi="Times New Roman" w:eastAsia="宋体" w:cs="Times New Roman"/>
                <w:b/>
                <w:bCs/>
                <w:color w:val="auto"/>
                <w:kern w:val="0"/>
                <w:szCs w:val="21"/>
                <w:highlight w:val="none"/>
                <w:lang w:val="en-US" w:eastAsia="zh-CN"/>
              </w:rPr>
              <w:t>2</w:t>
            </w:r>
            <w:r>
              <w:rPr>
                <w:rFonts w:hint="default" w:ascii="Times New Roman" w:hAnsi="Times New Roman" w:eastAsia="宋体" w:cs="Times New Roman"/>
                <w:b/>
                <w:bCs/>
                <w:color w:val="auto"/>
                <w:kern w:val="0"/>
                <w:szCs w:val="21"/>
                <w:highlight w:val="none"/>
                <w:lang w:val="en-US" w:eastAsia="zh-CN"/>
              </w:rPr>
              <w:t>-</w:t>
            </w:r>
            <w:r>
              <w:rPr>
                <w:rFonts w:hint="eastAsia" w:ascii="Times New Roman" w:hAnsi="Times New Roman" w:eastAsia="宋体" w:cs="Times New Roman"/>
                <w:b/>
                <w:bCs/>
                <w:color w:val="auto"/>
                <w:kern w:val="0"/>
                <w:szCs w:val="21"/>
                <w:highlight w:val="none"/>
                <w:lang w:val="en-US" w:eastAsia="zh-CN"/>
              </w:rPr>
              <w:t>5项目污染物非正常排放核算表</w:t>
            </w:r>
          </w:p>
          <w:tbl>
            <w:tblPr>
              <w:tblStyle w:val="31"/>
              <w:tblW w:w="8130"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968"/>
              <w:gridCol w:w="1209"/>
              <w:gridCol w:w="1256"/>
              <w:gridCol w:w="1144"/>
              <w:gridCol w:w="1050"/>
              <w:gridCol w:w="943"/>
              <w:gridCol w:w="841"/>
              <w:gridCol w:w="719"/>
            </w:tblGrid>
            <w:tr w14:paraId="7A784B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968" w:type="dxa"/>
                  <w:vMerge w:val="restart"/>
                  <w:vAlign w:val="center"/>
                </w:tcPr>
                <w:p w14:paraId="0AA4AC3A">
                  <w:pPr>
                    <w:pStyle w:val="105"/>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污染源</w:t>
                  </w:r>
                </w:p>
              </w:tc>
              <w:tc>
                <w:tcPr>
                  <w:tcW w:w="1209" w:type="dxa"/>
                  <w:vMerge w:val="restart"/>
                  <w:vAlign w:val="center"/>
                </w:tcPr>
                <w:p w14:paraId="040DAF6A">
                  <w:pPr>
                    <w:pStyle w:val="105"/>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非正常排放原因</w:t>
                  </w:r>
                </w:p>
              </w:tc>
              <w:tc>
                <w:tcPr>
                  <w:tcW w:w="1256" w:type="dxa"/>
                  <w:vMerge w:val="restart"/>
                  <w:vAlign w:val="center"/>
                </w:tcPr>
                <w:p w14:paraId="3AD72C38">
                  <w:pPr>
                    <w:pStyle w:val="105"/>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主要污染物</w:t>
                  </w:r>
                </w:p>
              </w:tc>
              <w:tc>
                <w:tcPr>
                  <w:tcW w:w="2194" w:type="dxa"/>
                  <w:gridSpan w:val="2"/>
                  <w:vAlign w:val="center"/>
                </w:tcPr>
                <w:p w14:paraId="3A2AD6F2">
                  <w:pPr>
                    <w:pStyle w:val="105"/>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产生情况</w:t>
                  </w:r>
                </w:p>
              </w:tc>
              <w:tc>
                <w:tcPr>
                  <w:tcW w:w="943" w:type="dxa"/>
                  <w:vMerge w:val="restart"/>
                  <w:vAlign w:val="center"/>
                </w:tcPr>
                <w:p w14:paraId="580E78EC">
                  <w:pPr>
                    <w:pStyle w:val="105"/>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单次持续时间</w:t>
                  </w:r>
                </w:p>
              </w:tc>
              <w:tc>
                <w:tcPr>
                  <w:tcW w:w="841" w:type="dxa"/>
                  <w:vMerge w:val="restart"/>
                  <w:vAlign w:val="center"/>
                </w:tcPr>
                <w:p w14:paraId="3332795B">
                  <w:pPr>
                    <w:pStyle w:val="105"/>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年发生频次</w:t>
                  </w:r>
                </w:p>
              </w:tc>
              <w:tc>
                <w:tcPr>
                  <w:tcW w:w="719" w:type="dxa"/>
                  <w:vMerge w:val="restart"/>
                  <w:vAlign w:val="center"/>
                </w:tcPr>
                <w:p w14:paraId="6F0F9B4E">
                  <w:pPr>
                    <w:pStyle w:val="105"/>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应对措施</w:t>
                  </w:r>
                </w:p>
              </w:tc>
            </w:tr>
            <w:tr w14:paraId="729F9C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968" w:type="dxa"/>
                  <w:vMerge w:val="continue"/>
                  <w:vAlign w:val="center"/>
                </w:tcPr>
                <w:p w14:paraId="412F2A8A">
                  <w:pPr>
                    <w:pStyle w:val="105"/>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color w:val="auto"/>
                      <w:sz w:val="21"/>
                      <w:szCs w:val="21"/>
                      <w:highlight w:val="none"/>
                    </w:rPr>
                  </w:pPr>
                </w:p>
              </w:tc>
              <w:tc>
                <w:tcPr>
                  <w:tcW w:w="1209" w:type="dxa"/>
                  <w:vMerge w:val="continue"/>
                  <w:vAlign w:val="center"/>
                </w:tcPr>
                <w:p w14:paraId="3E2C6CAB">
                  <w:pPr>
                    <w:pStyle w:val="105"/>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color w:val="auto"/>
                      <w:sz w:val="21"/>
                      <w:szCs w:val="21"/>
                      <w:highlight w:val="none"/>
                    </w:rPr>
                  </w:pPr>
                </w:p>
              </w:tc>
              <w:tc>
                <w:tcPr>
                  <w:tcW w:w="1256" w:type="dxa"/>
                  <w:vMerge w:val="continue"/>
                  <w:vAlign w:val="center"/>
                </w:tcPr>
                <w:p w14:paraId="0F0BF649">
                  <w:pPr>
                    <w:pStyle w:val="105"/>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color w:val="auto"/>
                      <w:sz w:val="21"/>
                      <w:szCs w:val="21"/>
                      <w:highlight w:val="none"/>
                    </w:rPr>
                  </w:pPr>
                </w:p>
              </w:tc>
              <w:tc>
                <w:tcPr>
                  <w:tcW w:w="1144" w:type="dxa"/>
                  <w:vAlign w:val="center"/>
                </w:tcPr>
                <w:p w14:paraId="3C69627F">
                  <w:pPr>
                    <w:pStyle w:val="105"/>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浓度mg/m</w:t>
                  </w:r>
                  <w:r>
                    <w:rPr>
                      <w:rFonts w:hint="default" w:ascii="Times New Roman" w:hAnsi="Times New Roman" w:eastAsia="宋体" w:cs="Times New Roman"/>
                      <w:color w:val="auto"/>
                      <w:sz w:val="21"/>
                      <w:szCs w:val="21"/>
                      <w:highlight w:val="none"/>
                      <w:vertAlign w:val="superscript"/>
                      <w:lang w:val="en-US" w:eastAsia="zh-CN"/>
                    </w:rPr>
                    <w:t>3</w:t>
                  </w:r>
                </w:p>
              </w:tc>
              <w:tc>
                <w:tcPr>
                  <w:tcW w:w="1050" w:type="dxa"/>
                  <w:vAlign w:val="center"/>
                </w:tcPr>
                <w:p w14:paraId="2539B75F">
                  <w:pPr>
                    <w:pStyle w:val="105"/>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速率kg/h</w:t>
                  </w:r>
                </w:p>
              </w:tc>
              <w:tc>
                <w:tcPr>
                  <w:tcW w:w="943" w:type="dxa"/>
                  <w:vMerge w:val="continue"/>
                  <w:vAlign w:val="center"/>
                </w:tcPr>
                <w:p w14:paraId="1747C7E1">
                  <w:pPr>
                    <w:pStyle w:val="105"/>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color w:val="auto"/>
                      <w:sz w:val="21"/>
                      <w:szCs w:val="21"/>
                      <w:highlight w:val="none"/>
                    </w:rPr>
                  </w:pPr>
                </w:p>
              </w:tc>
              <w:tc>
                <w:tcPr>
                  <w:tcW w:w="841" w:type="dxa"/>
                  <w:vMerge w:val="continue"/>
                  <w:vAlign w:val="center"/>
                </w:tcPr>
                <w:p w14:paraId="63AC227D">
                  <w:pPr>
                    <w:pStyle w:val="105"/>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color w:val="auto"/>
                      <w:sz w:val="21"/>
                      <w:szCs w:val="21"/>
                      <w:highlight w:val="none"/>
                    </w:rPr>
                  </w:pPr>
                </w:p>
              </w:tc>
              <w:tc>
                <w:tcPr>
                  <w:tcW w:w="719" w:type="dxa"/>
                  <w:vMerge w:val="continue"/>
                  <w:vAlign w:val="center"/>
                </w:tcPr>
                <w:p w14:paraId="0D278973">
                  <w:pPr>
                    <w:pStyle w:val="105"/>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color w:val="auto"/>
                      <w:sz w:val="21"/>
                      <w:szCs w:val="21"/>
                      <w:highlight w:val="none"/>
                    </w:rPr>
                  </w:pPr>
                </w:p>
              </w:tc>
            </w:tr>
            <w:tr w14:paraId="06D4F3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968" w:type="dxa"/>
                  <w:vAlign w:val="center"/>
                </w:tcPr>
                <w:p w14:paraId="4FF6CE72">
                  <w:pPr>
                    <w:pStyle w:val="105"/>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iCs/>
                      <w:color w:val="auto"/>
                      <w:sz w:val="21"/>
                      <w:szCs w:val="21"/>
                      <w:highlight w:val="none"/>
                      <w:lang w:val="en-US" w:eastAsia="zh-CN"/>
                    </w:rPr>
                  </w:pPr>
                  <w:r>
                    <w:rPr>
                      <w:rFonts w:hint="default" w:ascii="Times New Roman" w:hAnsi="Times New Roman" w:eastAsia="宋体" w:cs="Times New Roman"/>
                      <w:iCs/>
                      <w:color w:val="auto"/>
                      <w:sz w:val="21"/>
                      <w:szCs w:val="21"/>
                      <w:highlight w:val="none"/>
                      <w:lang w:val="en-US" w:eastAsia="zh-CN"/>
                    </w:rPr>
                    <w:t>DA001</w:t>
                  </w:r>
                </w:p>
              </w:tc>
              <w:tc>
                <w:tcPr>
                  <w:tcW w:w="1209" w:type="dxa"/>
                  <w:shd w:val="clear" w:color="auto" w:fill="auto"/>
                  <w:vAlign w:val="center"/>
                </w:tcPr>
                <w:p w14:paraId="20C4A24D">
                  <w:pPr>
                    <w:pStyle w:val="105"/>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Cs/>
                      <w:color w:val="auto"/>
                      <w:kern w:val="2"/>
                      <w:sz w:val="21"/>
                      <w:szCs w:val="21"/>
                      <w:highlight w:val="none"/>
                      <w:lang w:val="en-US" w:eastAsia="zh-CN" w:bidi="ar-SA"/>
                    </w:rPr>
                  </w:pPr>
                  <w:r>
                    <w:rPr>
                      <w:rFonts w:hint="default" w:ascii="Times New Roman" w:hAnsi="Times New Roman" w:eastAsia="宋体" w:cs="Times New Roman"/>
                      <w:iCs/>
                      <w:color w:val="auto"/>
                      <w:sz w:val="21"/>
                      <w:szCs w:val="21"/>
                      <w:highlight w:val="none"/>
                      <w:lang w:val="en-US" w:eastAsia="zh-CN"/>
                    </w:rPr>
                    <w:t>除尘设备设施故障</w:t>
                  </w:r>
                </w:p>
              </w:tc>
              <w:tc>
                <w:tcPr>
                  <w:tcW w:w="1256" w:type="dxa"/>
                  <w:shd w:val="clear" w:color="auto" w:fill="auto"/>
                  <w:vAlign w:val="center"/>
                </w:tcPr>
                <w:p w14:paraId="23F035F8">
                  <w:pPr>
                    <w:pStyle w:val="105"/>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Cs/>
                      <w:color w:val="auto"/>
                      <w:kern w:val="2"/>
                      <w:sz w:val="21"/>
                      <w:szCs w:val="21"/>
                      <w:highlight w:val="none"/>
                      <w:lang w:val="en-US" w:eastAsia="zh-CN" w:bidi="ar-SA"/>
                    </w:rPr>
                  </w:pPr>
                  <w:r>
                    <w:rPr>
                      <w:rFonts w:hint="default" w:ascii="Times New Roman" w:hAnsi="Times New Roman" w:eastAsia="宋体" w:cs="Times New Roman"/>
                      <w:iCs/>
                      <w:color w:val="auto"/>
                      <w:sz w:val="21"/>
                      <w:szCs w:val="21"/>
                      <w:highlight w:val="none"/>
                      <w:lang w:val="en-US" w:eastAsia="zh-CN"/>
                    </w:rPr>
                    <w:t>颗粒物</w:t>
                  </w:r>
                </w:p>
              </w:tc>
              <w:tc>
                <w:tcPr>
                  <w:tcW w:w="1144" w:type="dxa"/>
                  <w:shd w:val="clear" w:color="auto" w:fill="auto"/>
                  <w:vAlign w:val="center"/>
                </w:tcPr>
                <w:p w14:paraId="5124A6B2">
                  <w:pPr>
                    <w:pStyle w:val="119"/>
                    <w:rPr>
                      <w:rFonts w:hint="default" w:ascii="Times New Roman" w:hAnsi="Times New Roman" w:eastAsia="宋体" w:cs="Times New Roman"/>
                      <w:iCs/>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3.256</w:t>
                  </w:r>
                </w:p>
              </w:tc>
              <w:tc>
                <w:tcPr>
                  <w:tcW w:w="1050" w:type="dxa"/>
                  <w:shd w:val="clear" w:color="auto" w:fill="auto"/>
                  <w:vAlign w:val="center"/>
                </w:tcPr>
                <w:p w14:paraId="673E1EEE">
                  <w:pPr>
                    <w:pStyle w:val="119"/>
                    <w:rPr>
                      <w:rFonts w:hint="default" w:ascii="Times New Roman" w:hAnsi="Times New Roman" w:eastAsia="宋体" w:cs="Times New Roman"/>
                      <w:iCs/>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1.13</w:t>
                  </w:r>
                </w:p>
              </w:tc>
              <w:tc>
                <w:tcPr>
                  <w:tcW w:w="943" w:type="dxa"/>
                  <w:shd w:val="clear" w:color="auto" w:fill="auto"/>
                  <w:vAlign w:val="center"/>
                </w:tcPr>
                <w:p w14:paraId="008D1EFA">
                  <w:pPr>
                    <w:pStyle w:val="105"/>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Cs/>
                      <w:color w:val="auto"/>
                      <w:kern w:val="2"/>
                      <w:sz w:val="21"/>
                      <w:szCs w:val="21"/>
                      <w:highlight w:val="none"/>
                      <w:lang w:val="en-US" w:eastAsia="zh-CN" w:bidi="ar-SA"/>
                    </w:rPr>
                  </w:pPr>
                  <w:r>
                    <w:rPr>
                      <w:rFonts w:hint="default" w:ascii="Times New Roman" w:hAnsi="Times New Roman" w:eastAsia="宋体" w:cs="Times New Roman"/>
                      <w:iCs/>
                      <w:color w:val="auto"/>
                      <w:sz w:val="21"/>
                      <w:szCs w:val="21"/>
                      <w:highlight w:val="none"/>
                      <w:lang w:val="en-US" w:eastAsia="zh-CN"/>
                    </w:rPr>
                    <w:t>1h</w:t>
                  </w:r>
                </w:p>
              </w:tc>
              <w:tc>
                <w:tcPr>
                  <w:tcW w:w="841" w:type="dxa"/>
                  <w:shd w:val="clear" w:color="auto" w:fill="auto"/>
                  <w:vAlign w:val="center"/>
                </w:tcPr>
                <w:p w14:paraId="4F06F2A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1次</w:t>
                  </w:r>
                </w:p>
              </w:tc>
              <w:tc>
                <w:tcPr>
                  <w:tcW w:w="719" w:type="dxa"/>
                  <w:vMerge w:val="restart"/>
                  <w:vAlign w:val="center"/>
                </w:tcPr>
                <w:p w14:paraId="06644A64">
                  <w:pPr>
                    <w:pStyle w:val="105"/>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立即停止作业</w:t>
                  </w:r>
                </w:p>
              </w:tc>
            </w:tr>
            <w:tr w14:paraId="735561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968" w:type="dxa"/>
                  <w:vAlign w:val="center"/>
                </w:tcPr>
                <w:p w14:paraId="69AA0680">
                  <w:pPr>
                    <w:pStyle w:val="105"/>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Cs/>
                      <w:color w:val="auto"/>
                      <w:sz w:val="21"/>
                      <w:szCs w:val="21"/>
                      <w:highlight w:val="none"/>
                      <w:lang w:val="en-US" w:eastAsia="zh-CN"/>
                    </w:rPr>
                  </w:pPr>
                  <w:r>
                    <w:rPr>
                      <w:rFonts w:hint="default" w:ascii="Times New Roman" w:hAnsi="Times New Roman" w:eastAsia="宋体" w:cs="Times New Roman"/>
                      <w:iCs/>
                      <w:color w:val="auto"/>
                      <w:sz w:val="21"/>
                      <w:szCs w:val="21"/>
                      <w:highlight w:val="none"/>
                      <w:lang w:val="en-US" w:eastAsia="zh-CN"/>
                    </w:rPr>
                    <w:t>DA002</w:t>
                  </w:r>
                </w:p>
              </w:tc>
              <w:tc>
                <w:tcPr>
                  <w:tcW w:w="1209" w:type="dxa"/>
                  <w:shd w:val="clear" w:color="auto" w:fill="auto"/>
                  <w:vAlign w:val="center"/>
                </w:tcPr>
                <w:p w14:paraId="3DF9CD46">
                  <w:pPr>
                    <w:pStyle w:val="105"/>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Cs/>
                      <w:color w:val="auto"/>
                      <w:sz w:val="21"/>
                      <w:szCs w:val="21"/>
                      <w:highlight w:val="none"/>
                      <w:lang w:val="en-US" w:eastAsia="zh-CN"/>
                    </w:rPr>
                  </w:pPr>
                  <w:r>
                    <w:rPr>
                      <w:rFonts w:hint="default" w:ascii="Times New Roman" w:hAnsi="Times New Roman" w:eastAsia="宋体" w:cs="Times New Roman"/>
                      <w:iCs/>
                      <w:color w:val="auto"/>
                      <w:sz w:val="21"/>
                      <w:szCs w:val="21"/>
                      <w:highlight w:val="none"/>
                      <w:lang w:val="en-US" w:eastAsia="zh-CN"/>
                    </w:rPr>
                    <w:t>除尘设备设施故障</w:t>
                  </w:r>
                </w:p>
              </w:tc>
              <w:tc>
                <w:tcPr>
                  <w:tcW w:w="1256" w:type="dxa"/>
                  <w:shd w:val="clear" w:color="auto" w:fill="auto"/>
                  <w:vAlign w:val="center"/>
                </w:tcPr>
                <w:p w14:paraId="3FDAB639">
                  <w:pPr>
                    <w:pStyle w:val="105"/>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Cs/>
                      <w:color w:val="auto"/>
                      <w:sz w:val="21"/>
                      <w:szCs w:val="21"/>
                      <w:highlight w:val="none"/>
                      <w:lang w:val="en-US" w:eastAsia="zh-CN"/>
                    </w:rPr>
                  </w:pPr>
                  <w:r>
                    <w:rPr>
                      <w:rFonts w:hint="default" w:ascii="Times New Roman" w:hAnsi="Times New Roman" w:eastAsia="宋体" w:cs="Times New Roman"/>
                      <w:iCs/>
                      <w:color w:val="auto"/>
                      <w:sz w:val="21"/>
                      <w:szCs w:val="21"/>
                      <w:highlight w:val="none"/>
                      <w:lang w:val="en-US" w:eastAsia="zh-CN"/>
                    </w:rPr>
                    <w:t>颗粒物</w:t>
                  </w:r>
                </w:p>
              </w:tc>
              <w:tc>
                <w:tcPr>
                  <w:tcW w:w="1144" w:type="dxa"/>
                  <w:shd w:val="clear" w:color="auto" w:fill="auto"/>
                  <w:vAlign w:val="center"/>
                </w:tcPr>
                <w:p w14:paraId="2F00FC1F">
                  <w:pPr>
                    <w:pStyle w:val="119"/>
                    <w:rPr>
                      <w:rFonts w:hint="default" w:ascii="Times New Roman" w:hAnsi="Times New Roman" w:eastAsia="宋体" w:cs="Times New Roman"/>
                      <w:iCs/>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7.293</w:t>
                  </w:r>
                </w:p>
              </w:tc>
              <w:tc>
                <w:tcPr>
                  <w:tcW w:w="1050" w:type="dxa"/>
                  <w:shd w:val="clear" w:color="auto" w:fill="auto"/>
                  <w:vAlign w:val="center"/>
                </w:tcPr>
                <w:p w14:paraId="48B95FFB">
                  <w:pPr>
                    <w:pStyle w:val="119"/>
                    <w:rPr>
                      <w:rFonts w:hint="default" w:ascii="Times New Roman" w:hAnsi="Times New Roman" w:eastAsia="宋体" w:cs="Times New Roman"/>
                      <w:iCs/>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2.25</w:t>
                  </w:r>
                </w:p>
              </w:tc>
              <w:tc>
                <w:tcPr>
                  <w:tcW w:w="943" w:type="dxa"/>
                  <w:shd w:val="clear" w:color="auto" w:fill="auto"/>
                  <w:vAlign w:val="center"/>
                </w:tcPr>
                <w:p w14:paraId="370995F0">
                  <w:pPr>
                    <w:pStyle w:val="105"/>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Cs/>
                      <w:color w:val="auto"/>
                      <w:sz w:val="21"/>
                      <w:szCs w:val="21"/>
                      <w:highlight w:val="none"/>
                      <w:lang w:val="en-US" w:eastAsia="zh-CN"/>
                    </w:rPr>
                  </w:pPr>
                  <w:r>
                    <w:rPr>
                      <w:rFonts w:hint="default" w:ascii="Times New Roman" w:hAnsi="Times New Roman" w:eastAsia="宋体" w:cs="Times New Roman"/>
                      <w:iCs/>
                      <w:color w:val="auto"/>
                      <w:sz w:val="21"/>
                      <w:szCs w:val="21"/>
                      <w:highlight w:val="none"/>
                      <w:lang w:val="en-US" w:eastAsia="zh-CN"/>
                    </w:rPr>
                    <w:t>1h</w:t>
                  </w:r>
                </w:p>
              </w:tc>
              <w:tc>
                <w:tcPr>
                  <w:tcW w:w="841" w:type="dxa"/>
                  <w:shd w:val="clear" w:color="auto" w:fill="auto"/>
                  <w:vAlign w:val="center"/>
                </w:tcPr>
                <w:p w14:paraId="3BBDE66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1次</w:t>
                  </w:r>
                </w:p>
              </w:tc>
              <w:tc>
                <w:tcPr>
                  <w:tcW w:w="719" w:type="dxa"/>
                  <w:vMerge w:val="continue"/>
                  <w:vAlign w:val="center"/>
                </w:tcPr>
                <w:p w14:paraId="36D1D330">
                  <w:pPr>
                    <w:pStyle w:val="105"/>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color w:val="auto"/>
                      <w:sz w:val="21"/>
                      <w:szCs w:val="21"/>
                      <w:highlight w:val="none"/>
                      <w:lang w:val="en-US" w:eastAsia="zh-CN"/>
                    </w:rPr>
                  </w:pPr>
                </w:p>
              </w:tc>
            </w:tr>
            <w:tr w14:paraId="3A21A1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968" w:type="dxa"/>
                  <w:vAlign w:val="center"/>
                </w:tcPr>
                <w:p w14:paraId="281D365A">
                  <w:pPr>
                    <w:pStyle w:val="105"/>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Cs/>
                      <w:color w:val="auto"/>
                      <w:sz w:val="21"/>
                      <w:szCs w:val="21"/>
                      <w:highlight w:val="none"/>
                      <w:lang w:val="en-US" w:eastAsia="zh-CN"/>
                    </w:rPr>
                  </w:pPr>
                  <w:r>
                    <w:rPr>
                      <w:rFonts w:hint="default" w:ascii="Times New Roman" w:hAnsi="Times New Roman" w:eastAsia="宋体" w:cs="Times New Roman"/>
                      <w:iCs/>
                      <w:color w:val="auto"/>
                      <w:sz w:val="21"/>
                      <w:szCs w:val="21"/>
                      <w:highlight w:val="none"/>
                      <w:lang w:val="en-US" w:eastAsia="zh-CN"/>
                    </w:rPr>
                    <w:t>DA003</w:t>
                  </w:r>
                </w:p>
              </w:tc>
              <w:tc>
                <w:tcPr>
                  <w:tcW w:w="1209" w:type="dxa"/>
                  <w:shd w:val="clear" w:color="auto" w:fill="auto"/>
                  <w:vAlign w:val="center"/>
                </w:tcPr>
                <w:p w14:paraId="47A7FBDF">
                  <w:pPr>
                    <w:pStyle w:val="105"/>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Cs/>
                      <w:color w:val="auto"/>
                      <w:sz w:val="21"/>
                      <w:szCs w:val="21"/>
                      <w:highlight w:val="none"/>
                      <w:lang w:val="en-US" w:eastAsia="zh-CN"/>
                    </w:rPr>
                  </w:pPr>
                  <w:r>
                    <w:rPr>
                      <w:rFonts w:hint="default" w:ascii="Times New Roman" w:hAnsi="Times New Roman" w:eastAsia="宋体" w:cs="Times New Roman"/>
                      <w:iCs/>
                      <w:color w:val="auto"/>
                      <w:sz w:val="21"/>
                      <w:szCs w:val="21"/>
                      <w:highlight w:val="none"/>
                      <w:lang w:val="en-US" w:eastAsia="zh-CN"/>
                    </w:rPr>
                    <w:t>除尘设备设施故障</w:t>
                  </w:r>
                </w:p>
              </w:tc>
              <w:tc>
                <w:tcPr>
                  <w:tcW w:w="1256" w:type="dxa"/>
                  <w:shd w:val="clear" w:color="auto" w:fill="auto"/>
                  <w:vAlign w:val="center"/>
                </w:tcPr>
                <w:p w14:paraId="64D43D94">
                  <w:pPr>
                    <w:pStyle w:val="105"/>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Cs/>
                      <w:color w:val="auto"/>
                      <w:sz w:val="21"/>
                      <w:szCs w:val="21"/>
                      <w:highlight w:val="none"/>
                      <w:lang w:val="en-US" w:eastAsia="zh-CN"/>
                    </w:rPr>
                  </w:pPr>
                  <w:r>
                    <w:rPr>
                      <w:rFonts w:hint="default" w:ascii="Times New Roman" w:hAnsi="Times New Roman" w:eastAsia="宋体" w:cs="Times New Roman"/>
                      <w:iCs/>
                      <w:color w:val="auto"/>
                      <w:sz w:val="21"/>
                      <w:szCs w:val="21"/>
                      <w:highlight w:val="none"/>
                      <w:lang w:val="en-US" w:eastAsia="zh-CN"/>
                    </w:rPr>
                    <w:t>颗粒物</w:t>
                  </w:r>
                </w:p>
              </w:tc>
              <w:tc>
                <w:tcPr>
                  <w:tcW w:w="1144" w:type="dxa"/>
                  <w:shd w:val="clear" w:color="auto" w:fill="auto"/>
                  <w:vAlign w:val="center"/>
                </w:tcPr>
                <w:p w14:paraId="66DC6D92">
                  <w:pPr>
                    <w:pStyle w:val="119"/>
                    <w:rPr>
                      <w:rFonts w:hint="default" w:ascii="Times New Roman" w:hAnsi="Times New Roman" w:eastAsia="宋体" w:cs="Times New Roman"/>
                      <w:iCs/>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6.483</w:t>
                  </w:r>
                </w:p>
              </w:tc>
              <w:tc>
                <w:tcPr>
                  <w:tcW w:w="1050" w:type="dxa"/>
                  <w:shd w:val="clear" w:color="auto" w:fill="auto"/>
                  <w:vAlign w:val="center"/>
                </w:tcPr>
                <w:p w14:paraId="5F12823C">
                  <w:pPr>
                    <w:pStyle w:val="119"/>
                    <w:rPr>
                      <w:rFonts w:hint="default" w:ascii="Times New Roman" w:hAnsi="Times New Roman" w:eastAsia="宋体" w:cs="Times New Roman"/>
                      <w:iCs/>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2.25</w:t>
                  </w:r>
                </w:p>
              </w:tc>
              <w:tc>
                <w:tcPr>
                  <w:tcW w:w="943" w:type="dxa"/>
                  <w:shd w:val="clear" w:color="auto" w:fill="auto"/>
                  <w:vAlign w:val="center"/>
                </w:tcPr>
                <w:p w14:paraId="068BF507">
                  <w:pPr>
                    <w:pStyle w:val="105"/>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Cs/>
                      <w:color w:val="auto"/>
                      <w:sz w:val="21"/>
                      <w:szCs w:val="21"/>
                      <w:highlight w:val="none"/>
                      <w:lang w:val="en-US" w:eastAsia="zh-CN"/>
                    </w:rPr>
                  </w:pPr>
                  <w:r>
                    <w:rPr>
                      <w:rFonts w:hint="default" w:ascii="Times New Roman" w:hAnsi="Times New Roman" w:eastAsia="宋体" w:cs="Times New Roman"/>
                      <w:iCs/>
                      <w:color w:val="auto"/>
                      <w:sz w:val="21"/>
                      <w:szCs w:val="21"/>
                      <w:highlight w:val="none"/>
                      <w:lang w:val="en-US" w:eastAsia="zh-CN"/>
                    </w:rPr>
                    <w:t>1h</w:t>
                  </w:r>
                </w:p>
              </w:tc>
              <w:tc>
                <w:tcPr>
                  <w:tcW w:w="841" w:type="dxa"/>
                  <w:shd w:val="clear" w:color="auto" w:fill="auto"/>
                  <w:vAlign w:val="center"/>
                </w:tcPr>
                <w:p w14:paraId="18F2BC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1次</w:t>
                  </w:r>
                </w:p>
              </w:tc>
              <w:tc>
                <w:tcPr>
                  <w:tcW w:w="719" w:type="dxa"/>
                  <w:vMerge w:val="continue"/>
                  <w:vAlign w:val="center"/>
                </w:tcPr>
                <w:p w14:paraId="2F115C75">
                  <w:pPr>
                    <w:pStyle w:val="105"/>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color w:val="auto"/>
                      <w:sz w:val="21"/>
                      <w:szCs w:val="21"/>
                      <w:highlight w:val="none"/>
                      <w:lang w:val="en-US" w:eastAsia="zh-CN"/>
                    </w:rPr>
                  </w:pPr>
                </w:p>
              </w:tc>
            </w:tr>
            <w:tr w14:paraId="643735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968" w:type="dxa"/>
                  <w:vMerge w:val="restart"/>
                  <w:vAlign w:val="center"/>
                </w:tcPr>
                <w:p w14:paraId="5F8B29A9">
                  <w:pPr>
                    <w:pStyle w:val="105"/>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iCs/>
                      <w:color w:val="auto"/>
                      <w:sz w:val="21"/>
                      <w:szCs w:val="21"/>
                      <w:highlight w:val="none"/>
                      <w:lang w:val="en-US" w:eastAsia="zh-CN"/>
                    </w:rPr>
                  </w:pPr>
                  <w:r>
                    <w:rPr>
                      <w:rFonts w:hint="default" w:ascii="Times New Roman" w:hAnsi="Times New Roman" w:cs="Times New Roman"/>
                      <w:iCs/>
                      <w:color w:val="auto"/>
                      <w:sz w:val="21"/>
                      <w:szCs w:val="21"/>
                      <w:highlight w:val="none"/>
                      <w:lang w:val="en-US" w:eastAsia="zh-CN"/>
                    </w:rPr>
                    <w:t>DA004</w:t>
                  </w:r>
                </w:p>
              </w:tc>
              <w:tc>
                <w:tcPr>
                  <w:tcW w:w="1209" w:type="dxa"/>
                  <w:vMerge w:val="restart"/>
                  <w:shd w:val="clear" w:color="auto" w:fill="auto"/>
                  <w:vAlign w:val="center"/>
                </w:tcPr>
                <w:p w14:paraId="0224F6ED">
                  <w:pPr>
                    <w:pStyle w:val="105"/>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Cs/>
                      <w:color w:val="auto"/>
                      <w:sz w:val="21"/>
                      <w:szCs w:val="21"/>
                      <w:highlight w:val="none"/>
                      <w:lang w:val="en-US" w:eastAsia="zh-CN"/>
                    </w:rPr>
                  </w:pPr>
                  <w:r>
                    <w:rPr>
                      <w:rFonts w:hint="default" w:ascii="Times New Roman" w:hAnsi="Times New Roman" w:eastAsia="宋体" w:cs="Times New Roman"/>
                      <w:iCs/>
                      <w:color w:val="auto"/>
                      <w:sz w:val="21"/>
                      <w:szCs w:val="21"/>
                      <w:highlight w:val="none"/>
                      <w:lang w:val="en-US" w:eastAsia="zh-CN"/>
                    </w:rPr>
                    <w:t>黑烟净化器+SCR脱硝反应器设备故障</w:t>
                  </w:r>
                </w:p>
              </w:tc>
              <w:tc>
                <w:tcPr>
                  <w:tcW w:w="1256" w:type="dxa"/>
                  <w:shd w:val="clear" w:color="auto" w:fill="auto"/>
                  <w:vAlign w:val="center"/>
                </w:tcPr>
                <w:p w14:paraId="17166CB3">
                  <w:pPr>
                    <w:pStyle w:val="105"/>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Cs/>
                      <w:color w:val="auto"/>
                      <w:sz w:val="21"/>
                      <w:szCs w:val="21"/>
                      <w:highlight w:val="none"/>
                      <w:lang w:val="en-US" w:eastAsia="zh-CN"/>
                    </w:rPr>
                  </w:pPr>
                  <w:r>
                    <w:rPr>
                      <w:rFonts w:hint="default" w:ascii="Times New Roman" w:hAnsi="Times New Roman" w:eastAsia="宋体" w:cs="Times New Roman"/>
                      <w:iCs/>
                      <w:color w:val="auto"/>
                      <w:sz w:val="21"/>
                      <w:szCs w:val="21"/>
                      <w:highlight w:val="none"/>
                      <w:lang w:val="en-US" w:eastAsia="zh-CN"/>
                    </w:rPr>
                    <w:t>颗粒物</w:t>
                  </w:r>
                </w:p>
              </w:tc>
              <w:tc>
                <w:tcPr>
                  <w:tcW w:w="1144" w:type="dxa"/>
                  <w:shd w:val="clear" w:color="auto" w:fill="auto"/>
                  <w:vAlign w:val="center"/>
                </w:tcPr>
                <w:p w14:paraId="5E3219B8">
                  <w:pPr>
                    <w:pStyle w:val="119"/>
                    <w:rPr>
                      <w:rFonts w:hint="default" w:ascii="Times New Roman" w:hAnsi="Times New Roman" w:eastAsia="宋体" w:cs="Times New Roman"/>
                      <w:iCs/>
                      <w:color w:val="auto"/>
                      <w:spacing w:val="1"/>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0.054</w:t>
                  </w:r>
                </w:p>
              </w:tc>
              <w:tc>
                <w:tcPr>
                  <w:tcW w:w="1050" w:type="dxa"/>
                  <w:shd w:val="clear" w:color="auto" w:fill="auto"/>
                  <w:vAlign w:val="center"/>
                </w:tcPr>
                <w:p w14:paraId="7E46A3D3">
                  <w:pPr>
                    <w:pStyle w:val="119"/>
                    <w:rPr>
                      <w:rFonts w:hint="default" w:ascii="Times New Roman" w:hAnsi="Times New Roman" w:eastAsia="宋体" w:cs="Times New Roman"/>
                      <w:iCs/>
                      <w:color w:val="auto"/>
                      <w:spacing w:val="1"/>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1.50×10</w:t>
                  </w:r>
                  <w:r>
                    <w:rPr>
                      <w:rFonts w:hint="default" w:ascii="Times New Roman" w:hAnsi="Times New Roman" w:cs="Times New Roman"/>
                      <w:color w:val="auto"/>
                      <w:sz w:val="21"/>
                      <w:szCs w:val="21"/>
                      <w:highlight w:val="none"/>
                      <w:vertAlign w:val="superscript"/>
                      <w:lang w:val="en-US" w:eastAsia="zh-CN"/>
                    </w:rPr>
                    <w:t>-2</w:t>
                  </w:r>
                </w:p>
              </w:tc>
              <w:tc>
                <w:tcPr>
                  <w:tcW w:w="943" w:type="dxa"/>
                  <w:vMerge w:val="restart"/>
                  <w:shd w:val="clear" w:color="auto" w:fill="auto"/>
                  <w:vAlign w:val="center"/>
                </w:tcPr>
                <w:p w14:paraId="759F21F1">
                  <w:pPr>
                    <w:pStyle w:val="105"/>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Cs/>
                      <w:color w:val="auto"/>
                      <w:spacing w:val="1"/>
                      <w:kern w:val="0"/>
                      <w:sz w:val="21"/>
                      <w:szCs w:val="21"/>
                      <w:highlight w:val="none"/>
                      <w:lang w:val="en-US" w:eastAsia="zh-CN" w:bidi="ar-SA"/>
                    </w:rPr>
                  </w:pPr>
                  <w:r>
                    <w:rPr>
                      <w:rFonts w:hint="default" w:ascii="Times New Roman" w:hAnsi="Times New Roman" w:eastAsia="宋体" w:cs="Times New Roman"/>
                      <w:iCs/>
                      <w:color w:val="auto"/>
                      <w:sz w:val="21"/>
                      <w:szCs w:val="21"/>
                      <w:highlight w:val="none"/>
                      <w:lang w:val="en-US" w:eastAsia="zh-CN"/>
                    </w:rPr>
                    <w:t>1h</w:t>
                  </w:r>
                </w:p>
              </w:tc>
              <w:tc>
                <w:tcPr>
                  <w:tcW w:w="841" w:type="dxa"/>
                  <w:vMerge w:val="restart"/>
                  <w:shd w:val="clear" w:color="auto" w:fill="auto"/>
                  <w:vAlign w:val="center"/>
                </w:tcPr>
                <w:p w14:paraId="0EB14C7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Cs/>
                      <w:color w:val="auto"/>
                      <w:spacing w:val="1"/>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1次</w:t>
                  </w:r>
                </w:p>
              </w:tc>
              <w:tc>
                <w:tcPr>
                  <w:tcW w:w="719" w:type="dxa"/>
                  <w:vMerge w:val="continue"/>
                  <w:vAlign w:val="center"/>
                </w:tcPr>
                <w:p w14:paraId="1346E06F">
                  <w:pPr>
                    <w:pStyle w:val="105"/>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color w:val="auto"/>
                      <w:sz w:val="21"/>
                      <w:szCs w:val="21"/>
                      <w:highlight w:val="none"/>
                      <w:lang w:val="en-US" w:eastAsia="zh-CN"/>
                    </w:rPr>
                  </w:pPr>
                </w:p>
              </w:tc>
            </w:tr>
            <w:tr w14:paraId="3F05F8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968" w:type="dxa"/>
                  <w:vMerge w:val="continue"/>
                  <w:vAlign w:val="center"/>
                </w:tcPr>
                <w:p w14:paraId="756FA649">
                  <w:pPr>
                    <w:pStyle w:val="105"/>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iCs/>
                      <w:color w:val="auto"/>
                      <w:sz w:val="21"/>
                      <w:szCs w:val="21"/>
                      <w:highlight w:val="none"/>
                      <w:lang w:val="en-US" w:eastAsia="zh-CN"/>
                    </w:rPr>
                  </w:pPr>
                </w:p>
              </w:tc>
              <w:tc>
                <w:tcPr>
                  <w:tcW w:w="1209" w:type="dxa"/>
                  <w:vMerge w:val="continue"/>
                  <w:shd w:val="clear" w:color="auto" w:fill="auto"/>
                  <w:vAlign w:val="center"/>
                </w:tcPr>
                <w:p w14:paraId="4B104B19">
                  <w:pPr>
                    <w:pStyle w:val="105"/>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Cs/>
                      <w:color w:val="auto"/>
                      <w:sz w:val="21"/>
                      <w:szCs w:val="21"/>
                      <w:highlight w:val="none"/>
                      <w:lang w:val="en-US" w:eastAsia="zh-CN"/>
                    </w:rPr>
                  </w:pPr>
                </w:p>
              </w:tc>
              <w:tc>
                <w:tcPr>
                  <w:tcW w:w="1256" w:type="dxa"/>
                  <w:shd w:val="clear" w:color="auto" w:fill="auto"/>
                  <w:vAlign w:val="center"/>
                </w:tcPr>
                <w:p w14:paraId="3801D27A">
                  <w:pPr>
                    <w:pStyle w:val="105"/>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Cs/>
                      <w:color w:val="auto"/>
                      <w:sz w:val="21"/>
                      <w:szCs w:val="21"/>
                      <w:highlight w:val="none"/>
                      <w:lang w:val="en-US" w:eastAsia="zh-CN"/>
                    </w:rPr>
                  </w:pPr>
                  <w:r>
                    <w:rPr>
                      <w:rFonts w:hint="default" w:ascii="Times New Roman" w:hAnsi="Times New Roman" w:eastAsia="宋体" w:cs="Times New Roman"/>
                      <w:iCs/>
                      <w:color w:val="auto"/>
                      <w:sz w:val="21"/>
                      <w:szCs w:val="21"/>
                      <w:highlight w:val="none"/>
                      <w:lang w:val="en-US" w:eastAsia="zh-CN"/>
                    </w:rPr>
                    <w:t>二氧化硫</w:t>
                  </w:r>
                </w:p>
              </w:tc>
              <w:tc>
                <w:tcPr>
                  <w:tcW w:w="1144" w:type="dxa"/>
                  <w:shd w:val="clear" w:color="auto" w:fill="auto"/>
                  <w:vAlign w:val="center"/>
                </w:tcPr>
                <w:p w14:paraId="18F5B54C">
                  <w:pPr>
                    <w:pStyle w:val="119"/>
                    <w:rPr>
                      <w:rFonts w:hint="default" w:ascii="Times New Roman" w:hAnsi="Times New Roman" w:eastAsia="宋体" w:cs="Times New Roman"/>
                      <w:iCs/>
                      <w:color w:val="auto"/>
                      <w:spacing w:val="1"/>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0.297</w:t>
                  </w:r>
                </w:p>
              </w:tc>
              <w:tc>
                <w:tcPr>
                  <w:tcW w:w="1050" w:type="dxa"/>
                  <w:shd w:val="clear" w:color="auto" w:fill="auto"/>
                  <w:vAlign w:val="center"/>
                </w:tcPr>
                <w:p w14:paraId="39DF6650">
                  <w:pPr>
                    <w:pStyle w:val="119"/>
                    <w:rPr>
                      <w:rFonts w:hint="default" w:ascii="Times New Roman" w:hAnsi="Times New Roman" w:eastAsia="宋体" w:cs="Times New Roman"/>
                      <w:iCs/>
                      <w:color w:val="auto"/>
                      <w:spacing w:val="1"/>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8.25×10</w:t>
                  </w:r>
                  <w:r>
                    <w:rPr>
                      <w:rFonts w:hint="default" w:ascii="Times New Roman" w:hAnsi="Times New Roman" w:cs="Times New Roman"/>
                      <w:color w:val="auto"/>
                      <w:sz w:val="21"/>
                      <w:szCs w:val="21"/>
                      <w:highlight w:val="none"/>
                      <w:vertAlign w:val="superscript"/>
                      <w:lang w:val="en-US" w:eastAsia="zh-CN"/>
                    </w:rPr>
                    <w:t>-2</w:t>
                  </w:r>
                </w:p>
              </w:tc>
              <w:tc>
                <w:tcPr>
                  <w:tcW w:w="943" w:type="dxa"/>
                  <w:vMerge w:val="continue"/>
                  <w:shd w:val="clear" w:color="auto" w:fill="auto"/>
                  <w:vAlign w:val="center"/>
                </w:tcPr>
                <w:p w14:paraId="1F539583">
                  <w:pPr>
                    <w:pStyle w:val="105"/>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Cs/>
                      <w:color w:val="auto"/>
                      <w:sz w:val="21"/>
                      <w:szCs w:val="21"/>
                      <w:highlight w:val="none"/>
                      <w:lang w:val="en-US" w:eastAsia="zh-CN"/>
                    </w:rPr>
                  </w:pPr>
                </w:p>
              </w:tc>
              <w:tc>
                <w:tcPr>
                  <w:tcW w:w="841" w:type="dxa"/>
                  <w:vMerge w:val="continue"/>
                  <w:shd w:val="clear" w:color="auto" w:fill="auto"/>
                  <w:vAlign w:val="center"/>
                </w:tcPr>
                <w:p w14:paraId="20F360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719" w:type="dxa"/>
                  <w:vMerge w:val="continue"/>
                  <w:vAlign w:val="center"/>
                </w:tcPr>
                <w:p w14:paraId="69C7F81D">
                  <w:pPr>
                    <w:pStyle w:val="105"/>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color w:val="auto"/>
                      <w:sz w:val="21"/>
                      <w:szCs w:val="21"/>
                      <w:highlight w:val="none"/>
                      <w:lang w:val="en-US" w:eastAsia="zh-CN"/>
                    </w:rPr>
                  </w:pPr>
                </w:p>
              </w:tc>
            </w:tr>
            <w:tr w14:paraId="6E53A3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968" w:type="dxa"/>
                  <w:vMerge w:val="continue"/>
                  <w:vAlign w:val="center"/>
                </w:tcPr>
                <w:p w14:paraId="76F64F5E">
                  <w:pPr>
                    <w:pStyle w:val="105"/>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iCs/>
                      <w:color w:val="auto"/>
                      <w:sz w:val="21"/>
                      <w:szCs w:val="21"/>
                      <w:highlight w:val="none"/>
                      <w:lang w:val="en-US" w:eastAsia="zh-CN"/>
                    </w:rPr>
                  </w:pPr>
                </w:p>
              </w:tc>
              <w:tc>
                <w:tcPr>
                  <w:tcW w:w="1209" w:type="dxa"/>
                  <w:vMerge w:val="continue"/>
                  <w:shd w:val="clear" w:color="auto" w:fill="auto"/>
                  <w:vAlign w:val="center"/>
                </w:tcPr>
                <w:p w14:paraId="390D3752">
                  <w:pPr>
                    <w:pStyle w:val="105"/>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Cs/>
                      <w:color w:val="auto"/>
                      <w:sz w:val="21"/>
                      <w:szCs w:val="21"/>
                      <w:highlight w:val="none"/>
                      <w:lang w:val="en-US" w:eastAsia="zh-CN"/>
                    </w:rPr>
                  </w:pPr>
                </w:p>
              </w:tc>
              <w:tc>
                <w:tcPr>
                  <w:tcW w:w="1256" w:type="dxa"/>
                  <w:shd w:val="clear" w:color="auto" w:fill="auto"/>
                  <w:vAlign w:val="center"/>
                </w:tcPr>
                <w:p w14:paraId="20B5BF03">
                  <w:pPr>
                    <w:pStyle w:val="105"/>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Cs/>
                      <w:color w:val="auto"/>
                      <w:sz w:val="21"/>
                      <w:szCs w:val="21"/>
                      <w:highlight w:val="none"/>
                      <w:lang w:val="en-US" w:eastAsia="zh-CN"/>
                    </w:rPr>
                  </w:pPr>
                  <w:r>
                    <w:rPr>
                      <w:rFonts w:hint="default" w:ascii="Times New Roman" w:hAnsi="Times New Roman" w:eastAsia="宋体" w:cs="Times New Roman"/>
                      <w:iCs/>
                      <w:color w:val="auto"/>
                      <w:sz w:val="21"/>
                      <w:szCs w:val="21"/>
                      <w:highlight w:val="none"/>
                      <w:lang w:val="en-US" w:eastAsia="zh-CN"/>
                    </w:rPr>
                    <w:t>氮氧化物</w:t>
                  </w:r>
                </w:p>
              </w:tc>
              <w:tc>
                <w:tcPr>
                  <w:tcW w:w="1144" w:type="dxa"/>
                  <w:shd w:val="clear" w:color="auto" w:fill="auto"/>
                  <w:vAlign w:val="center"/>
                </w:tcPr>
                <w:p w14:paraId="25858894">
                  <w:pPr>
                    <w:pStyle w:val="119"/>
                    <w:rPr>
                      <w:rFonts w:hint="default" w:ascii="Times New Roman" w:hAnsi="Times New Roman" w:eastAsia="宋体" w:cs="Times New Roman"/>
                      <w:iCs/>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0.200</w:t>
                  </w:r>
                </w:p>
              </w:tc>
              <w:tc>
                <w:tcPr>
                  <w:tcW w:w="1050" w:type="dxa"/>
                  <w:shd w:val="clear" w:color="auto" w:fill="auto"/>
                  <w:vAlign w:val="center"/>
                </w:tcPr>
                <w:p w14:paraId="55635287">
                  <w:pPr>
                    <w:pStyle w:val="119"/>
                    <w:rPr>
                      <w:rFonts w:hint="default" w:ascii="Times New Roman" w:hAnsi="Times New Roman" w:eastAsia="宋体" w:cs="Times New Roman"/>
                      <w:iCs/>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5.56×10</w:t>
                  </w:r>
                  <w:r>
                    <w:rPr>
                      <w:rFonts w:hint="default" w:ascii="Times New Roman" w:hAnsi="Times New Roman" w:cs="Times New Roman"/>
                      <w:color w:val="auto"/>
                      <w:sz w:val="21"/>
                      <w:szCs w:val="21"/>
                      <w:highlight w:val="none"/>
                      <w:vertAlign w:val="superscript"/>
                      <w:lang w:val="en-US" w:eastAsia="zh-CN"/>
                    </w:rPr>
                    <w:t>-2</w:t>
                  </w:r>
                </w:p>
              </w:tc>
              <w:tc>
                <w:tcPr>
                  <w:tcW w:w="943" w:type="dxa"/>
                  <w:vMerge w:val="continue"/>
                  <w:shd w:val="clear" w:color="auto" w:fill="auto"/>
                  <w:vAlign w:val="center"/>
                </w:tcPr>
                <w:p w14:paraId="7D9BB3CF">
                  <w:pPr>
                    <w:pStyle w:val="105"/>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Cs/>
                      <w:color w:val="auto"/>
                      <w:sz w:val="21"/>
                      <w:szCs w:val="21"/>
                      <w:highlight w:val="none"/>
                      <w:lang w:val="en-US" w:eastAsia="zh-CN"/>
                    </w:rPr>
                  </w:pPr>
                </w:p>
              </w:tc>
              <w:tc>
                <w:tcPr>
                  <w:tcW w:w="841" w:type="dxa"/>
                  <w:vMerge w:val="continue"/>
                  <w:shd w:val="clear" w:color="auto" w:fill="auto"/>
                  <w:vAlign w:val="center"/>
                </w:tcPr>
                <w:p w14:paraId="20F15F5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719" w:type="dxa"/>
                  <w:vMerge w:val="continue"/>
                  <w:vAlign w:val="center"/>
                </w:tcPr>
                <w:p w14:paraId="0D4D2A6B">
                  <w:pPr>
                    <w:pStyle w:val="105"/>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color w:val="auto"/>
                      <w:sz w:val="21"/>
                      <w:szCs w:val="21"/>
                      <w:highlight w:val="none"/>
                      <w:lang w:val="en-US" w:eastAsia="zh-CN"/>
                    </w:rPr>
                  </w:pPr>
                </w:p>
              </w:tc>
            </w:tr>
          </w:tbl>
          <w:p w14:paraId="4867BF8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由表4.2-</w:t>
            </w:r>
            <w:r>
              <w:rPr>
                <w:rFonts w:hint="eastAsia" w:ascii="Times New Roman" w:hAnsi="Times New Roman"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val="en-US" w:eastAsia="zh-CN"/>
              </w:rPr>
              <w:t>可知，本项目废气</w:t>
            </w:r>
            <w:r>
              <w:rPr>
                <w:rFonts w:hint="eastAsia" w:ascii="Times New Roman" w:hAnsi="Times New Roman" w:cs="Times New Roman"/>
                <w:color w:val="auto"/>
                <w:sz w:val="24"/>
                <w:szCs w:val="24"/>
                <w:highlight w:val="none"/>
                <w:lang w:val="en-US" w:eastAsia="zh-CN"/>
              </w:rPr>
              <w:t>处理</w:t>
            </w:r>
            <w:r>
              <w:rPr>
                <w:rFonts w:hint="default" w:ascii="Times New Roman" w:hAnsi="Times New Roman" w:eastAsia="宋体" w:cs="Times New Roman"/>
                <w:color w:val="auto"/>
                <w:sz w:val="24"/>
                <w:szCs w:val="24"/>
                <w:highlight w:val="none"/>
                <w:lang w:val="en-US" w:eastAsia="zh-CN"/>
              </w:rPr>
              <w:t>设施在故障情况发生时，</w:t>
            </w:r>
            <w:r>
              <w:rPr>
                <w:rFonts w:hint="eastAsia" w:ascii="Times New Roman" w:hAnsi="Times New Roman" w:cs="Times New Roman"/>
                <w:color w:val="auto"/>
                <w:sz w:val="24"/>
                <w:szCs w:val="24"/>
                <w:highlight w:val="none"/>
                <w:lang w:val="en-US" w:eastAsia="zh-CN"/>
              </w:rPr>
              <w:t>废气</w:t>
            </w:r>
            <w:r>
              <w:rPr>
                <w:rFonts w:hint="default" w:ascii="Times New Roman" w:hAnsi="Times New Roman" w:eastAsia="宋体" w:cs="Times New Roman"/>
                <w:color w:val="auto"/>
                <w:sz w:val="24"/>
                <w:szCs w:val="24"/>
                <w:highlight w:val="none"/>
                <w:lang w:val="en-US" w:eastAsia="zh-CN"/>
              </w:rPr>
              <w:t>无法达标排放，会对周边环境造成较大影响，建设单位应立即停产待设备修复正常后再重新投产</w:t>
            </w:r>
            <w:r>
              <w:rPr>
                <w:rFonts w:hint="eastAsia"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非正常排放对周边影响是短暂的，随着停产后，影响将消失</w:t>
            </w:r>
            <w:r>
              <w:rPr>
                <w:rFonts w:hint="eastAsia" w:ascii="Times New Roman" w:hAnsi="Times New Roman" w:cs="Times New Roman"/>
                <w:color w:val="auto"/>
                <w:sz w:val="24"/>
                <w:szCs w:val="24"/>
                <w:highlight w:val="none"/>
                <w:lang w:val="en-US" w:eastAsia="zh-CN"/>
              </w:rPr>
              <w:t>。</w:t>
            </w:r>
          </w:p>
          <w:p w14:paraId="5347CE7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因此建设单位应加强对废气处理设施的管理与维护，确保其能正常稳定运行，杜绝事故的发生。</w:t>
            </w:r>
          </w:p>
          <w:p w14:paraId="1C6B9D1B">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241" w:firstLineChars="100"/>
              <w:textAlignment w:val="baseline"/>
              <w:rPr>
                <w:rFonts w:hint="eastAsia" w:ascii="Times New Roman" w:hAnsi="Times New Roman" w:eastAsia="宋体" w:cs="Times New Roman"/>
                <w:b/>
                <w:bCs/>
                <w:color w:val="auto"/>
                <w:sz w:val="24"/>
                <w:highlight w:val="none"/>
                <w:lang w:eastAsia="zh-CN"/>
              </w:rPr>
            </w:pPr>
            <w:r>
              <w:rPr>
                <w:rFonts w:hint="default" w:ascii="Times New Roman" w:hAnsi="Times New Roman" w:eastAsia="宋体" w:cs="Times New Roman"/>
                <w:b/>
                <w:bCs/>
                <w:color w:val="auto"/>
                <w:sz w:val="24"/>
                <w:highlight w:val="none"/>
              </w:rPr>
              <w:t>4.2.</w:t>
            </w:r>
            <w:r>
              <w:rPr>
                <w:rFonts w:hint="eastAsia" w:ascii="Times New Roman" w:hAnsi="Times New Roman" w:eastAsia="宋体" w:cs="Times New Roman"/>
                <w:b/>
                <w:bCs/>
                <w:color w:val="auto"/>
                <w:sz w:val="24"/>
                <w:highlight w:val="none"/>
                <w:lang w:val="en-US" w:eastAsia="zh-CN"/>
              </w:rPr>
              <w:t>2</w:t>
            </w:r>
            <w:r>
              <w:rPr>
                <w:rFonts w:hint="default" w:ascii="Times New Roman" w:hAnsi="Times New Roman" w:eastAsia="宋体" w:cs="Times New Roman"/>
                <w:b/>
                <w:bCs/>
                <w:color w:val="auto"/>
                <w:sz w:val="24"/>
                <w:highlight w:val="none"/>
              </w:rPr>
              <w:t>.</w:t>
            </w:r>
            <w:r>
              <w:rPr>
                <w:rFonts w:hint="eastAsia" w:ascii="Times New Roman" w:hAnsi="Times New Roman" w:cs="Times New Roman"/>
                <w:b/>
                <w:bCs/>
                <w:color w:val="auto"/>
                <w:sz w:val="24"/>
                <w:highlight w:val="none"/>
                <w:lang w:val="en-US" w:eastAsia="zh-CN"/>
              </w:rPr>
              <w:t>3</w:t>
            </w:r>
            <w:r>
              <w:rPr>
                <w:rFonts w:hint="eastAsia" w:ascii="Times New Roman" w:hAnsi="Times New Roman" w:eastAsia="宋体" w:cs="Times New Roman"/>
                <w:b/>
                <w:bCs/>
                <w:color w:val="auto"/>
                <w:sz w:val="24"/>
                <w:highlight w:val="none"/>
                <w:lang w:eastAsia="zh-CN"/>
              </w:rPr>
              <w:t>废气处理设施可行性分析</w:t>
            </w:r>
          </w:p>
          <w:p w14:paraId="5A97046B">
            <w:pPr>
              <w:pStyle w:val="14"/>
              <w:keepNext w:val="0"/>
              <w:keepLines w:val="0"/>
              <w:pageBreakBefore w:val="0"/>
              <w:widowControl/>
              <w:kinsoku/>
              <w:wordWrap/>
              <w:overflowPunct/>
              <w:topLinePunct w:val="0"/>
              <w:autoSpaceDE/>
              <w:autoSpaceDN/>
              <w:bidi w:val="0"/>
              <w:adjustRightInd/>
              <w:snapToGrid w:val="0"/>
              <w:spacing w:before="0" w:after="0" w:line="360" w:lineRule="auto"/>
              <w:ind w:right="0" w:firstLine="480" w:firstLineChars="200"/>
              <w:textAlignment w:val="auto"/>
              <w:rPr>
                <w:rFonts w:hint="eastAsia"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本项目</w:t>
            </w:r>
            <w:r>
              <w:rPr>
                <w:rFonts w:hint="eastAsia" w:ascii="Times New Roman" w:hAnsi="Times New Roman" w:eastAsia="宋体" w:cs="Times New Roman"/>
                <w:color w:val="auto"/>
                <w:kern w:val="2"/>
                <w:sz w:val="24"/>
                <w:szCs w:val="24"/>
                <w:highlight w:val="none"/>
                <w:lang w:val="en-US" w:eastAsia="zh-CN" w:bidi="ar-SA"/>
              </w:rPr>
              <w:t>激光切割废气经集气罩收集后采用布袋除尘设施处理，最终经25m排气筒DA001高空排放；项目抛丸、喷砂废气经设备自带布袋除尘出生处理后最终经25m排气筒DA002高空排放；打磨废气经集气罩收集后采用布袋除尘设施处理，最终经25m排气筒DA003高空排放；参照《排污许可证申请与核发技术规范 铁路、船舶、航空航天和其他运输设备制造业》（HJ 1124—2020）表21，切割工序产生的废气及机械预处理工序打磨、抛丸、喷砂产生的废气采用袋式除尘设施属于可行技术，因此，项目采取的措施可行。</w:t>
            </w:r>
          </w:p>
          <w:p w14:paraId="33AD5741">
            <w:pPr>
              <w:pStyle w:val="14"/>
              <w:keepNext w:val="0"/>
              <w:keepLines w:val="0"/>
              <w:pageBreakBefore w:val="0"/>
              <w:widowControl/>
              <w:kinsoku/>
              <w:wordWrap/>
              <w:overflowPunct/>
              <w:topLinePunct w:val="0"/>
              <w:autoSpaceDE/>
              <w:autoSpaceDN/>
              <w:bidi w:val="0"/>
              <w:adjustRightInd/>
              <w:snapToGrid w:val="0"/>
              <w:spacing w:before="0" w:after="0" w:line="360" w:lineRule="auto"/>
              <w:ind w:right="0"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同时本项目测试废气经车间密闭收集，经黑烟净化器+SCR脱硝反应器处理后经25m排气筒DA004高空排放，参照《排污许可证申请与核发技术规范 铁路、船舶、航空航天和其他运输设备制造业》（HJ 1124—2020）表21，产品检测试验工序产生的废气采用“尾气净化装置，催化净化”属于可行技术，因此项目采取的措施可行。</w:t>
            </w:r>
          </w:p>
          <w:p w14:paraId="6A524831">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241" w:firstLineChars="100"/>
              <w:textAlignment w:val="baseline"/>
              <w:rPr>
                <w:rFonts w:hint="eastAsia" w:ascii="Times New Roman" w:hAnsi="Times New Roman" w:eastAsia="宋体" w:cs="Times New Roman"/>
                <w:b/>
                <w:bCs/>
                <w:color w:val="auto"/>
                <w:sz w:val="24"/>
                <w:highlight w:val="none"/>
                <w:lang w:eastAsia="zh-CN"/>
              </w:rPr>
            </w:pPr>
            <w:r>
              <w:rPr>
                <w:rFonts w:hint="default" w:ascii="Times New Roman" w:hAnsi="Times New Roman" w:eastAsia="宋体" w:cs="Times New Roman"/>
                <w:b/>
                <w:bCs/>
                <w:color w:val="auto"/>
                <w:sz w:val="24"/>
                <w:highlight w:val="none"/>
              </w:rPr>
              <w:t>4.2.</w:t>
            </w:r>
            <w:r>
              <w:rPr>
                <w:rFonts w:hint="eastAsia" w:ascii="Times New Roman" w:hAnsi="Times New Roman" w:eastAsia="宋体" w:cs="Times New Roman"/>
                <w:b/>
                <w:bCs/>
                <w:color w:val="auto"/>
                <w:sz w:val="24"/>
                <w:highlight w:val="none"/>
                <w:lang w:val="en-US" w:eastAsia="zh-CN"/>
              </w:rPr>
              <w:t>2</w:t>
            </w:r>
            <w:r>
              <w:rPr>
                <w:rFonts w:hint="default" w:ascii="Times New Roman" w:hAnsi="Times New Roman" w:eastAsia="宋体" w:cs="Times New Roman"/>
                <w:b/>
                <w:bCs/>
                <w:color w:val="auto"/>
                <w:sz w:val="24"/>
                <w:highlight w:val="none"/>
              </w:rPr>
              <w:t>.</w:t>
            </w:r>
            <w:r>
              <w:rPr>
                <w:rFonts w:hint="eastAsia" w:ascii="Times New Roman" w:hAnsi="Times New Roman" w:cs="Times New Roman"/>
                <w:b/>
                <w:bCs/>
                <w:color w:val="auto"/>
                <w:sz w:val="24"/>
                <w:highlight w:val="none"/>
                <w:lang w:val="en-US" w:eastAsia="zh-CN"/>
              </w:rPr>
              <w:t>4</w:t>
            </w:r>
            <w:r>
              <w:rPr>
                <w:rFonts w:hint="default" w:ascii="Times New Roman" w:hAnsi="Times New Roman" w:eastAsia="宋体" w:cs="Times New Roman"/>
                <w:b/>
                <w:bCs/>
                <w:color w:val="auto"/>
                <w:sz w:val="24"/>
                <w:highlight w:val="none"/>
              </w:rPr>
              <w:t>运营期废气</w:t>
            </w:r>
            <w:r>
              <w:rPr>
                <w:rFonts w:hint="eastAsia" w:ascii="Times New Roman" w:hAnsi="Times New Roman" w:eastAsia="宋体" w:cs="Times New Roman"/>
                <w:b/>
                <w:bCs/>
                <w:color w:val="auto"/>
                <w:sz w:val="24"/>
                <w:highlight w:val="none"/>
                <w:lang w:eastAsia="zh-CN"/>
              </w:rPr>
              <w:t>自行监测计划</w:t>
            </w:r>
          </w:p>
          <w:p w14:paraId="7BE4DA8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color w:val="auto"/>
                <w:sz w:val="24"/>
                <w:szCs w:val="24"/>
                <w:lang w:val="en-US" w:eastAsia="zh-CN"/>
              </w:rPr>
            </w:pPr>
            <w:r>
              <w:rPr>
                <w:rFonts w:hint="eastAsia" w:ascii="Times New Roman" w:hAnsi="Times New Roman" w:eastAsia="宋体" w:cs="Times New Roman"/>
                <w:color w:val="auto"/>
                <w:kern w:val="2"/>
                <w:sz w:val="24"/>
                <w:szCs w:val="24"/>
                <w:lang w:val="en-US" w:eastAsia="zh-CN" w:bidi="ar-SA"/>
              </w:rPr>
              <w:t>本项目属于电机制造，参照《排污单位自行监测技术指南 总则》（HJ 819—2017）、《排污许可证申请与核发技术规范 铁路、船舶、航空航天和其他运输设备制造业》（HJ 1124—2020）文件要求，</w:t>
            </w:r>
            <w:r>
              <w:rPr>
                <w:rFonts w:hint="default" w:ascii="Times New Roman" w:hAnsi="Times New Roman" w:eastAsia="宋体" w:cs="Times New Roman"/>
                <w:color w:val="auto"/>
                <w:kern w:val="2"/>
                <w:sz w:val="24"/>
                <w:szCs w:val="24"/>
                <w:lang w:val="en-US" w:eastAsia="zh-CN" w:bidi="ar-SA"/>
              </w:rPr>
              <w:t>企业制定自行监测计划，并定期委托有资质的监测单位进行例行监测。检测计划见表4.</w:t>
            </w:r>
            <w:r>
              <w:rPr>
                <w:rFonts w:hint="eastAsia" w:ascii="Times New Roman" w:hAnsi="Times New Roman" w:eastAsia="宋体" w:cs="Times New Roman"/>
                <w:color w:val="auto"/>
                <w:kern w:val="2"/>
                <w:sz w:val="24"/>
                <w:szCs w:val="24"/>
                <w:lang w:val="en-US" w:eastAsia="zh-CN" w:bidi="ar-SA"/>
              </w:rPr>
              <w:t>2</w:t>
            </w:r>
            <w:r>
              <w:rPr>
                <w:rFonts w:hint="default" w:ascii="Times New Roman" w:hAnsi="Times New Roman" w:eastAsia="宋体" w:cs="Times New Roman"/>
                <w:color w:val="auto"/>
                <w:kern w:val="2"/>
                <w:sz w:val="24"/>
                <w:szCs w:val="24"/>
                <w:lang w:val="en-US" w:eastAsia="zh-CN" w:bidi="ar-SA"/>
              </w:rPr>
              <w:t>-</w:t>
            </w:r>
            <w:r>
              <w:rPr>
                <w:rFonts w:hint="eastAsia" w:cs="Times New Roman"/>
                <w:color w:val="auto"/>
                <w:kern w:val="2"/>
                <w:sz w:val="24"/>
                <w:szCs w:val="24"/>
                <w:lang w:val="en-US" w:eastAsia="zh-CN" w:bidi="ar-SA"/>
              </w:rPr>
              <w:t>6</w:t>
            </w:r>
            <w:r>
              <w:rPr>
                <w:rFonts w:hint="default" w:ascii="Times New Roman" w:hAnsi="Times New Roman" w:eastAsia="宋体" w:cs="Times New Roman"/>
                <w:color w:val="auto"/>
                <w:kern w:val="2"/>
                <w:sz w:val="24"/>
                <w:szCs w:val="24"/>
                <w:lang w:val="en-US" w:eastAsia="zh-CN" w:bidi="ar-SA"/>
              </w:rPr>
              <w:t>。</w:t>
            </w:r>
          </w:p>
          <w:p w14:paraId="23C6FFF2">
            <w:pPr>
              <w:adjustRightInd w:val="0"/>
              <w:snapToGrid w:val="0"/>
              <w:jc w:val="center"/>
              <w:rPr>
                <w:rFonts w:hint="default"/>
                <w:b/>
                <w:bCs/>
                <w:color w:val="auto"/>
                <w:kern w:val="0"/>
                <w:szCs w:val="21"/>
                <w:lang w:val="en-US" w:eastAsia="zh-CN"/>
              </w:rPr>
            </w:pPr>
            <w:r>
              <w:rPr>
                <w:rFonts w:hint="default"/>
                <w:b/>
                <w:bCs/>
                <w:color w:val="auto"/>
                <w:kern w:val="0"/>
                <w:szCs w:val="21"/>
                <w:lang w:val="en-US" w:eastAsia="zh-CN"/>
              </w:rPr>
              <w:t>表4.</w:t>
            </w:r>
            <w:r>
              <w:rPr>
                <w:rFonts w:hint="eastAsia"/>
                <w:b/>
                <w:bCs/>
                <w:color w:val="auto"/>
                <w:kern w:val="0"/>
                <w:szCs w:val="21"/>
                <w:lang w:val="en-US" w:eastAsia="zh-CN"/>
              </w:rPr>
              <w:t>2</w:t>
            </w:r>
            <w:r>
              <w:rPr>
                <w:rFonts w:hint="default"/>
                <w:b/>
                <w:bCs/>
                <w:color w:val="auto"/>
                <w:kern w:val="0"/>
                <w:szCs w:val="21"/>
                <w:lang w:val="en-US" w:eastAsia="zh-CN"/>
              </w:rPr>
              <w:t>-</w:t>
            </w:r>
            <w:r>
              <w:rPr>
                <w:rFonts w:hint="eastAsia"/>
                <w:b/>
                <w:bCs/>
                <w:color w:val="auto"/>
                <w:kern w:val="0"/>
                <w:szCs w:val="21"/>
                <w:lang w:val="en-US" w:eastAsia="zh-CN"/>
              </w:rPr>
              <w:t>6废气自行监测计划</w:t>
            </w:r>
          </w:p>
          <w:tbl>
            <w:tblPr>
              <w:tblStyle w:val="32"/>
              <w:tblW w:w="8039" w:type="dxa"/>
              <w:tblInd w:w="5"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77"/>
              <w:gridCol w:w="1728"/>
              <w:gridCol w:w="3393"/>
              <w:gridCol w:w="1841"/>
            </w:tblGrid>
            <w:tr w14:paraId="1D7BD34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077" w:type="dxa"/>
                  <w:vAlign w:val="center"/>
                </w:tcPr>
                <w:p w14:paraId="0BF301A2">
                  <w:pPr>
                    <w:pStyle w:val="19"/>
                    <w:jc w:val="center"/>
                    <w:rPr>
                      <w:rStyle w:val="122"/>
                      <w:b w:val="0"/>
                      <w:bCs/>
                      <w:color w:val="auto"/>
                      <w:sz w:val="21"/>
                    </w:rPr>
                  </w:pPr>
                  <w:r>
                    <w:rPr>
                      <w:rStyle w:val="122"/>
                      <w:rFonts w:hint="eastAsia"/>
                      <w:b w:val="0"/>
                      <w:bCs/>
                      <w:color w:val="auto"/>
                      <w:sz w:val="21"/>
                    </w:rPr>
                    <w:t>类型</w:t>
                  </w:r>
                </w:p>
              </w:tc>
              <w:tc>
                <w:tcPr>
                  <w:tcW w:w="1728" w:type="dxa"/>
                  <w:vAlign w:val="center"/>
                </w:tcPr>
                <w:p w14:paraId="6B46F3EE">
                  <w:pPr>
                    <w:pStyle w:val="19"/>
                    <w:jc w:val="center"/>
                    <w:rPr>
                      <w:rStyle w:val="122"/>
                      <w:b w:val="0"/>
                      <w:bCs/>
                      <w:color w:val="auto"/>
                      <w:sz w:val="21"/>
                    </w:rPr>
                  </w:pPr>
                  <w:r>
                    <w:rPr>
                      <w:rStyle w:val="122"/>
                      <w:rFonts w:hint="eastAsia"/>
                      <w:b w:val="0"/>
                      <w:bCs/>
                      <w:color w:val="auto"/>
                      <w:sz w:val="21"/>
                    </w:rPr>
                    <w:t>监测点位</w:t>
                  </w:r>
                </w:p>
              </w:tc>
              <w:tc>
                <w:tcPr>
                  <w:tcW w:w="3393" w:type="dxa"/>
                  <w:vAlign w:val="center"/>
                </w:tcPr>
                <w:p w14:paraId="29D037E4">
                  <w:pPr>
                    <w:pStyle w:val="19"/>
                    <w:jc w:val="center"/>
                    <w:rPr>
                      <w:rStyle w:val="122"/>
                      <w:b w:val="0"/>
                      <w:bCs/>
                      <w:color w:val="auto"/>
                      <w:sz w:val="21"/>
                    </w:rPr>
                  </w:pPr>
                  <w:r>
                    <w:rPr>
                      <w:rStyle w:val="122"/>
                      <w:rFonts w:hint="eastAsia"/>
                      <w:b w:val="0"/>
                      <w:bCs/>
                      <w:color w:val="auto"/>
                      <w:sz w:val="21"/>
                    </w:rPr>
                    <w:t>监测项目</w:t>
                  </w:r>
                </w:p>
              </w:tc>
              <w:tc>
                <w:tcPr>
                  <w:tcW w:w="1841" w:type="dxa"/>
                  <w:vAlign w:val="center"/>
                </w:tcPr>
                <w:p w14:paraId="53D2DA54">
                  <w:pPr>
                    <w:pStyle w:val="19"/>
                    <w:jc w:val="center"/>
                    <w:rPr>
                      <w:rStyle w:val="122"/>
                      <w:b w:val="0"/>
                      <w:bCs/>
                      <w:color w:val="auto"/>
                      <w:sz w:val="21"/>
                    </w:rPr>
                  </w:pPr>
                  <w:r>
                    <w:rPr>
                      <w:rStyle w:val="122"/>
                      <w:rFonts w:hint="eastAsia"/>
                      <w:b w:val="0"/>
                      <w:bCs/>
                      <w:color w:val="auto"/>
                      <w:sz w:val="21"/>
                    </w:rPr>
                    <w:t>监测频次</w:t>
                  </w:r>
                </w:p>
              </w:tc>
            </w:tr>
            <w:tr w14:paraId="6E11546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77" w:type="dxa"/>
                  <w:vMerge w:val="restart"/>
                  <w:vAlign w:val="center"/>
                </w:tcPr>
                <w:p w14:paraId="7E87EDC3">
                  <w:pPr>
                    <w:pStyle w:val="19"/>
                    <w:jc w:val="center"/>
                    <w:rPr>
                      <w:rStyle w:val="122"/>
                      <w:rFonts w:hint="eastAsia" w:eastAsia="宋体"/>
                      <w:b w:val="0"/>
                      <w:bCs/>
                      <w:color w:val="auto"/>
                      <w:sz w:val="21"/>
                      <w:lang w:eastAsia="zh-CN"/>
                    </w:rPr>
                  </w:pPr>
                  <w:r>
                    <w:rPr>
                      <w:rStyle w:val="122"/>
                      <w:rFonts w:hint="eastAsia"/>
                      <w:b w:val="0"/>
                      <w:bCs/>
                      <w:color w:val="auto"/>
                      <w:sz w:val="21"/>
                      <w:lang w:eastAsia="zh-CN"/>
                    </w:rPr>
                    <w:t>废气</w:t>
                  </w:r>
                </w:p>
              </w:tc>
              <w:tc>
                <w:tcPr>
                  <w:tcW w:w="1728" w:type="dxa"/>
                  <w:vAlign w:val="center"/>
                </w:tcPr>
                <w:p w14:paraId="30E568D4">
                  <w:pPr>
                    <w:pStyle w:val="19"/>
                    <w:jc w:val="center"/>
                    <w:rPr>
                      <w:rFonts w:hint="default" w:ascii="Times New Roman" w:hAnsi="Times New Roman" w:eastAsia="宋体" w:cs="Times New Roman"/>
                      <w:b w:val="0"/>
                      <w:bCs/>
                      <w:color w:val="auto"/>
                      <w:kern w:val="0"/>
                      <w:sz w:val="21"/>
                      <w:szCs w:val="21"/>
                      <w:lang w:val="en-US" w:eastAsia="zh-CN" w:bidi="ar-SA"/>
                    </w:rPr>
                  </w:pPr>
                  <w:r>
                    <w:rPr>
                      <w:rStyle w:val="122"/>
                      <w:rFonts w:hint="eastAsia"/>
                      <w:b w:val="0"/>
                      <w:bCs/>
                      <w:color w:val="auto"/>
                      <w:sz w:val="21"/>
                      <w:lang w:val="en-US" w:eastAsia="zh-CN"/>
                    </w:rPr>
                    <w:t>DA001</w:t>
                  </w:r>
                </w:p>
              </w:tc>
              <w:tc>
                <w:tcPr>
                  <w:tcW w:w="3393" w:type="dxa"/>
                  <w:vAlign w:val="center"/>
                </w:tcPr>
                <w:p w14:paraId="63CBA28F">
                  <w:pPr>
                    <w:pStyle w:val="19"/>
                    <w:jc w:val="center"/>
                    <w:rPr>
                      <w:rFonts w:hint="default" w:ascii="Times New Roman" w:hAnsi="Times New Roman" w:eastAsia="宋体" w:cs="Times New Roman"/>
                      <w:b w:val="0"/>
                      <w:bCs/>
                      <w:color w:val="auto"/>
                      <w:kern w:val="0"/>
                      <w:sz w:val="21"/>
                      <w:szCs w:val="21"/>
                      <w:lang w:val="en-US" w:eastAsia="zh-CN" w:bidi="ar-SA"/>
                    </w:rPr>
                  </w:pPr>
                  <w:r>
                    <w:rPr>
                      <w:rStyle w:val="122"/>
                      <w:rFonts w:hint="eastAsia"/>
                      <w:b w:val="0"/>
                      <w:bCs/>
                      <w:color w:val="auto"/>
                      <w:sz w:val="21"/>
                      <w:lang w:val="en-US" w:eastAsia="zh-CN"/>
                    </w:rPr>
                    <w:t>颗粒物</w:t>
                  </w:r>
                </w:p>
              </w:tc>
              <w:tc>
                <w:tcPr>
                  <w:tcW w:w="1841" w:type="dxa"/>
                  <w:vAlign w:val="center"/>
                </w:tcPr>
                <w:p w14:paraId="2C1DD77C">
                  <w:pPr>
                    <w:pStyle w:val="19"/>
                    <w:jc w:val="center"/>
                    <w:rPr>
                      <w:rStyle w:val="122"/>
                      <w:rFonts w:hint="default" w:eastAsia="宋体"/>
                      <w:b w:val="0"/>
                      <w:bCs/>
                      <w:color w:val="auto"/>
                      <w:sz w:val="21"/>
                      <w:lang w:val="en-US" w:eastAsia="zh-CN"/>
                    </w:rPr>
                  </w:pPr>
                  <w:r>
                    <w:rPr>
                      <w:rStyle w:val="122"/>
                      <w:rFonts w:hint="eastAsia"/>
                      <w:b w:val="0"/>
                      <w:bCs/>
                      <w:color w:val="auto"/>
                      <w:sz w:val="21"/>
                      <w:lang w:val="en-US" w:eastAsia="zh-CN"/>
                    </w:rPr>
                    <w:t>1次/</w:t>
                  </w:r>
                  <w:r>
                    <w:rPr>
                      <w:rStyle w:val="122"/>
                      <w:rFonts w:hint="eastAsia"/>
                      <w:b w:val="0"/>
                      <w:bCs/>
                      <w:color w:val="auto"/>
                      <w:sz w:val="21"/>
                      <w:lang w:eastAsia="zh-CN"/>
                    </w:rPr>
                    <w:t>年</w:t>
                  </w:r>
                </w:p>
              </w:tc>
            </w:tr>
            <w:tr w14:paraId="3C8B235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77" w:type="dxa"/>
                  <w:vMerge w:val="continue"/>
                  <w:vAlign w:val="center"/>
                </w:tcPr>
                <w:p w14:paraId="20448BFE">
                  <w:pPr>
                    <w:pStyle w:val="19"/>
                    <w:jc w:val="center"/>
                    <w:rPr>
                      <w:rStyle w:val="122"/>
                      <w:rFonts w:hint="eastAsia"/>
                      <w:b w:val="0"/>
                      <w:bCs/>
                      <w:color w:val="auto"/>
                      <w:sz w:val="21"/>
                      <w:lang w:eastAsia="zh-CN"/>
                    </w:rPr>
                  </w:pPr>
                </w:p>
              </w:tc>
              <w:tc>
                <w:tcPr>
                  <w:tcW w:w="1728" w:type="dxa"/>
                  <w:vAlign w:val="center"/>
                </w:tcPr>
                <w:p w14:paraId="19860BCB">
                  <w:pPr>
                    <w:pStyle w:val="19"/>
                    <w:jc w:val="center"/>
                    <w:rPr>
                      <w:rStyle w:val="122"/>
                      <w:rFonts w:hint="default"/>
                      <w:b w:val="0"/>
                      <w:bCs/>
                      <w:color w:val="auto"/>
                      <w:sz w:val="21"/>
                      <w:lang w:val="en-US" w:eastAsia="zh-CN"/>
                    </w:rPr>
                  </w:pPr>
                  <w:r>
                    <w:rPr>
                      <w:rStyle w:val="122"/>
                      <w:rFonts w:hint="eastAsia"/>
                      <w:b w:val="0"/>
                      <w:bCs/>
                      <w:color w:val="auto"/>
                      <w:sz w:val="21"/>
                      <w:lang w:val="en-US" w:eastAsia="zh-CN"/>
                    </w:rPr>
                    <w:t>DA002</w:t>
                  </w:r>
                </w:p>
              </w:tc>
              <w:tc>
                <w:tcPr>
                  <w:tcW w:w="3393" w:type="dxa"/>
                  <w:vAlign w:val="center"/>
                </w:tcPr>
                <w:p w14:paraId="0D750CBA">
                  <w:pPr>
                    <w:pStyle w:val="19"/>
                    <w:jc w:val="center"/>
                    <w:rPr>
                      <w:rStyle w:val="122"/>
                      <w:rFonts w:hint="eastAsia"/>
                      <w:b w:val="0"/>
                      <w:bCs/>
                      <w:color w:val="auto"/>
                      <w:sz w:val="21"/>
                      <w:lang w:val="en-US" w:eastAsia="zh-CN"/>
                    </w:rPr>
                  </w:pPr>
                  <w:r>
                    <w:rPr>
                      <w:rStyle w:val="122"/>
                      <w:rFonts w:hint="eastAsia"/>
                      <w:b w:val="0"/>
                      <w:bCs/>
                      <w:color w:val="auto"/>
                      <w:sz w:val="21"/>
                      <w:lang w:val="en-US" w:eastAsia="zh-CN"/>
                    </w:rPr>
                    <w:t>颗粒物</w:t>
                  </w:r>
                </w:p>
              </w:tc>
              <w:tc>
                <w:tcPr>
                  <w:tcW w:w="1841" w:type="dxa"/>
                  <w:vAlign w:val="center"/>
                </w:tcPr>
                <w:p w14:paraId="703A48E3">
                  <w:pPr>
                    <w:pStyle w:val="19"/>
                    <w:jc w:val="center"/>
                    <w:rPr>
                      <w:rStyle w:val="122"/>
                      <w:rFonts w:hint="eastAsia"/>
                      <w:b w:val="0"/>
                      <w:bCs/>
                      <w:color w:val="auto"/>
                      <w:sz w:val="21"/>
                      <w:lang w:val="en-US" w:eastAsia="zh-CN"/>
                    </w:rPr>
                  </w:pPr>
                  <w:r>
                    <w:rPr>
                      <w:rStyle w:val="122"/>
                      <w:rFonts w:hint="eastAsia"/>
                      <w:b w:val="0"/>
                      <w:bCs/>
                      <w:color w:val="auto"/>
                      <w:sz w:val="21"/>
                      <w:lang w:val="en-US" w:eastAsia="zh-CN"/>
                    </w:rPr>
                    <w:t>1次/</w:t>
                  </w:r>
                  <w:r>
                    <w:rPr>
                      <w:rStyle w:val="122"/>
                      <w:rFonts w:hint="eastAsia"/>
                      <w:b w:val="0"/>
                      <w:bCs/>
                      <w:color w:val="auto"/>
                      <w:sz w:val="21"/>
                      <w:lang w:eastAsia="zh-CN"/>
                    </w:rPr>
                    <w:t>年</w:t>
                  </w:r>
                </w:p>
              </w:tc>
            </w:tr>
            <w:tr w14:paraId="7711B80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77" w:type="dxa"/>
                  <w:vMerge w:val="continue"/>
                  <w:vAlign w:val="center"/>
                </w:tcPr>
                <w:p w14:paraId="258EB25B">
                  <w:pPr>
                    <w:pStyle w:val="19"/>
                    <w:jc w:val="center"/>
                    <w:rPr>
                      <w:rStyle w:val="122"/>
                      <w:rFonts w:hint="eastAsia"/>
                      <w:b w:val="0"/>
                      <w:bCs/>
                      <w:color w:val="auto"/>
                      <w:sz w:val="21"/>
                      <w:lang w:eastAsia="zh-CN"/>
                    </w:rPr>
                  </w:pPr>
                </w:p>
              </w:tc>
              <w:tc>
                <w:tcPr>
                  <w:tcW w:w="1728" w:type="dxa"/>
                  <w:vAlign w:val="center"/>
                </w:tcPr>
                <w:p w14:paraId="3D55CCB4">
                  <w:pPr>
                    <w:pStyle w:val="19"/>
                    <w:jc w:val="center"/>
                    <w:rPr>
                      <w:rStyle w:val="122"/>
                      <w:rFonts w:hint="default"/>
                      <w:b w:val="0"/>
                      <w:bCs/>
                      <w:color w:val="auto"/>
                      <w:sz w:val="21"/>
                      <w:lang w:val="en-US" w:eastAsia="zh-CN"/>
                    </w:rPr>
                  </w:pPr>
                  <w:r>
                    <w:rPr>
                      <w:rStyle w:val="122"/>
                      <w:rFonts w:hint="eastAsia"/>
                      <w:b w:val="0"/>
                      <w:bCs/>
                      <w:color w:val="auto"/>
                      <w:sz w:val="21"/>
                      <w:lang w:val="en-US" w:eastAsia="zh-CN"/>
                    </w:rPr>
                    <w:t>DA003</w:t>
                  </w:r>
                </w:p>
              </w:tc>
              <w:tc>
                <w:tcPr>
                  <w:tcW w:w="3393" w:type="dxa"/>
                  <w:vAlign w:val="center"/>
                </w:tcPr>
                <w:p w14:paraId="2EFE990A">
                  <w:pPr>
                    <w:pStyle w:val="19"/>
                    <w:jc w:val="center"/>
                    <w:rPr>
                      <w:rStyle w:val="122"/>
                      <w:rFonts w:hint="eastAsia"/>
                      <w:b w:val="0"/>
                      <w:bCs/>
                      <w:color w:val="auto"/>
                      <w:sz w:val="21"/>
                      <w:lang w:val="en-US" w:eastAsia="zh-CN"/>
                    </w:rPr>
                  </w:pPr>
                  <w:r>
                    <w:rPr>
                      <w:rStyle w:val="122"/>
                      <w:rFonts w:hint="eastAsia"/>
                      <w:b w:val="0"/>
                      <w:bCs/>
                      <w:color w:val="auto"/>
                      <w:sz w:val="21"/>
                      <w:lang w:val="en-US" w:eastAsia="zh-CN"/>
                    </w:rPr>
                    <w:t>颗粒物</w:t>
                  </w:r>
                </w:p>
              </w:tc>
              <w:tc>
                <w:tcPr>
                  <w:tcW w:w="1841" w:type="dxa"/>
                  <w:vAlign w:val="center"/>
                </w:tcPr>
                <w:p w14:paraId="00A74B43">
                  <w:pPr>
                    <w:pStyle w:val="19"/>
                    <w:jc w:val="center"/>
                    <w:rPr>
                      <w:rStyle w:val="122"/>
                      <w:rFonts w:hint="eastAsia"/>
                      <w:b w:val="0"/>
                      <w:bCs/>
                      <w:color w:val="auto"/>
                      <w:sz w:val="21"/>
                      <w:lang w:val="en-US" w:eastAsia="zh-CN"/>
                    </w:rPr>
                  </w:pPr>
                  <w:r>
                    <w:rPr>
                      <w:rStyle w:val="122"/>
                      <w:rFonts w:hint="eastAsia"/>
                      <w:b w:val="0"/>
                      <w:bCs/>
                      <w:color w:val="auto"/>
                      <w:sz w:val="21"/>
                      <w:lang w:val="en-US" w:eastAsia="zh-CN"/>
                    </w:rPr>
                    <w:t>1次/</w:t>
                  </w:r>
                  <w:r>
                    <w:rPr>
                      <w:rStyle w:val="122"/>
                      <w:rFonts w:hint="eastAsia"/>
                      <w:b w:val="0"/>
                      <w:bCs/>
                      <w:color w:val="auto"/>
                      <w:sz w:val="21"/>
                      <w:lang w:eastAsia="zh-CN"/>
                    </w:rPr>
                    <w:t>年</w:t>
                  </w:r>
                </w:p>
              </w:tc>
            </w:tr>
            <w:tr w14:paraId="4D95FD3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77" w:type="dxa"/>
                  <w:vMerge w:val="continue"/>
                  <w:vAlign w:val="center"/>
                </w:tcPr>
                <w:p w14:paraId="14C530D5">
                  <w:pPr>
                    <w:pStyle w:val="19"/>
                    <w:jc w:val="center"/>
                    <w:rPr>
                      <w:rStyle w:val="122"/>
                      <w:rFonts w:hint="eastAsia"/>
                      <w:b w:val="0"/>
                      <w:bCs/>
                      <w:color w:val="auto"/>
                      <w:sz w:val="21"/>
                      <w:lang w:eastAsia="zh-CN"/>
                    </w:rPr>
                  </w:pPr>
                </w:p>
              </w:tc>
              <w:tc>
                <w:tcPr>
                  <w:tcW w:w="1728" w:type="dxa"/>
                  <w:vAlign w:val="center"/>
                </w:tcPr>
                <w:p w14:paraId="72AF25AE">
                  <w:pPr>
                    <w:pStyle w:val="19"/>
                    <w:jc w:val="center"/>
                    <w:rPr>
                      <w:rStyle w:val="122"/>
                      <w:rFonts w:hint="default"/>
                      <w:b w:val="0"/>
                      <w:bCs/>
                      <w:color w:val="auto"/>
                      <w:sz w:val="21"/>
                      <w:lang w:val="en-US" w:eastAsia="zh-CN"/>
                    </w:rPr>
                  </w:pPr>
                  <w:r>
                    <w:rPr>
                      <w:rStyle w:val="122"/>
                      <w:rFonts w:hint="eastAsia"/>
                      <w:b w:val="0"/>
                      <w:bCs/>
                      <w:color w:val="auto"/>
                      <w:sz w:val="21"/>
                      <w:lang w:val="en-US" w:eastAsia="zh-CN"/>
                    </w:rPr>
                    <w:t>DA004</w:t>
                  </w:r>
                </w:p>
              </w:tc>
              <w:tc>
                <w:tcPr>
                  <w:tcW w:w="3393" w:type="dxa"/>
                  <w:vAlign w:val="center"/>
                </w:tcPr>
                <w:p w14:paraId="7666EC4C">
                  <w:pPr>
                    <w:pStyle w:val="19"/>
                    <w:jc w:val="center"/>
                    <w:rPr>
                      <w:rStyle w:val="122"/>
                      <w:rFonts w:hint="eastAsia"/>
                      <w:b w:val="0"/>
                      <w:bCs/>
                      <w:color w:val="auto"/>
                      <w:sz w:val="21"/>
                      <w:lang w:val="en-US" w:eastAsia="zh-CN"/>
                    </w:rPr>
                  </w:pPr>
                  <w:r>
                    <w:rPr>
                      <w:rStyle w:val="122"/>
                      <w:rFonts w:hint="eastAsia"/>
                      <w:b w:val="0"/>
                      <w:bCs/>
                      <w:color w:val="auto"/>
                      <w:sz w:val="21"/>
                      <w:lang w:val="en-US" w:eastAsia="zh-CN"/>
                    </w:rPr>
                    <w:t>烟尘、二氧化硫、氮氧化物</w:t>
                  </w:r>
                </w:p>
              </w:tc>
              <w:tc>
                <w:tcPr>
                  <w:tcW w:w="1841" w:type="dxa"/>
                  <w:vAlign w:val="center"/>
                </w:tcPr>
                <w:p w14:paraId="6355A4BD">
                  <w:pPr>
                    <w:pStyle w:val="19"/>
                    <w:jc w:val="center"/>
                    <w:rPr>
                      <w:rStyle w:val="122"/>
                      <w:rFonts w:hint="eastAsia"/>
                      <w:b w:val="0"/>
                      <w:bCs/>
                      <w:color w:val="auto"/>
                      <w:sz w:val="21"/>
                      <w:lang w:val="en-US" w:eastAsia="zh-CN"/>
                    </w:rPr>
                  </w:pPr>
                  <w:r>
                    <w:rPr>
                      <w:rStyle w:val="122"/>
                      <w:rFonts w:hint="eastAsia"/>
                      <w:b w:val="0"/>
                      <w:bCs/>
                      <w:color w:val="auto"/>
                      <w:sz w:val="21"/>
                      <w:lang w:val="en-US" w:eastAsia="zh-CN"/>
                    </w:rPr>
                    <w:t>1次/</w:t>
                  </w:r>
                  <w:r>
                    <w:rPr>
                      <w:rStyle w:val="122"/>
                      <w:rFonts w:hint="eastAsia"/>
                      <w:b w:val="0"/>
                      <w:bCs/>
                      <w:color w:val="auto"/>
                      <w:sz w:val="21"/>
                      <w:lang w:eastAsia="zh-CN"/>
                    </w:rPr>
                    <w:t>年</w:t>
                  </w:r>
                </w:p>
              </w:tc>
            </w:tr>
            <w:tr w14:paraId="694C929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77" w:type="dxa"/>
                  <w:vMerge w:val="continue"/>
                  <w:vAlign w:val="center"/>
                </w:tcPr>
                <w:p w14:paraId="1D14161C">
                  <w:pPr>
                    <w:pStyle w:val="19"/>
                    <w:jc w:val="center"/>
                    <w:rPr>
                      <w:rStyle w:val="122"/>
                      <w:rFonts w:hint="eastAsia"/>
                      <w:b w:val="0"/>
                      <w:bCs/>
                      <w:color w:val="auto"/>
                      <w:sz w:val="21"/>
                      <w:lang w:eastAsia="zh-CN"/>
                    </w:rPr>
                  </w:pPr>
                </w:p>
              </w:tc>
              <w:tc>
                <w:tcPr>
                  <w:tcW w:w="1728" w:type="dxa"/>
                  <w:vAlign w:val="center"/>
                </w:tcPr>
                <w:p w14:paraId="327C6731">
                  <w:pPr>
                    <w:pStyle w:val="19"/>
                    <w:jc w:val="center"/>
                    <w:rPr>
                      <w:rStyle w:val="122"/>
                      <w:rFonts w:hint="default"/>
                      <w:b w:val="0"/>
                      <w:bCs/>
                      <w:color w:val="auto"/>
                      <w:sz w:val="21"/>
                      <w:lang w:val="en-US" w:eastAsia="zh-CN"/>
                    </w:rPr>
                  </w:pPr>
                  <w:r>
                    <w:rPr>
                      <w:rStyle w:val="122"/>
                      <w:rFonts w:hint="eastAsia"/>
                      <w:b w:val="0"/>
                      <w:bCs/>
                      <w:color w:val="auto"/>
                      <w:sz w:val="21"/>
                      <w:lang w:val="en-US" w:eastAsia="zh-CN"/>
                    </w:rPr>
                    <w:t>厂界</w:t>
                  </w:r>
                </w:p>
              </w:tc>
              <w:tc>
                <w:tcPr>
                  <w:tcW w:w="3393" w:type="dxa"/>
                  <w:vAlign w:val="center"/>
                </w:tcPr>
                <w:p w14:paraId="3835EFB1">
                  <w:pPr>
                    <w:pStyle w:val="19"/>
                    <w:jc w:val="center"/>
                    <w:rPr>
                      <w:rStyle w:val="122"/>
                      <w:rFonts w:hint="eastAsia"/>
                      <w:b w:val="0"/>
                      <w:bCs/>
                      <w:color w:val="auto"/>
                      <w:sz w:val="21"/>
                      <w:lang w:val="en-US" w:eastAsia="zh-CN"/>
                    </w:rPr>
                  </w:pPr>
                  <w:r>
                    <w:rPr>
                      <w:rStyle w:val="122"/>
                      <w:rFonts w:hint="eastAsia"/>
                      <w:b w:val="0"/>
                      <w:bCs/>
                      <w:color w:val="auto"/>
                      <w:sz w:val="21"/>
                      <w:lang w:val="en-US" w:eastAsia="zh-CN"/>
                    </w:rPr>
                    <w:t>颗粒物、二氧化硫、氮氧化物</w:t>
                  </w:r>
                </w:p>
              </w:tc>
              <w:tc>
                <w:tcPr>
                  <w:tcW w:w="1841" w:type="dxa"/>
                  <w:vAlign w:val="center"/>
                </w:tcPr>
                <w:p w14:paraId="04169865">
                  <w:pPr>
                    <w:pStyle w:val="19"/>
                    <w:jc w:val="center"/>
                    <w:rPr>
                      <w:rStyle w:val="122"/>
                      <w:rFonts w:hint="eastAsia"/>
                      <w:b w:val="0"/>
                      <w:bCs/>
                      <w:color w:val="auto"/>
                      <w:sz w:val="21"/>
                      <w:lang w:val="en-US" w:eastAsia="zh-CN"/>
                    </w:rPr>
                  </w:pPr>
                  <w:r>
                    <w:rPr>
                      <w:rStyle w:val="122"/>
                      <w:rFonts w:hint="eastAsia"/>
                      <w:b w:val="0"/>
                      <w:bCs/>
                      <w:color w:val="auto"/>
                      <w:sz w:val="21"/>
                      <w:lang w:val="en-US" w:eastAsia="zh-CN"/>
                    </w:rPr>
                    <w:t>1次/</w:t>
                  </w:r>
                  <w:r>
                    <w:rPr>
                      <w:rStyle w:val="122"/>
                      <w:rFonts w:hint="eastAsia"/>
                      <w:b w:val="0"/>
                      <w:bCs/>
                      <w:color w:val="auto"/>
                      <w:sz w:val="21"/>
                      <w:lang w:eastAsia="zh-CN"/>
                    </w:rPr>
                    <w:t>年</w:t>
                  </w:r>
                </w:p>
              </w:tc>
            </w:tr>
          </w:tbl>
          <w:p w14:paraId="381A974C">
            <w:pPr>
              <w:pStyle w:val="4"/>
              <w:keepNext w:val="0"/>
              <w:keepLines w:val="0"/>
              <w:pageBreakBefore w:val="0"/>
              <w:widowControl w:val="0"/>
              <w:kinsoku/>
              <w:wordWrap/>
              <w:overflowPunct/>
              <w:topLinePunct w:val="0"/>
              <w:autoSpaceDE/>
              <w:autoSpaceDN/>
              <w:bidi w:val="0"/>
              <w:adjustRightInd/>
              <w:snapToGrid/>
              <w:spacing w:before="157" w:beforeLines="50"/>
              <w:ind w:firstLine="120"/>
              <w:textAlignment w:val="auto"/>
              <w:rPr>
                <w:rFonts w:hint="default"/>
                <w:color w:val="auto"/>
              </w:rPr>
            </w:pPr>
            <w:r>
              <w:rPr>
                <w:color w:val="auto"/>
              </w:rPr>
              <w:t>4.2</w:t>
            </w:r>
            <w:r>
              <w:rPr>
                <w:rFonts w:hint="eastAsia"/>
                <w:color w:val="auto"/>
                <w:lang w:val="en-US" w:eastAsia="zh-CN"/>
              </w:rPr>
              <w:t>.3</w:t>
            </w:r>
            <w:r>
              <w:rPr>
                <w:color w:val="auto"/>
              </w:rPr>
              <w:t>运营期</w:t>
            </w:r>
            <w:r>
              <w:rPr>
                <w:rFonts w:hint="eastAsia"/>
                <w:color w:val="auto"/>
                <w:lang w:eastAsia="zh-CN"/>
              </w:rPr>
              <w:t>噪声</w:t>
            </w:r>
            <w:r>
              <w:rPr>
                <w:color w:val="auto"/>
              </w:rPr>
              <w:t>环境影响分析和污染防治措施</w:t>
            </w:r>
          </w:p>
          <w:p w14:paraId="3132AEB8">
            <w:pPr>
              <w:pStyle w:val="83"/>
              <w:keepNext w:val="0"/>
              <w:keepLines w:val="0"/>
              <w:pageBreakBefore w:val="0"/>
              <w:widowControl w:val="0"/>
              <w:kinsoku/>
              <w:wordWrap/>
              <w:overflowPunct/>
              <w:topLinePunct w:val="0"/>
              <w:autoSpaceDE/>
              <w:autoSpaceDN/>
              <w:bidi w:val="0"/>
              <w:adjustRightInd/>
              <w:snapToGrid/>
              <w:ind w:firstLine="241" w:firstLineChars="100"/>
              <w:textAlignment w:val="auto"/>
              <w:rPr>
                <w:b/>
                <w:bCs/>
                <w:color w:val="auto"/>
              </w:rPr>
            </w:pPr>
            <w:r>
              <w:rPr>
                <w:rFonts w:hint="eastAsia"/>
                <w:b/>
                <w:bCs/>
                <w:color w:val="auto"/>
              </w:rPr>
              <w:t>4.</w:t>
            </w:r>
            <w:r>
              <w:rPr>
                <w:rFonts w:hint="eastAsia"/>
                <w:b/>
                <w:bCs/>
                <w:color w:val="auto"/>
                <w:lang w:val="en-US" w:eastAsia="zh-CN"/>
              </w:rPr>
              <w:t>2.3.1</w:t>
            </w:r>
            <w:r>
              <w:rPr>
                <w:rFonts w:hint="eastAsia"/>
                <w:b/>
                <w:bCs/>
                <w:color w:val="auto"/>
              </w:rPr>
              <w:t>噪声污染源及源强分析</w:t>
            </w:r>
          </w:p>
          <w:p w14:paraId="55BBEF21">
            <w:pPr>
              <w:pStyle w:val="83"/>
              <w:ind w:firstLine="480"/>
              <w:rPr>
                <w:color w:val="auto"/>
              </w:rPr>
            </w:pPr>
            <w:r>
              <w:rPr>
                <w:rFonts w:hint="eastAsia"/>
                <w:color w:val="auto"/>
                <w:lang w:eastAsia="zh-CN"/>
              </w:rPr>
              <w:t>项目</w:t>
            </w:r>
            <w:r>
              <w:rPr>
                <w:color w:val="auto"/>
              </w:rPr>
              <w:t>营运期主要的噪声源为</w:t>
            </w:r>
            <w:r>
              <w:rPr>
                <w:rFonts w:hint="eastAsia"/>
                <w:color w:val="auto"/>
                <w:lang w:eastAsia="zh-CN"/>
              </w:rPr>
              <w:t>钣金工艺中切割、打磨、抛丸、喷砂等工序以及组装工艺中配件组装时产生的噪声</w:t>
            </w:r>
            <w:r>
              <w:rPr>
                <w:rFonts w:hint="eastAsia"/>
                <w:color w:val="auto"/>
              </w:rPr>
              <w:t>。</w:t>
            </w:r>
            <w:r>
              <w:rPr>
                <w:rFonts w:hint="eastAsia"/>
                <w:color w:val="auto"/>
                <w:lang w:eastAsia="zh-CN"/>
              </w:rPr>
              <w:t>本次项目钣金工艺、测试房均位于</w:t>
            </w:r>
            <w:r>
              <w:rPr>
                <w:rFonts w:hint="eastAsia"/>
                <w:color w:val="auto"/>
                <w:lang w:val="en-US" w:eastAsia="zh-CN"/>
              </w:rPr>
              <w:t>2#厂房内，</w:t>
            </w:r>
            <w:r>
              <w:rPr>
                <w:color w:val="auto"/>
              </w:rPr>
              <w:t>根据对同类设备的类比，确定主要声源的噪声等级如</w:t>
            </w:r>
            <w:r>
              <w:rPr>
                <w:rFonts w:hint="eastAsia"/>
                <w:color w:val="auto"/>
                <w:lang w:eastAsia="zh-CN"/>
              </w:rPr>
              <w:t>表</w:t>
            </w:r>
            <w:r>
              <w:rPr>
                <w:rFonts w:hint="eastAsia"/>
                <w:color w:val="auto"/>
                <w:lang w:val="en-US" w:eastAsia="zh-CN"/>
              </w:rPr>
              <w:t>4.2-6</w:t>
            </w:r>
            <w:r>
              <w:rPr>
                <w:rFonts w:hint="eastAsia"/>
                <w:color w:val="auto"/>
              </w:rPr>
              <w:t>。</w:t>
            </w:r>
          </w:p>
          <w:p w14:paraId="5352F047">
            <w:pPr>
              <w:widowControl/>
              <w:spacing w:line="360" w:lineRule="auto"/>
              <w:ind w:firstLine="380" w:firstLineChars="200"/>
              <w:rPr>
                <w:rFonts w:hint="eastAsia" w:ascii="宋体" w:hAnsi="宋体" w:cs="宋体"/>
                <w:bCs/>
                <w:color w:val="auto"/>
                <w:spacing w:val="-10"/>
                <w:szCs w:val="21"/>
              </w:rPr>
            </w:pPr>
          </w:p>
        </w:tc>
      </w:tr>
    </w:tbl>
    <w:p w14:paraId="59E44EF6">
      <w:pPr>
        <w:adjustRightInd w:val="0"/>
        <w:snapToGrid w:val="0"/>
        <w:spacing w:line="360" w:lineRule="auto"/>
        <w:jc w:val="center"/>
        <w:rPr>
          <w:rFonts w:ascii="宋体" w:cs="宋体"/>
          <w:b/>
          <w:color w:val="auto"/>
          <w:kern w:val="0"/>
          <w:sz w:val="28"/>
          <w:szCs w:val="28"/>
        </w:rPr>
        <w:sectPr>
          <w:pgSz w:w="11907" w:h="16840"/>
          <w:pgMar w:top="1531" w:right="1134" w:bottom="1531" w:left="1134"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32"/>
        <w:tblW w:w="146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1"/>
        <w:gridCol w:w="14097"/>
      </w:tblGrid>
      <w:tr w14:paraId="74050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7" w:hRule="atLeast"/>
          <w:jc w:val="center"/>
        </w:trPr>
        <w:tc>
          <w:tcPr>
            <w:tcW w:w="601" w:type="dxa"/>
          </w:tcPr>
          <w:p w14:paraId="10C9B4E9">
            <w:pPr>
              <w:pStyle w:val="15"/>
              <w:rPr>
                <w:rFonts w:ascii="Times New Roman" w:hAnsi="Times New Roman" w:eastAsia="宋体"/>
                <w:bCs/>
                <w:color w:val="auto"/>
                <w:sz w:val="24"/>
              </w:rPr>
            </w:pPr>
          </w:p>
        </w:tc>
        <w:tc>
          <w:tcPr>
            <w:tcW w:w="14097" w:type="dxa"/>
          </w:tcPr>
          <w:p w14:paraId="4CD204B6">
            <w:pPr>
              <w:jc w:val="center"/>
              <w:rPr>
                <w:rFonts w:ascii="Times New Roman" w:hAnsi="Times New Roman" w:eastAsia="宋体"/>
                <w:color w:val="auto"/>
                <w:szCs w:val="21"/>
                <w:highlight w:val="none"/>
              </w:rPr>
            </w:pPr>
            <w:r>
              <w:rPr>
                <w:rFonts w:ascii="Times New Roman" w:hAnsi="Times New Roman" w:eastAsia="宋体"/>
                <w:color w:val="auto"/>
                <w:szCs w:val="21"/>
                <w:highlight w:val="none"/>
              </w:rPr>
              <w:t>表4</w:t>
            </w:r>
            <w:r>
              <w:rPr>
                <w:rFonts w:hint="eastAsia" w:ascii="Times New Roman" w:hAnsi="Times New Roman" w:eastAsia="宋体"/>
                <w:color w:val="auto"/>
                <w:szCs w:val="21"/>
                <w:highlight w:val="none"/>
                <w:lang w:val="en-US" w:eastAsia="zh-CN"/>
              </w:rPr>
              <w:t>.2</w:t>
            </w:r>
            <w:r>
              <w:rPr>
                <w:rFonts w:ascii="Times New Roman" w:hAnsi="Times New Roman" w:eastAsia="宋体"/>
                <w:color w:val="auto"/>
                <w:szCs w:val="21"/>
                <w:highlight w:val="none"/>
              </w:rPr>
              <w:t>-</w:t>
            </w:r>
            <w:r>
              <w:rPr>
                <w:rFonts w:hint="eastAsia"/>
                <w:color w:val="auto"/>
                <w:szCs w:val="21"/>
                <w:highlight w:val="none"/>
                <w:lang w:val="en-US" w:eastAsia="zh-CN"/>
              </w:rPr>
              <w:t xml:space="preserve">6 </w:t>
            </w:r>
            <w:r>
              <w:rPr>
                <w:rFonts w:hint="eastAsia" w:ascii="Times New Roman" w:hAnsi="Times New Roman" w:eastAsia="宋体"/>
                <w:color w:val="auto"/>
                <w:szCs w:val="21"/>
                <w:highlight w:val="none"/>
                <w:lang w:val="en-US" w:eastAsia="zh-CN"/>
              </w:rPr>
              <w:t xml:space="preserve"> </w:t>
            </w:r>
            <w:r>
              <w:rPr>
                <w:rFonts w:hint="eastAsia"/>
                <w:color w:val="auto"/>
                <w:szCs w:val="21"/>
                <w:highlight w:val="none"/>
                <w:lang w:val="en-US" w:eastAsia="zh-CN"/>
              </w:rPr>
              <w:t>2#厂房</w:t>
            </w:r>
            <w:r>
              <w:rPr>
                <w:rFonts w:ascii="Times New Roman" w:hAnsi="Times New Roman" w:eastAsia="宋体"/>
                <w:color w:val="auto"/>
                <w:szCs w:val="21"/>
                <w:highlight w:val="none"/>
              </w:rPr>
              <w:t>工业企业噪声源强调查清单（室内声源）</w:t>
            </w:r>
          </w:p>
          <w:tbl>
            <w:tblPr>
              <w:tblStyle w:val="31"/>
              <w:tblW w:w="13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07"/>
              <w:gridCol w:w="586"/>
              <w:gridCol w:w="750"/>
              <w:gridCol w:w="832"/>
              <w:gridCol w:w="475"/>
              <w:gridCol w:w="1282"/>
              <w:gridCol w:w="511"/>
              <w:gridCol w:w="541"/>
              <w:gridCol w:w="540"/>
              <w:gridCol w:w="420"/>
              <w:gridCol w:w="1395"/>
              <w:gridCol w:w="1470"/>
              <w:gridCol w:w="1095"/>
              <w:gridCol w:w="930"/>
              <w:gridCol w:w="1440"/>
              <w:gridCol w:w="900"/>
            </w:tblGrid>
            <w:tr w14:paraId="29DB9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07" w:type="dxa"/>
                  <w:vMerge w:val="restart"/>
                  <w:vAlign w:val="center"/>
                </w:tcPr>
                <w:p w14:paraId="0F8346D0">
                  <w:pPr>
                    <w:jc w:val="center"/>
                    <w:rPr>
                      <w:rFonts w:ascii="Times New Roman" w:hAnsi="Times New Roman" w:eastAsia="宋体"/>
                      <w:color w:val="auto"/>
                      <w:szCs w:val="21"/>
                      <w:highlight w:val="none"/>
                    </w:rPr>
                  </w:pPr>
                  <w:r>
                    <w:rPr>
                      <w:rFonts w:ascii="Times New Roman" w:hAnsi="Times New Roman" w:eastAsia="宋体"/>
                      <w:color w:val="auto"/>
                      <w:szCs w:val="21"/>
                      <w:highlight w:val="none"/>
                    </w:rPr>
                    <w:t>序号</w:t>
                  </w:r>
                </w:p>
              </w:tc>
              <w:tc>
                <w:tcPr>
                  <w:tcW w:w="586" w:type="dxa"/>
                  <w:vMerge w:val="restart"/>
                  <w:vAlign w:val="center"/>
                </w:tcPr>
                <w:p w14:paraId="7DF6CDF1">
                  <w:pPr>
                    <w:jc w:val="center"/>
                    <w:rPr>
                      <w:rFonts w:ascii="Times New Roman" w:hAnsi="Times New Roman" w:eastAsia="宋体"/>
                      <w:color w:val="auto"/>
                      <w:szCs w:val="21"/>
                      <w:highlight w:val="none"/>
                    </w:rPr>
                  </w:pPr>
                  <w:r>
                    <w:rPr>
                      <w:rFonts w:ascii="Times New Roman" w:hAnsi="Times New Roman" w:eastAsia="宋体"/>
                      <w:color w:val="auto"/>
                      <w:szCs w:val="21"/>
                      <w:highlight w:val="none"/>
                    </w:rPr>
                    <w:t>建筑物名称</w:t>
                  </w:r>
                </w:p>
              </w:tc>
              <w:tc>
                <w:tcPr>
                  <w:tcW w:w="750" w:type="dxa"/>
                  <w:vMerge w:val="restart"/>
                  <w:vAlign w:val="center"/>
                </w:tcPr>
                <w:p w14:paraId="73511AD3">
                  <w:pPr>
                    <w:jc w:val="center"/>
                    <w:rPr>
                      <w:rFonts w:ascii="Times New Roman" w:hAnsi="Times New Roman" w:eastAsia="宋体"/>
                      <w:color w:val="auto"/>
                      <w:szCs w:val="21"/>
                      <w:highlight w:val="none"/>
                    </w:rPr>
                  </w:pPr>
                  <w:r>
                    <w:rPr>
                      <w:rFonts w:ascii="Times New Roman" w:hAnsi="Times New Roman" w:eastAsia="宋体"/>
                      <w:color w:val="auto"/>
                      <w:szCs w:val="21"/>
                      <w:highlight w:val="none"/>
                    </w:rPr>
                    <w:t>声源名称</w:t>
                  </w:r>
                </w:p>
              </w:tc>
              <w:tc>
                <w:tcPr>
                  <w:tcW w:w="832" w:type="dxa"/>
                  <w:vMerge w:val="restart"/>
                  <w:vAlign w:val="center"/>
                </w:tcPr>
                <w:p w14:paraId="5ABF9161">
                  <w:pPr>
                    <w:jc w:val="center"/>
                    <w:rPr>
                      <w:rFonts w:hint="eastAsia" w:ascii="Times New Roman" w:hAnsi="Times New Roman" w:eastAsia="宋体"/>
                      <w:color w:val="auto"/>
                      <w:szCs w:val="21"/>
                      <w:highlight w:val="none"/>
                      <w:lang w:val="en-US" w:eastAsia="zh-CN"/>
                    </w:rPr>
                  </w:pPr>
                  <w:r>
                    <w:rPr>
                      <w:rFonts w:hint="eastAsia" w:ascii="Times New Roman" w:hAnsi="Times New Roman" w:eastAsia="宋体"/>
                      <w:color w:val="auto"/>
                      <w:szCs w:val="21"/>
                      <w:highlight w:val="none"/>
                      <w:lang w:val="en-US" w:eastAsia="zh-CN"/>
                    </w:rPr>
                    <w:t>设备数量</w:t>
                  </w:r>
                </w:p>
              </w:tc>
              <w:tc>
                <w:tcPr>
                  <w:tcW w:w="1757" w:type="dxa"/>
                  <w:gridSpan w:val="2"/>
                  <w:vAlign w:val="center"/>
                </w:tcPr>
                <w:p w14:paraId="4AE8EE13">
                  <w:pPr>
                    <w:jc w:val="center"/>
                    <w:rPr>
                      <w:rFonts w:ascii="Times New Roman" w:hAnsi="Times New Roman" w:eastAsia="宋体"/>
                      <w:color w:val="auto"/>
                      <w:szCs w:val="21"/>
                      <w:highlight w:val="none"/>
                    </w:rPr>
                  </w:pPr>
                  <w:r>
                    <w:rPr>
                      <w:rFonts w:ascii="Times New Roman" w:hAnsi="Times New Roman" w:eastAsia="宋体"/>
                      <w:color w:val="auto"/>
                      <w:szCs w:val="21"/>
                      <w:highlight w:val="none"/>
                    </w:rPr>
                    <w:t>声源源强（任选一种）</w:t>
                  </w:r>
                </w:p>
              </w:tc>
              <w:tc>
                <w:tcPr>
                  <w:tcW w:w="511" w:type="dxa"/>
                  <w:vMerge w:val="restart"/>
                  <w:vAlign w:val="center"/>
                </w:tcPr>
                <w:p w14:paraId="26A96C9E">
                  <w:pPr>
                    <w:jc w:val="center"/>
                    <w:rPr>
                      <w:rFonts w:ascii="Times New Roman" w:hAnsi="Times New Roman" w:eastAsia="宋体"/>
                      <w:color w:val="auto"/>
                      <w:szCs w:val="21"/>
                      <w:highlight w:val="none"/>
                    </w:rPr>
                  </w:pPr>
                  <w:r>
                    <w:rPr>
                      <w:rFonts w:ascii="Times New Roman" w:hAnsi="Times New Roman" w:eastAsia="宋体"/>
                      <w:color w:val="auto"/>
                      <w:szCs w:val="21"/>
                      <w:highlight w:val="none"/>
                    </w:rPr>
                    <w:t>声源控制措施</w:t>
                  </w:r>
                </w:p>
              </w:tc>
              <w:tc>
                <w:tcPr>
                  <w:tcW w:w="1501" w:type="dxa"/>
                  <w:gridSpan w:val="3"/>
                  <w:vAlign w:val="center"/>
                </w:tcPr>
                <w:p w14:paraId="0CF05ED6">
                  <w:pPr>
                    <w:jc w:val="center"/>
                    <w:rPr>
                      <w:rFonts w:ascii="Times New Roman" w:hAnsi="Times New Roman" w:eastAsia="宋体"/>
                      <w:color w:val="auto"/>
                      <w:szCs w:val="21"/>
                      <w:highlight w:val="none"/>
                    </w:rPr>
                  </w:pPr>
                  <w:r>
                    <w:rPr>
                      <w:rFonts w:ascii="Times New Roman" w:hAnsi="Times New Roman" w:eastAsia="宋体"/>
                      <w:color w:val="auto"/>
                      <w:szCs w:val="21"/>
                      <w:highlight w:val="none"/>
                    </w:rPr>
                    <w:t>空间相对位置/m</w:t>
                  </w:r>
                </w:p>
              </w:tc>
              <w:tc>
                <w:tcPr>
                  <w:tcW w:w="1395" w:type="dxa"/>
                  <w:vMerge w:val="restart"/>
                  <w:vAlign w:val="center"/>
                </w:tcPr>
                <w:p w14:paraId="3E1CD1CB">
                  <w:pPr>
                    <w:jc w:val="center"/>
                    <w:rPr>
                      <w:rFonts w:ascii="Times New Roman" w:hAnsi="Times New Roman" w:eastAsia="宋体"/>
                      <w:color w:val="auto"/>
                      <w:szCs w:val="21"/>
                      <w:highlight w:val="none"/>
                    </w:rPr>
                  </w:pPr>
                  <w:r>
                    <w:rPr>
                      <w:rFonts w:ascii="Times New Roman" w:hAnsi="Times New Roman" w:eastAsia="宋体"/>
                      <w:color w:val="auto"/>
                      <w:szCs w:val="21"/>
                      <w:highlight w:val="none"/>
                    </w:rPr>
                    <w:t>距室内边界距离/m</w:t>
                  </w:r>
                </w:p>
              </w:tc>
              <w:tc>
                <w:tcPr>
                  <w:tcW w:w="1470" w:type="dxa"/>
                  <w:vMerge w:val="restart"/>
                  <w:vAlign w:val="center"/>
                </w:tcPr>
                <w:p w14:paraId="4891907F">
                  <w:pPr>
                    <w:jc w:val="center"/>
                    <w:rPr>
                      <w:rFonts w:ascii="Times New Roman" w:hAnsi="Times New Roman" w:eastAsia="宋体"/>
                      <w:color w:val="auto"/>
                      <w:szCs w:val="21"/>
                      <w:highlight w:val="none"/>
                    </w:rPr>
                  </w:pPr>
                  <w:r>
                    <w:rPr>
                      <w:rFonts w:ascii="Times New Roman" w:hAnsi="Times New Roman" w:eastAsia="宋体"/>
                      <w:color w:val="auto"/>
                      <w:szCs w:val="21"/>
                      <w:highlight w:val="none"/>
                    </w:rPr>
                    <w:t>室内边界声级/dB(A)</w:t>
                  </w:r>
                </w:p>
              </w:tc>
              <w:tc>
                <w:tcPr>
                  <w:tcW w:w="1095" w:type="dxa"/>
                  <w:vMerge w:val="restart"/>
                  <w:vAlign w:val="center"/>
                </w:tcPr>
                <w:p w14:paraId="18186A69">
                  <w:pPr>
                    <w:jc w:val="center"/>
                    <w:rPr>
                      <w:rFonts w:ascii="Times New Roman" w:hAnsi="Times New Roman" w:eastAsia="宋体"/>
                      <w:color w:val="auto"/>
                      <w:szCs w:val="21"/>
                      <w:highlight w:val="none"/>
                    </w:rPr>
                  </w:pPr>
                  <w:r>
                    <w:rPr>
                      <w:rFonts w:ascii="Times New Roman" w:hAnsi="Times New Roman" w:eastAsia="宋体"/>
                      <w:color w:val="auto"/>
                      <w:szCs w:val="21"/>
                      <w:highlight w:val="none"/>
                    </w:rPr>
                    <w:t>运行时段</w:t>
                  </w:r>
                </w:p>
              </w:tc>
              <w:tc>
                <w:tcPr>
                  <w:tcW w:w="930" w:type="dxa"/>
                  <w:vMerge w:val="restart"/>
                  <w:vAlign w:val="center"/>
                </w:tcPr>
                <w:p w14:paraId="1481D0A7">
                  <w:pPr>
                    <w:jc w:val="center"/>
                    <w:rPr>
                      <w:rFonts w:ascii="Times New Roman" w:hAnsi="Times New Roman" w:eastAsia="宋体"/>
                      <w:color w:val="auto"/>
                      <w:szCs w:val="21"/>
                      <w:highlight w:val="none"/>
                    </w:rPr>
                  </w:pPr>
                  <w:r>
                    <w:rPr>
                      <w:rFonts w:ascii="Times New Roman" w:hAnsi="Times New Roman" w:eastAsia="宋体"/>
                      <w:color w:val="auto"/>
                      <w:szCs w:val="21"/>
                      <w:highlight w:val="none"/>
                    </w:rPr>
                    <w:t>建筑物插入损失/dB(A)</w:t>
                  </w:r>
                </w:p>
              </w:tc>
              <w:tc>
                <w:tcPr>
                  <w:tcW w:w="2340" w:type="dxa"/>
                  <w:gridSpan w:val="2"/>
                  <w:vAlign w:val="center"/>
                </w:tcPr>
                <w:p w14:paraId="1DFA82C5">
                  <w:pPr>
                    <w:jc w:val="center"/>
                    <w:rPr>
                      <w:rFonts w:ascii="Times New Roman" w:hAnsi="Times New Roman" w:eastAsia="宋体"/>
                      <w:color w:val="auto"/>
                      <w:szCs w:val="21"/>
                      <w:highlight w:val="none"/>
                    </w:rPr>
                  </w:pPr>
                  <w:r>
                    <w:rPr>
                      <w:rFonts w:ascii="Times New Roman" w:hAnsi="Times New Roman" w:eastAsia="宋体"/>
                      <w:color w:val="auto"/>
                      <w:szCs w:val="21"/>
                      <w:highlight w:val="none"/>
                    </w:rPr>
                    <w:t>建筑物外噪声</w:t>
                  </w:r>
                </w:p>
              </w:tc>
            </w:tr>
            <w:tr w14:paraId="309DC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7" w:hRule="atLeast"/>
                <w:jc w:val="center"/>
              </w:trPr>
              <w:tc>
                <w:tcPr>
                  <w:tcW w:w="507" w:type="dxa"/>
                  <w:vMerge w:val="continue"/>
                  <w:vAlign w:val="center"/>
                </w:tcPr>
                <w:p w14:paraId="7CB116EF">
                  <w:pPr>
                    <w:jc w:val="center"/>
                    <w:textAlignment w:val="baseline"/>
                    <w:rPr>
                      <w:rFonts w:ascii="Times New Roman" w:hAnsi="Times New Roman" w:eastAsia="宋体"/>
                      <w:color w:val="auto"/>
                      <w:szCs w:val="21"/>
                      <w:highlight w:val="none"/>
                    </w:rPr>
                  </w:pPr>
                </w:p>
              </w:tc>
              <w:tc>
                <w:tcPr>
                  <w:tcW w:w="586" w:type="dxa"/>
                  <w:vMerge w:val="continue"/>
                  <w:vAlign w:val="center"/>
                </w:tcPr>
                <w:p w14:paraId="679E5B93">
                  <w:pPr>
                    <w:jc w:val="center"/>
                    <w:textAlignment w:val="baseline"/>
                    <w:rPr>
                      <w:rFonts w:ascii="Times New Roman" w:hAnsi="Times New Roman" w:eastAsia="宋体"/>
                      <w:color w:val="auto"/>
                      <w:szCs w:val="21"/>
                      <w:highlight w:val="none"/>
                    </w:rPr>
                  </w:pPr>
                </w:p>
              </w:tc>
              <w:tc>
                <w:tcPr>
                  <w:tcW w:w="750" w:type="dxa"/>
                  <w:vMerge w:val="continue"/>
                  <w:vAlign w:val="center"/>
                </w:tcPr>
                <w:p w14:paraId="0F5975FF">
                  <w:pPr>
                    <w:jc w:val="center"/>
                    <w:textAlignment w:val="baseline"/>
                    <w:rPr>
                      <w:rFonts w:ascii="Times New Roman" w:hAnsi="Times New Roman" w:eastAsia="宋体"/>
                      <w:color w:val="auto"/>
                      <w:szCs w:val="21"/>
                      <w:highlight w:val="none"/>
                    </w:rPr>
                  </w:pPr>
                </w:p>
              </w:tc>
              <w:tc>
                <w:tcPr>
                  <w:tcW w:w="832" w:type="dxa"/>
                  <w:vMerge w:val="continue"/>
                  <w:vAlign w:val="center"/>
                </w:tcPr>
                <w:p w14:paraId="3E7DA859">
                  <w:pPr>
                    <w:jc w:val="center"/>
                    <w:textAlignment w:val="baseline"/>
                    <w:rPr>
                      <w:rFonts w:ascii="Times New Roman" w:hAnsi="Times New Roman" w:eastAsia="宋体"/>
                      <w:color w:val="auto"/>
                      <w:szCs w:val="21"/>
                      <w:highlight w:val="none"/>
                    </w:rPr>
                  </w:pPr>
                </w:p>
              </w:tc>
              <w:tc>
                <w:tcPr>
                  <w:tcW w:w="475" w:type="dxa"/>
                  <w:vAlign w:val="center"/>
                </w:tcPr>
                <w:p w14:paraId="267BB9E8">
                  <w:pPr>
                    <w:jc w:val="center"/>
                    <w:rPr>
                      <w:rFonts w:hint="default" w:ascii="Times New Roman" w:hAnsi="Times New Roman" w:eastAsia="宋体"/>
                      <w:color w:val="auto"/>
                      <w:szCs w:val="21"/>
                      <w:highlight w:val="none"/>
                      <w:lang w:val="en-US" w:eastAsia="zh-CN"/>
                    </w:rPr>
                  </w:pPr>
                  <w:r>
                    <w:rPr>
                      <w:rFonts w:hint="eastAsia" w:ascii="Times New Roman" w:hAnsi="Times New Roman" w:eastAsia="宋体"/>
                      <w:color w:val="auto"/>
                      <w:szCs w:val="21"/>
                      <w:highlight w:val="none"/>
                      <w:lang w:val="en-US" w:eastAsia="zh-CN"/>
                    </w:rPr>
                    <w:t>核算方法</w:t>
                  </w:r>
                </w:p>
              </w:tc>
              <w:tc>
                <w:tcPr>
                  <w:tcW w:w="1282" w:type="dxa"/>
                  <w:vAlign w:val="center"/>
                </w:tcPr>
                <w:p w14:paraId="7A2F0EB2">
                  <w:pPr>
                    <w:jc w:val="center"/>
                    <w:rPr>
                      <w:rFonts w:ascii="Times New Roman" w:hAnsi="Times New Roman" w:eastAsia="宋体"/>
                      <w:color w:val="auto"/>
                      <w:szCs w:val="21"/>
                      <w:highlight w:val="none"/>
                    </w:rPr>
                  </w:pPr>
                  <w:r>
                    <w:rPr>
                      <w:rFonts w:ascii="Times New Roman" w:hAnsi="Times New Roman" w:eastAsia="宋体"/>
                      <w:color w:val="auto"/>
                      <w:szCs w:val="21"/>
                      <w:highlight w:val="none"/>
                    </w:rPr>
                    <w:t>（声压级/距声源距离/（dB(A)/m）</w:t>
                  </w:r>
                </w:p>
              </w:tc>
              <w:tc>
                <w:tcPr>
                  <w:tcW w:w="511" w:type="dxa"/>
                  <w:vMerge w:val="continue"/>
                  <w:vAlign w:val="center"/>
                </w:tcPr>
                <w:p w14:paraId="48DD577B">
                  <w:pPr>
                    <w:jc w:val="center"/>
                    <w:rPr>
                      <w:rFonts w:ascii="Times New Roman" w:hAnsi="Times New Roman" w:eastAsia="宋体"/>
                      <w:color w:val="auto"/>
                      <w:szCs w:val="21"/>
                      <w:highlight w:val="none"/>
                    </w:rPr>
                  </w:pPr>
                </w:p>
              </w:tc>
              <w:tc>
                <w:tcPr>
                  <w:tcW w:w="541" w:type="dxa"/>
                  <w:vAlign w:val="center"/>
                </w:tcPr>
                <w:p w14:paraId="2BD42925">
                  <w:pPr>
                    <w:jc w:val="center"/>
                    <w:rPr>
                      <w:rFonts w:ascii="Times New Roman" w:hAnsi="Times New Roman" w:eastAsia="宋体"/>
                      <w:color w:val="auto"/>
                      <w:szCs w:val="21"/>
                      <w:highlight w:val="none"/>
                    </w:rPr>
                  </w:pPr>
                  <w:r>
                    <w:rPr>
                      <w:rFonts w:ascii="Times New Roman" w:hAnsi="Times New Roman" w:eastAsia="宋体"/>
                      <w:color w:val="auto"/>
                      <w:szCs w:val="21"/>
                      <w:highlight w:val="none"/>
                    </w:rPr>
                    <w:t>X</w:t>
                  </w:r>
                </w:p>
              </w:tc>
              <w:tc>
                <w:tcPr>
                  <w:tcW w:w="540" w:type="dxa"/>
                  <w:vAlign w:val="center"/>
                </w:tcPr>
                <w:p w14:paraId="2A9BB5B1">
                  <w:pPr>
                    <w:jc w:val="center"/>
                    <w:rPr>
                      <w:rFonts w:ascii="Times New Roman" w:hAnsi="Times New Roman" w:eastAsia="宋体"/>
                      <w:color w:val="auto"/>
                      <w:szCs w:val="21"/>
                      <w:highlight w:val="none"/>
                    </w:rPr>
                  </w:pPr>
                  <w:r>
                    <w:rPr>
                      <w:rFonts w:ascii="Times New Roman" w:hAnsi="Times New Roman" w:eastAsia="宋体"/>
                      <w:color w:val="auto"/>
                      <w:szCs w:val="21"/>
                      <w:highlight w:val="none"/>
                    </w:rPr>
                    <w:t>Y</w:t>
                  </w:r>
                </w:p>
              </w:tc>
              <w:tc>
                <w:tcPr>
                  <w:tcW w:w="420" w:type="dxa"/>
                  <w:vAlign w:val="center"/>
                </w:tcPr>
                <w:p w14:paraId="38024BF2">
                  <w:pPr>
                    <w:jc w:val="center"/>
                    <w:rPr>
                      <w:rFonts w:ascii="Times New Roman" w:hAnsi="Times New Roman" w:eastAsia="宋体"/>
                      <w:color w:val="auto"/>
                      <w:szCs w:val="21"/>
                      <w:highlight w:val="none"/>
                    </w:rPr>
                  </w:pPr>
                  <w:r>
                    <w:rPr>
                      <w:rFonts w:ascii="Times New Roman" w:hAnsi="Times New Roman" w:eastAsia="宋体"/>
                      <w:color w:val="auto"/>
                      <w:szCs w:val="21"/>
                      <w:highlight w:val="none"/>
                    </w:rPr>
                    <w:t>Z</w:t>
                  </w:r>
                </w:p>
              </w:tc>
              <w:tc>
                <w:tcPr>
                  <w:tcW w:w="1395" w:type="dxa"/>
                  <w:vMerge w:val="continue"/>
                  <w:vAlign w:val="center"/>
                </w:tcPr>
                <w:p w14:paraId="7E38C9BF">
                  <w:pPr>
                    <w:jc w:val="center"/>
                    <w:rPr>
                      <w:rFonts w:ascii="Times New Roman" w:hAnsi="Times New Roman" w:eastAsia="宋体"/>
                      <w:color w:val="auto"/>
                      <w:szCs w:val="21"/>
                      <w:highlight w:val="none"/>
                    </w:rPr>
                  </w:pPr>
                </w:p>
              </w:tc>
              <w:tc>
                <w:tcPr>
                  <w:tcW w:w="1470" w:type="dxa"/>
                  <w:vMerge w:val="continue"/>
                  <w:vAlign w:val="center"/>
                </w:tcPr>
                <w:p w14:paraId="7842D1F4">
                  <w:pPr>
                    <w:jc w:val="center"/>
                    <w:rPr>
                      <w:rFonts w:ascii="Times New Roman" w:hAnsi="Times New Roman" w:eastAsia="宋体"/>
                      <w:color w:val="auto"/>
                      <w:szCs w:val="21"/>
                      <w:highlight w:val="none"/>
                    </w:rPr>
                  </w:pPr>
                </w:p>
              </w:tc>
              <w:tc>
                <w:tcPr>
                  <w:tcW w:w="1095" w:type="dxa"/>
                  <w:vMerge w:val="continue"/>
                  <w:vAlign w:val="center"/>
                </w:tcPr>
                <w:p w14:paraId="2EBA72A1">
                  <w:pPr>
                    <w:jc w:val="center"/>
                    <w:rPr>
                      <w:rFonts w:ascii="Times New Roman" w:hAnsi="Times New Roman" w:eastAsia="宋体"/>
                      <w:color w:val="auto"/>
                      <w:szCs w:val="21"/>
                      <w:highlight w:val="none"/>
                    </w:rPr>
                  </w:pPr>
                </w:p>
              </w:tc>
              <w:tc>
                <w:tcPr>
                  <w:tcW w:w="930" w:type="dxa"/>
                  <w:vMerge w:val="continue"/>
                  <w:vAlign w:val="center"/>
                </w:tcPr>
                <w:p w14:paraId="40819E05">
                  <w:pPr>
                    <w:jc w:val="center"/>
                    <w:rPr>
                      <w:rFonts w:ascii="Times New Roman" w:hAnsi="Times New Roman" w:eastAsia="宋体"/>
                      <w:color w:val="auto"/>
                      <w:szCs w:val="21"/>
                      <w:highlight w:val="none"/>
                    </w:rPr>
                  </w:pPr>
                </w:p>
              </w:tc>
              <w:tc>
                <w:tcPr>
                  <w:tcW w:w="1440" w:type="dxa"/>
                  <w:vAlign w:val="center"/>
                </w:tcPr>
                <w:p w14:paraId="1555F5FA">
                  <w:pPr>
                    <w:jc w:val="center"/>
                    <w:rPr>
                      <w:rFonts w:ascii="Times New Roman" w:hAnsi="Times New Roman" w:eastAsia="宋体"/>
                      <w:color w:val="auto"/>
                      <w:szCs w:val="21"/>
                      <w:highlight w:val="none"/>
                    </w:rPr>
                  </w:pPr>
                  <w:r>
                    <w:rPr>
                      <w:rFonts w:ascii="Times New Roman" w:hAnsi="Times New Roman" w:eastAsia="宋体"/>
                      <w:color w:val="auto"/>
                      <w:szCs w:val="21"/>
                      <w:highlight w:val="none"/>
                    </w:rPr>
                    <w:t>声压级/dB(A)</w:t>
                  </w:r>
                </w:p>
              </w:tc>
              <w:tc>
                <w:tcPr>
                  <w:tcW w:w="900" w:type="dxa"/>
                  <w:vAlign w:val="center"/>
                </w:tcPr>
                <w:p w14:paraId="1B907DE5">
                  <w:pPr>
                    <w:jc w:val="center"/>
                    <w:rPr>
                      <w:rFonts w:hint="default" w:ascii="Times New Roman" w:hAnsi="Times New Roman" w:eastAsia="宋体"/>
                      <w:color w:val="auto"/>
                      <w:szCs w:val="21"/>
                      <w:highlight w:val="none"/>
                      <w:lang w:val="en-US" w:eastAsia="zh-CN"/>
                    </w:rPr>
                  </w:pPr>
                  <w:r>
                    <w:rPr>
                      <w:rFonts w:ascii="Times New Roman" w:hAnsi="Times New Roman" w:eastAsia="宋体"/>
                      <w:color w:val="auto"/>
                      <w:szCs w:val="21"/>
                      <w:highlight w:val="none"/>
                    </w:rPr>
                    <w:t>建筑物外距离</w:t>
                  </w:r>
                  <w:r>
                    <w:rPr>
                      <w:rFonts w:hint="eastAsia" w:ascii="Times New Roman" w:hAnsi="Times New Roman" w:eastAsia="宋体"/>
                      <w:color w:val="auto"/>
                      <w:szCs w:val="21"/>
                      <w:highlight w:val="none"/>
                      <w:lang w:val="en-US" w:eastAsia="zh-CN"/>
                    </w:rPr>
                    <w:t>/m</w:t>
                  </w:r>
                </w:p>
              </w:tc>
            </w:tr>
            <w:tr w14:paraId="544ED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07" w:type="dxa"/>
                  <w:vAlign w:val="center"/>
                </w:tcPr>
                <w:p w14:paraId="502EAECF">
                  <w:pPr>
                    <w:jc w:val="center"/>
                    <w:textAlignment w:val="baseline"/>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w:t>
                  </w:r>
                </w:p>
              </w:tc>
              <w:tc>
                <w:tcPr>
                  <w:tcW w:w="586" w:type="dxa"/>
                  <w:vMerge w:val="restart"/>
                  <w:vAlign w:val="center"/>
                </w:tcPr>
                <w:p w14:paraId="767AB82F">
                  <w:pPr>
                    <w:jc w:val="center"/>
                    <w:textAlignment w:val="baseline"/>
                    <w:rPr>
                      <w:rFonts w:hint="eastAsia" w:ascii="Times New Roman" w:hAnsi="Times New Roman" w:eastAsia="宋体" w:cs="Times New Roman"/>
                      <w:color w:val="auto"/>
                      <w:szCs w:val="21"/>
                      <w:highlight w:val="none"/>
                      <w:lang w:eastAsia="zh-CN"/>
                    </w:rPr>
                  </w:pPr>
                  <w:r>
                    <w:rPr>
                      <w:rFonts w:hint="eastAsia" w:ascii="Times New Roman" w:hAnsi="Times New Roman" w:eastAsia="宋体" w:cs="Times New Roman"/>
                      <w:color w:val="auto"/>
                      <w:szCs w:val="21"/>
                      <w:highlight w:val="none"/>
                      <w:lang w:val="en-US" w:eastAsia="zh-CN"/>
                    </w:rPr>
                    <w:t>2</w:t>
                  </w:r>
                  <w:r>
                    <w:rPr>
                      <w:rFonts w:hint="default" w:ascii="Times New Roman" w:hAnsi="Times New Roman" w:eastAsia="宋体" w:cs="Times New Roman"/>
                      <w:color w:val="auto"/>
                      <w:szCs w:val="21"/>
                      <w:highlight w:val="none"/>
                    </w:rPr>
                    <w:t>#</w:t>
                  </w:r>
                  <w:r>
                    <w:rPr>
                      <w:rFonts w:hint="eastAsia" w:cs="Times New Roman"/>
                      <w:color w:val="auto"/>
                      <w:szCs w:val="21"/>
                      <w:highlight w:val="none"/>
                      <w:lang w:val="en-US" w:eastAsia="zh-CN"/>
                    </w:rPr>
                    <w:t>-2</w:t>
                  </w:r>
                  <w:r>
                    <w:rPr>
                      <w:rFonts w:hint="eastAsia" w:ascii="Times New Roman" w:hAnsi="Times New Roman" w:eastAsia="宋体" w:cs="Times New Roman"/>
                      <w:color w:val="auto"/>
                      <w:szCs w:val="21"/>
                      <w:highlight w:val="none"/>
                      <w:lang w:eastAsia="zh-CN"/>
                    </w:rPr>
                    <w:t>厂房</w:t>
                  </w:r>
                </w:p>
                <w:p w14:paraId="208589DC">
                  <w:pPr>
                    <w:jc w:val="center"/>
                    <w:textAlignment w:val="baseline"/>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1F</w:t>
                  </w:r>
                </w:p>
              </w:tc>
              <w:tc>
                <w:tcPr>
                  <w:tcW w:w="750" w:type="dxa"/>
                  <w:vAlign w:val="center"/>
                </w:tcPr>
                <w:p w14:paraId="415FFA12">
                  <w:pPr>
                    <w:jc w:val="center"/>
                    <w:rPr>
                      <w:rFonts w:hint="default" w:ascii="Times New Roman" w:hAnsi="Times New Roman" w:eastAsia="宋体" w:cs="Times New Roman"/>
                      <w:color w:val="auto"/>
                      <w:sz w:val="21"/>
                      <w:szCs w:val="21"/>
                      <w:highlight w:val="none"/>
                      <w:lang w:val="en-US"/>
                    </w:rPr>
                  </w:pPr>
                  <w:r>
                    <w:rPr>
                      <w:rFonts w:hint="eastAsia"/>
                      <w:color w:val="auto"/>
                      <w:szCs w:val="21"/>
                      <w:lang w:val="en-US" w:eastAsia="zh-CN"/>
                    </w:rPr>
                    <w:t>激光切割机</w:t>
                  </w:r>
                </w:p>
              </w:tc>
              <w:tc>
                <w:tcPr>
                  <w:tcW w:w="832" w:type="dxa"/>
                  <w:vAlign w:val="center"/>
                </w:tcPr>
                <w:p w14:paraId="00C45527">
                  <w:pPr>
                    <w:jc w:val="center"/>
                    <w:rPr>
                      <w:rFonts w:hint="default"/>
                      <w:color w:val="auto"/>
                      <w:szCs w:val="21"/>
                      <w:lang w:val="en-US" w:eastAsia="zh-CN"/>
                    </w:rPr>
                  </w:pPr>
                  <w:r>
                    <w:rPr>
                      <w:rFonts w:hint="eastAsia"/>
                      <w:color w:val="auto"/>
                      <w:szCs w:val="21"/>
                      <w:lang w:val="en-US" w:eastAsia="zh-CN"/>
                    </w:rPr>
                    <w:t>5台</w:t>
                  </w:r>
                </w:p>
              </w:tc>
              <w:tc>
                <w:tcPr>
                  <w:tcW w:w="475" w:type="dxa"/>
                  <w:vAlign w:val="center"/>
                </w:tcPr>
                <w:p w14:paraId="6108629F">
                  <w:pPr>
                    <w:jc w:val="center"/>
                    <w:rPr>
                      <w:rFonts w:hint="eastAsia" w:ascii="Times New Roman" w:hAnsi="Times New Roman" w:eastAsia="宋体"/>
                      <w:color w:val="auto"/>
                      <w:szCs w:val="21"/>
                      <w:highlight w:val="none"/>
                      <w:lang w:eastAsia="zh-CN"/>
                    </w:rPr>
                  </w:pPr>
                  <w:r>
                    <w:rPr>
                      <w:rFonts w:hint="eastAsia" w:ascii="Times New Roman" w:hAnsi="Times New Roman" w:eastAsia="宋体"/>
                      <w:color w:val="auto"/>
                      <w:szCs w:val="21"/>
                      <w:highlight w:val="none"/>
                      <w:lang w:eastAsia="zh-CN"/>
                    </w:rPr>
                    <w:t>类比法</w:t>
                  </w:r>
                </w:p>
              </w:tc>
              <w:tc>
                <w:tcPr>
                  <w:tcW w:w="1282" w:type="dxa"/>
                  <w:vAlign w:val="center"/>
                </w:tcPr>
                <w:p w14:paraId="58421F44">
                  <w:pPr>
                    <w:adjustRightInd w:val="0"/>
                    <w:snapToGrid w:val="0"/>
                    <w:jc w:val="center"/>
                    <w:rPr>
                      <w:rFonts w:hint="default" w:ascii="Times New Roman" w:hAnsi="Times New Roman" w:eastAsia="宋体"/>
                      <w:color w:val="auto"/>
                      <w:szCs w:val="21"/>
                      <w:highlight w:val="none"/>
                      <w:lang w:val="en-US" w:eastAsia="zh-CN"/>
                    </w:rPr>
                  </w:pPr>
                  <w:r>
                    <w:rPr>
                      <w:rFonts w:hint="eastAsia" w:ascii="Times New Roman" w:hAnsi="Times New Roman" w:eastAsia="宋体"/>
                      <w:color w:val="auto"/>
                      <w:szCs w:val="21"/>
                      <w:highlight w:val="none"/>
                      <w:lang w:val="en-US" w:eastAsia="zh-CN"/>
                    </w:rPr>
                    <w:t>8</w:t>
                  </w:r>
                  <w:r>
                    <w:rPr>
                      <w:rFonts w:ascii="Times New Roman" w:hAnsi="Times New Roman" w:eastAsia="宋体"/>
                      <w:color w:val="auto"/>
                      <w:szCs w:val="21"/>
                      <w:highlight w:val="none"/>
                    </w:rPr>
                    <w:t>0</w:t>
                  </w:r>
                  <w:r>
                    <w:rPr>
                      <w:rFonts w:hint="eastAsia" w:ascii="Times New Roman" w:hAnsi="Times New Roman" w:eastAsia="宋体"/>
                      <w:color w:val="auto"/>
                      <w:szCs w:val="21"/>
                      <w:highlight w:val="none"/>
                      <w:lang w:val="en-US" w:eastAsia="zh-CN"/>
                    </w:rPr>
                    <w:t>/1</w:t>
                  </w:r>
                </w:p>
              </w:tc>
              <w:tc>
                <w:tcPr>
                  <w:tcW w:w="511" w:type="dxa"/>
                  <w:vMerge w:val="restart"/>
                  <w:vAlign w:val="center"/>
                </w:tcPr>
                <w:p w14:paraId="5FD86E89">
                  <w:pPr>
                    <w:jc w:val="center"/>
                    <w:rPr>
                      <w:rFonts w:hint="default" w:ascii="Times New Roman" w:hAnsi="Times New Roman" w:eastAsia="宋体"/>
                      <w:color w:val="auto"/>
                      <w:szCs w:val="21"/>
                      <w:highlight w:val="none"/>
                      <w:lang w:val="en-US" w:eastAsia="zh-CN"/>
                    </w:rPr>
                  </w:pPr>
                  <w:r>
                    <w:rPr>
                      <w:rFonts w:hint="eastAsia" w:ascii="Times New Roman" w:hAnsi="Times New Roman" w:eastAsia="宋体"/>
                      <w:color w:val="auto"/>
                      <w:szCs w:val="21"/>
                      <w:highlight w:val="none"/>
                      <w:lang w:val="en-US" w:eastAsia="zh-CN"/>
                    </w:rPr>
                    <w:t>设备减震，距离衰减、墙体隔声</w:t>
                  </w:r>
                </w:p>
              </w:tc>
              <w:tc>
                <w:tcPr>
                  <w:tcW w:w="541" w:type="dxa"/>
                  <w:vAlign w:val="center"/>
                </w:tcPr>
                <w:p w14:paraId="4BF5D48F">
                  <w:pPr>
                    <w:widowControl/>
                    <w:jc w:val="center"/>
                    <w:textAlignment w:val="center"/>
                    <w:rPr>
                      <w:rFonts w:hint="default" w:ascii="Times New Roman" w:hAnsi="Times New Roman" w:eastAsia="宋体"/>
                      <w:color w:val="auto"/>
                      <w:kern w:val="0"/>
                      <w:szCs w:val="21"/>
                      <w:highlight w:val="none"/>
                      <w:lang w:val="en-US" w:eastAsia="zh-CN" w:bidi="ar"/>
                    </w:rPr>
                  </w:pPr>
                  <w:r>
                    <w:rPr>
                      <w:rFonts w:hint="eastAsia"/>
                      <w:color w:val="auto"/>
                      <w:kern w:val="0"/>
                      <w:szCs w:val="21"/>
                      <w:highlight w:val="none"/>
                      <w:lang w:val="en-US" w:eastAsia="zh-CN" w:bidi="ar"/>
                    </w:rPr>
                    <w:t>268</w:t>
                  </w:r>
                </w:p>
              </w:tc>
              <w:tc>
                <w:tcPr>
                  <w:tcW w:w="540" w:type="dxa"/>
                  <w:vAlign w:val="center"/>
                </w:tcPr>
                <w:p w14:paraId="6BC17A49">
                  <w:pPr>
                    <w:widowControl/>
                    <w:jc w:val="center"/>
                    <w:textAlignment w:val="center"/>
                    <w:rPr>
                      <w:rFonts w:hint="default" w:ascii="Times New Roman" w:hAnsi="Times New Roman" w:eastAsia="宋体"/>
                      <w:color w:val="auto"/>
                      <w:kern w:val="0"/>
                      <w:szCs w:val="21"/>
                      <w:highlight w:val="none"/>
                      <w:lang w:val="en-US" w:eastAsia="zh-CN" w:bidi="ar"/>
                    </w:rPr>
                  </w:pPr>
                  <w:r>
                    <w:rPr>
                      <w:rFonts w:hint="eastAsia"/>
                      <w:color w:val="auto"/>
                      <w:kern w:val="0"/>
                      <w:szCs w:val="21"/>
                      <w:highlight w:val="none"/>
                      <w:lang w:val="en-US" w:eastAsia="zh-CN" w:bidi="ar"/>
                    </w:rPr>
                    <w:t>188</w:t>
                  </w:r>
                </w:p>
              </w:tc>
              <w:tc>
                <w:tcPr>
                  <w:tcW w:w="420" w:type="dxa"/>
                  <w:vAlign w:val="center"/>
                </w:tcPr>
                <w:p w14:paraId="474D2BC8">
                  <w:pPr>
                    <w:widowControl/>
                    <w:jc w:val="center"/>
                    <w:textAlignment w:val="center"/>
                    <w:rPr>
                      <w:rFonts w:hint="eastAsia" w:ascii="Times New Roman" w:hAnsi="Times New Roman" w:eastAsia="宋体"/>
                      <w:color w:val="auto"/>
                      <w:kern w:val="0"/>
                      <w:szCs w:val="21"/>
                      <w:highlight w:val="none"/>
                      <w:lang w:eastAsia="zh-CN" w:bidi="ar"/>
                    </w:rPr>
                  </w:pPr>
                  <w:r>
                    <w:rPr>
                      <w:rFonts w:hint="eastAsia" w:ascii="Times New Roman" w:hAnsi="Times New Roman" w:eastAsia="宋体"/>
                      <w:color w:val="auto"/>
                      <w:kern w:val="0"/>
                      <w:szCs w:val="21"/>
                      <w:highlight w:val="none"/>
                      <w:lang w:val="en-US" w:eastAsia="zh-CN" w:bidi="ar"/>
                    </w:rPr>
                    <w:t>1</w:t>
                  </w:r>
                </w:p>
              </w:tc>
              <w:tc>
                <w:tcPr>
                  <w:tcW w:w="1395" w:type="dxa"/>
                  <w:vAlign w:val="center"/>
                </w:tcPr>
                <w:p w14:paraId="71CCBE39">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室内东</w:t>
                  </w:r>
                  <w:r>
                    <w:rPr>
                      <w:rFonts w:hint="eastAsia"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12</w:t>
                  </w:r>
                </w:p>
                <w:p w14:paraId="75608808">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w:t>
                  </w:r>
                  <w:r>
                    <w:rPr>
                      <w:rFonts w:hint="eastAsia" w:cs="Times New Roman"/>
                      <w:color w:val="auto"/>
                      <w:kern w:val="0"/>
                      <w:sz w:val="18"/>
                      <w:szCs w:val="18"/>
                      <w:highlight w:val="none"/>
                      <w:lang w:val="en-US" w:eastAsia="zh-CN" w:bidi="ar"/>
                    </w:rPr>
                    <w:t>东</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15</w:t>
                  </w:r>
                </w:p>
                <w:p w14:paraId="012DC1C8">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w:t>
                  </w:r>
                  <w:r>
                    <w:rPr>
                      <w:rFonts w:hint="eastAsia" w:cs="Times New Roman"/>
                      <w:color w:val="auto"/>
                      <w:kern w:val="0"/>
                      <w:sz w:val="18"/>
                      <w:szCs w:val="18"/>
                      <w:highlight w:val="none"/>
                      <w:lang w:val="en-US" w:eastAsia="zh-CN" w:bidi="ar"/>
                    </w:rPr>
                    <w:t>西南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108</w:t>
                  </w:r>
                </w:p>
                <w:p w14:paraId="63DB5C48">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w:t>
                  </w:r>
                  <w:r>
                    <w:rPr>
                      <w:rFonts w:hint="eastAsia" w:cs="Times New Roman"/>
                      <w:color w:val="auto"/>
                      <w:kern w:val="0"/>
                      <w:sz w:val="18"/>
                      <w:szCs w:val="18"/>
                      <w:highlight w:val="none"/>
                      <w:lang w:val="en-US" w:eastAsia="zh-CN" w:bidi="ar"/>
                    </w:rPr>
                    <w:t>西</w:t>
                  </w:r>
                  <w:r>
                    <w:rPr>
                      <w:rFonts w:hint="eastAsia" w:ascii="Times New Roman" w:hAnsi="Times New Roman" w:eastAsia="宋体"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2</w:t>
                  </w:r>
                  <w:r>
                    <w:rPr>
                      <w:rFonts w:hint="eastAsia" w:ascii="Times New Roman" w:hAnsi="Times New Roman" w:eastAsia="宋体" w:cs="Times New Roman"/>
                      <w:color w:val="auto"/>
                      <w:kern w:val="0"/>
                      <w:sz w:val="18"/>
                      <w:szCs w:val="18"/>
                      <w:highlight w:val="none"/>
                      <w:lang w:val="en-US" w:eastAsia="zh-CN" w:bidi="ar"/>
                    </w:rPr>
                    <w:t>5</w:t>
                  </w:r>
                </w:p>
              </w:tc>
              <w:tc>
                <w:tcPr>
                  <w:tcW w:w="1470" w:type="dxa"/>
                  <w:vAlign w:val="center"/>
                </w:tcPr>
                <w:p w14:paraId="0A04D6A6">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室内东</w:t>
                  </w:r>
                  <w:r>
                    <w:rPr>
                      <w:rFonts w:hint="eastAsia"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58.4</w:t>
                  </w:r>
                </w:p>
                <w:p w14:paraId="383787D0">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w:t>
                  </w:r>
                  <w:r>
                    <w:rPr>
                      <w:rFonts w:hint="eastAsia" w:cs="Times New Roman"/>
                      <w:color w:val="auto"/>
                      <w:kern w:val="0"/>
                      <w:sz w:val="18"/>
                      <w:szCs w:val="18"/>
                      <w:highlight w:val="none"/>
                      <w:lang w:val="en-US" w:eastAsia="zh-CN" w:bidi="ar"/>
                    </w:rPr>
                    <w:t>东</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56.5</w:t>
                  </w:r>
                </w:p>
                <w:p w14:paraId="5628D627">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w:t>
                  </w:r>
                  <w:r>
                    <w:rPr>
                      <w:rFonts w:hint="eastAsia" w:cs="Times New Roman"/>
                      <w:color w:val="auto"/>
                      <w:kern w:val="0"/>
                      <w:sz w:val="18"/>
                      <w:szCs w:val="18"/>
                      <w:highlight w:val="none"/>
                      <w:lang w:val="en-US" w:eastAsia="zh-CN" w:bidi="ar"/>
                    </w:rPr>
                    <w:t>西南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39.3</w:t>
                  </w:r>
                </w:p>
                <w:p w14:paraId="40A93808">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olor w:val="auto"/>
                      <w:szCs w:val="21"/>
                      <w:highlight w:val="none"/>
                      <w:lang w:val="en-US" w:eastAsia="zh-CN"/>
                    </w:rPr>
                  </w:pPr>
                  <w:r>
                    <w:rPr>
                      <w:rFonts w:hint="default" w:ascii="Times New Roman" w:hAnsi="Times New Roman" w:eastAsia="宋体" w:cs="Times New Roman"/>
                      <w:color w:val="auto"/>
                      <w:kern w:val="0"/>
                      <w:sz w:val="18"/>
                      <w:szCs w:val="18"/>
                      <w:highlight w:val="none"/>
                      <w:lang w:val="en-US" w:eastAsia="zh-CN" w:bidi="ar"/>
                    </w:rPr>
                    <w:t>室内</w:t>
                  </w:r>
                  <w:r>
                    <w:rPr>
                      <w:rFonts w:hint="eastAsia" w:cs="Times New Roman"/>
                      <w:color w:val="auto"/>
                      <w:kern w:val="0"/>
                      <w:sz w:val="18"/>
                      <w:szCs w:val="18"/>
                      <w:highlight w:val="none"/>
                      <w:lang w:val="en-US" w:eastAsia="zh-CN" w:bidi="ar"/>
                    </w:rPr>
                    <w:t>西</w:t>
                  </w:r>
                  <w:r>
                    <w:rPr>
                      <w:rFonts w:hint="eastAsia" w:ascii="Times New Roman" w:hAnsi="Times New Roman" w:eastAsia="宋体"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52.0</w:t>
                  </w:r>
                </w:p>
              </w:tc>
              <w:tc>
                <w:tcPr>
                  <w:tcW w:w="1095" w:type="dxa"/>
                  <w:vAlign w:val="center"/>
                </w:tcPr>
                <w:p w14:paraId="25FCF4FB">
                  <w:pPr>
                    <w:jc w:val="center"/>
                    <w:rPr>
                      <w:rFonts w:hint="default" w:ascii="Times New Roman" w:hAnsi="Times New Roman" w:eastAsia="宋体"/>
                      <w:color w:val="auto"/>
                      <w:szCs w:val="21"/>
                      <w:highlight w:val="none"/>
                      <w:lang w:val="en-US" w:eastAsia="zh-CN"/>
                    </w:rPr>
                  </w:pPr>
                  <w:r>
                    <w:rPr>
                      <w:rFonts w:hint="eastAsia" w:ascii="Times New Roman" w:hAnsi="Times New Roman" w:eastAsia="宋体"/>
                      <w:color w:val="auto"/>
                      <w:szCs w:val="21"/>
                      <w:highlight w:val="none"/>
                      <w:lang w:val="en-US" w:eastAsia="zh-CN"/>
                    </w:rPr>
                    <w:t>8:</w:t>
                  </w:r>
                  <w:r>
                    <w:rPr>
                      <w:rFonts w:hint="eastAsia"/>
                      <w:color w:val="auto"/>
                      <w:szCs w:val="21"/>
                      <w:highlight w:val="none"/>
                      <w:lang w:val="en-US" w:eastAsia="zh-CN"/>
                    </w:rPr>
                    <w:t>0</w:t>
                  </w:r>
                  <w:r>
                    <w:rPr>
                      <w:rFonts w:hint="eastAsia" w:ascii="Times New Roman" w:hAnsi="Times New Roman" w:eastAsia="宋体"/>
                      <w:color w:val="auto"/>
                      <w:szCs w:val="21"/>
                      <w:highlight w:val="none"/>
                      <w:lang w:val="en-US" w:eastAsia="zh-CN"/>
                    </w:rPr>
                    <w:t>0~</w:t>
                  </w:r>
                  <w:r>
                    <w:rPr>
                      <w:rFonts w:hint="eastAsia"/>
                      <w:color w:val="auto"/>
                      <w:szCs w:val="21"/>
                      <w:highlight w:val="none"/>
                      <w:lang w:val="en-US" w:eastAsia="zh-CN"/>
                    </w:rPr>
                    <w:t>20</w:t>
                  </w:r>
                  <w:r>
                    <w:rPr>
                      <w:rFonts w:hint="eastAsia" w:ascii="Times New Roman" w:hAnsi="Times New Roman" w:eastAsia="宋体"/>
                      <w:color w:val="auto"/>
                      <w:szCs w:val="21"/>
                      <w:highlight w:val="none"/>
                      <w:lang w:val="en-US" w:eastAsia="zh-CN"/>
                    </w:rPr>
                    <w:t>:</w:t>
                  </w:r>
                  <w:r>
                    <w:rPr>
                      <w:rFonts w:hint="eastAsia"/>
                      <w:color w:val="auto"/>
                      <w:szCs w:val="21"/>
                      <w:highlight w:val="none"/>
                      <w:lang w:val="en-US" w:eastAsia="zh-CN"/>
                    </w:rPr>
                    <w:t>0</w:t>
                  </w:r>
                  <w:r>
                    <w:rPr>
                      <w:rFonts w:hint="eastAsia" w:ascii="Times New Roman" w:hAnsi="Times New Roman" w:eastAsia="宋体"/>
                      <w:color w:val="auto"/>
                      <w:szCs w:val="21"/>
                      <w:highlight w:val="none"/>
                      <w:lang w:val="en-US" w:eastAsia="zh-CN"/>
                    </w:rPr>
                    <w:t>0</w:t>
                  </w:r>
                </w:p>
              </w:tc>
              <w:tc>
                <w:tcPr>
                  <w:tcW w:w="930" w:type="dxa"/>
                  <w:vAlign w:val="center"/>
                </w:tcPr>
                <w:p w14:paraId="4B05FF8F">
                  <w:pPr>
                    <w:jc w:val="center"/>
                    <w:rPr>
                      <w:rFonts w:ascii="Times New Roman" w:hAnsi="Times New Roman" w:eastAsia="宋体"/>
                      <w:color w:val="auto"/>
                      <w:szCs w:val="21"/>
                      <w:highlight w:val="none"/>
                    </w:rPr>
                  </w:pPr>
                  <w:r>
                    <w:rPr>
                      <w:rFonts w:ascii="Times New Roman" w:hAnsi="Times New Roman" w:eastAsia="宋体"/>
                      <w:color w:val="auto"/>
                      <w:szCs w:val="21"/>
                      <w:highlight w:val="none"/>
                    </w:rPr>
                    <w:t>15</w:t>
                  </w:r>
                </w:p>
              </w:tc>
              <w:tc>
                <w:tcPr>
                  <w:tcW w:w="1440" w:type="dxa"/>
                  <w:vAlign w:val="center"/>
                </w:tcPr>
                <w:p w14:paraId="440C4AB7">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w:t>
                  </w:r>
                  <w:r>
                    <w:rPr>
                      <w:rFonts w:hint="eastAsia" w:cs="Times New Roman"/>
                      <w:color w:val="auto"/>
                      <w:kern w:val="0"/>
                      <w:sz w:val="18"/>
                      <w:szCs w:val="18"/>
                      <w:highlight w:val="none"/>
                      <w:lang w:val="en-US" w:eastAsia="zh-CN" w:bidi="ar"/>
                    </w:rPr>
                    <w:t>外</w:t>
                  </w:r>
                  <w:r>
                    <w:rPr>
                      <w:rFonts w:hint="default" w:ascii="Times New Roman" w:hAnsi="Times New Roman" w:eastAsia="宋体" w:cs="Times New Roman"/>
                      <w:color w:val="auto"/>
                      <w:kern w:val="0"/>
                      <w:sz w:val="18"/>
                      <w:szCs w:val="18"/>
                      <w:highlight w:val="none"/>
                      <w:lang w:val="en-US" w:eastAsia="zh-CN" w:bidi="ar"/>
                    </w:rPr>
                    <w:t>东</w:t>
                  </w:r>
                  <w:r>
                    <w:rPr>
                      <w:rFonts w:hint="eastAsia"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43.4</w:t>
                  </w:r>
                </w:p>
                <w:p w14:paraId="4434FD8E">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w:t>
                  </w:r>
                  <w:r>
                    <w:rPr>
                      <w:rFonts w:hint="eastAsia" w:cs="Times New Roman"/>
                      <w:color w:val="auto"/>
                      <w:kern w:val="0"/>
                      <w:sz w:val="18"/>
                      <w:szCs w:val="18"/>
                      <w:highlight w:val="none"/>
                      <w:lang w:val="en-US" w:eastAsia="zh-CN" w:bidi="ar"/>
                    </w:rPr>
                    <w:t>外东</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41.5</w:t>
                  </w:r>
                  <w:r>
                    <w:rPr>
                      <w:rFonts w:hint="default" w:ascii="Times New Roman" w:hAnsi="Times New Roman" w:eastAsia="宋体" w:cs="Times New Roman"/>
                      <w:color w:val="auto"/>
                      <w:kern w:val="0"/>
                      <w:sz w:val="18"/>
                      <w:szCs w:val="18"/>
                      <w:highlight w:val="none"/>
                      <w:lang w:val="en-US" w:eastAsia="zh-CN" w:bidi="ar"/>
                    </w:rPr>
                    <w:t>室</w:t>
                  </w:r>
                  <w:r>
                    <w:rPr>
                      <w:rFonts w:hint="eastAsia" w:cs="Times New Roman"/>
                      <w:color w:val="auto"/>
                      <w:kern w:val="0"/>
                      <w:sz w:val="18"/>
                      <w:szCs w:val="18"/>
                      <w:highlight w:val="none"/>
                      <w:lang w:val="en-US" w:eastAsia="zh-CN" w:bidi="ar"/>
                    </w:rPr>
                    <w:t>外西南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24.3</w:t>
                  </w:r>
                </w:p>
                <w:p w14:paraId="0FC415AC">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olor w:val="auto"/>
                      <w:szCs w:val="21"/>
                      <w:highlight w:val="none"/>
                      <w:lang w:val="en-US" w:eastAsia="zh-CN"/>
                    </w:rPr>
                  </w:pPr>
                  <w:r>
                    <w:rPr>
                      <w:rFonts w:hint="default" w:ascii="Times New Roman" w:hAnsi="Times New Roman" w:eastAsia="宋体" w:cs="Times New Roman"/>
                      <w:color w:val="auto"/>
                      <w:kern w:val="0"/>
                      <w:sz w:val="18"/>
                      <w:szCs w:val="18"/>
                      <w:highlight w:val="none"/>
                      <w:lang w:val="en-US" w:eastAsia="zh-CN" w:bidi="ar"/>
                    </w:rPr>
                    <w:t>室</w:t>
                  </w:r>
                  <w:r>
                    <w:rPr>
                      <w:rFonts w:hint="eastAsia" w:cs="Times New Roman"/>
                      <w:color w:val="auto"/>
                      <w:kern w:val="0"/>
                      <w:sz w:val="18"/>
                      <w:szCs w:val="18"/>
                      <w:highlight w:val="none"/>
                      <w:lang w:val="en-US" w:eastAsia="zh-CN" w:bidi="ar"/>
                    </w:rPr>
                    <w:t>外西</w:t>
                  </w:r>
                  <w:r>
                    <w:rPr>
                      <w:rFonts w:hint="eastAsia" w:ascii="Times New Roman" w:hAnsi="Times New Roman" w:eastAsia="宋体"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37.0</w:t>
                  </w:r>
                </w:p>
              </w:tc>
              <w:tc>
                <w:tcPr>
                  <w:tcW w:w="900" w:type="dxa"/>
                  <w:vAlign w:val="center"/>
                </w:tcPr>
                <w:p w14:paraId="61BD3DB5">
                  <w:pPr>
                    <w:jc w:val="center"/>
                    <w:rPr>
                      <w:rFonts w:hint="eastAsia" w:ascii="Times New Roman" w:hAnsi="Times New Roman" w:eastAsia="宋体"/>
                      <w:color w:val="auto"/>
                      <w:szCs w:val="21"/>
                      <w:highlight w:val="none"/>
                      <w:lang w:eastAsia="zh-CN"/>
                    </w:rPr>
                  </w:pPr>
                  <w:r>
                    <w:rPr>
                      <w:rFonts w:hint="eastAsia" w:ascii="Times New Roman" w:hAnsi="Times New Roman" w:eastAsia="宋体"/>
                      <w:color w:val="auto"/>
                      <w:szCs w:val="21"/>
                      <w:highlight w:val="none"/>
                      <w:lang w:val="en-US" w:eastAsia="zh-CN"/>
                    </w:rPr>
                    <w:t>1</w:t>
                  </w:r>
                </w:p>
              </w:tc>
            </w:tr>
            <w:tr w14:paraId="45C72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07" w:type="dxa"/>
                  <w:vAlign w:val="center"/>
                </w:tcPr>
                <w:p w14:paraId="64FEDE11">
                  <w:pPr>
                    <w:jc w:val="center"/>
                    <w:textAlignment w:val="baseline"/>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w:t>
                  </w:r>
                </w:p>
              </w:tc>
              <w:tc>
                <w:tcPr>
                  <w:tcW w:w="586" w:type="dxa"/>
                  <w:vMerge w:val="continue"/>
                  <w:vAlign w:val="center"/>
                </w:tcPr>
                <w:p w14:paraId="7B859FFD">
                  <w:pPr>
                    <w:jc w:val="center"/>
                    <w:textAlignment w:val="baseline"/>
                    <w:rPr>
                      <w:rFonts w:hint="default" w:ascii="Times New Roman" w:hAnsi="Times New Roman" w:eastAsia="宋体" w:cs="Times New Roman"/>
                      <w:color w:val="auto"/>
                      <w:szCs w:val="21"/>
                      <w:highlight w:val="none"/>
                    </w:rPr>
                  </w:pPr>
                </w:p>
              </w:tc>
              <w:tc>
                <w:tcPr>
                  <w:tcW w:w="750" w:type="dxa"/>
                  <w:vAlign w:val="center"/>
                </w:tcPr>
                <w:p w14:paraId="046E7338">
                  <w:pPr>
                    <w:jc w:val="center"/>
                    <w:rPr>
                      <w:rFonts w:hint="default" w:ascii="Times New Roman" w:hAnsi="Times New Roman" w:eastAsia="宋体" w:cs="Times New Roman"/>
                      <w:color w:val="auto"/>
                      <w:sz w:val="21"/>
                      <w:szCs w:val="21"/>
                      <w:highlight w:val="none"/>
                    </w:rPr>
                  </w:pPr>
                  <w:r>
                    <w:rPr>
                      <w:rFonts w:hint="eastAsia"/>
                      <w:color w:val="auto"/>
                      <w:szCs w:val="21"/>
                      <w:lang w:val="en-US" w:eastAsia="zh-CN"/>
                    </w:rPr>
                    <w:t>数控折弯机</w:t>
                  </w:r>
                </w:p>
              </w:tc>
              <w:tc>
                <w:tcPr>
                  <w:tcW w:w="832" w:type="dxa"/>
                  <w:vAlign w:val="center"/>
                </w:tcPr>
                <w:p w14:paraId="72215B98">
                  <w:pPr>
                    <w:jc w:val="center"/>
                    <w:rPr>
                      <w:rFonts w:hint="default"/>
                      <w:color w:val="auto"/>
                      <w:szCs w:val="21"/>
                      <w:lang w:val="en-US" w:eastAsia="zh-CN"/>
                    </w:rPr>
                  </w:pPr>
                  <w:r>
                    <w:rPr>
                      <w:rFonts w:hint="eastAsia"/>
                      <w:color w:val="auto"/>
                      <w:szCs w:val="21"/>
                      <w:lang w:val="en-US" w:eastAsia="zh-CN"/>
                    </w:rPr>
                    <w:t>4台</w:t>
                  </w:r>
                </w:p>
              </w:tc>
              <w:tc>
                <w:tcPr>
                  <w:tcW w:w="475" w:type="dxa"/>
                  <w:vAlign w:val="center"/>
                </w:tcPr>
                <w:p w14:paraId="03DB498F">
                  <w:pPr>
                    <w:jc w:val="center"/>
                    <w:rPr>
                      <w:rFonts w:ascii="Times New Roman" w:hAnsi="Times New Roman" w:eastAsia="宋体"/>
                      <w:color w:val="auto"/>
                      <w:szCs w:val="21"/>
                      <w:highlight w:val="none"/>
                    </w:rPr>
                  </w:pPr>
                  <w:r>
                    <w:rPr>
                      <w:rFonts w:hint="eastAsia" w:ascii="Times New Roman" w:hAnsi="Times New Roman" w:eastAsia="宋体"/>
                      <w:color w:val="auto"/>
                      <w:szCs w:val="21"/>
                      <w:highlight w:val="none"/>
                      <w:lang w:eastAsia="zh-CN"/>
                    </w:rPr>
                    <w:t>类比法</w:t>
                  </w:r>
                </w:p>
              </w:tc>
              <w:tc>
                <w:tcPr>
                  <w:tcW w:w="1282" w:type="dxa"/>
                  <w:vAlign w:val="center"/>
                </w:tcPr>
                <w:p w14:paraId="16596E20">
                  <w:pPr>
                    <w:adjustRightInd w:val="0"/>
                    <w:snapToGrid w:val="0"/>
                    <w:jc w:val="center"/>
                    <w:rPr>
                      <w:rFonts w:ascii="Times New Roman" w:hAnsi="Times New Roman" w:eastAsia="宋体"/>
                      <w:color w:val="auto"/>
                      <w:szCs w:val="21"/>
                      <w:highlight w:val="none"/>
                    </w:rPr>
                  </w:pPr>
                  <w:r>
                    <w:rPr>
                      <w:rFonts w:hint="eastAsia" w:ascii="Times New Roman" w:hAnsi="Times New Roman" w:eastAsia="宋体"/>
                      <w:color w:val="auto"/>
                      <w:szCs w:val="21"/>
                      <w:highlight w:val="none"/>
                      <w:lang w:val="en-US" w:eastAsia="zh-CN"/>
                    </w:rPr>
                    <w:t>8</w:t>
                  </w:r>
                  <w:r>
                    <w:rPr>
                      <w:rFonts w:ascii="Times New Roman" w:hAnsi="Times New Roman" w:eastAsia="宋体"/>
                      <w:color w:val="auto"/>
                      <w:szCs w:val="21"/>
                      <w:highlight w:val="none"/>
                    </w:rPr>
                    <w:t>0</w:t>
                  </w:r>
                  <w:r>
                    <w:rPr>
                      <w:rFonts w:hint="eastAsia" w:ascii="Times New Roman" w:hAnsi="Times New Roman" w:eastAsia="宋体"/>
                      <w:color w:val="auto"/>
                      <w:szCs w:val="21"/>
                      <w:highlight w:val="none"/>
                      <w:lang w:val="en-US" w:eastAsia="zh-CN"/>
                    </w:rPr>
                    <w:t>/1</w:t>
                  </w:r>
                </w:p>
              </w:tc>
              <w:tc>
                <w:tcPr>
                  <w:tcW w:w="511" w:type="dxa"/>
                  <w:vMerge w:val="continue"/>
                  <w:vAlign w:val="center"/>
                </w:tcPr>
                <w:p w14:paraId="2521C369">
                  <w:pPr>
                    <w:jc w:val="center"/>
                    <w:rPr>
                      <w:rFonts w:ascii="Times New Roman" w:hAnsi="Times New Roman" w:eastAsia="宋体"/>
                      <w:color w:val="auto"/>
                      <w:szCs w:val="21"/>
                      <w:highlight w:val="none"/>
                    </w:rPr>
                  </w:pPr>
                </w:p>
              </w:tc>
              <w:tc>
                <w:tcPr>
                  <w:tcW w:w="541" w:type="dxa"/>
                  <w:vAlign w:val="center"/>
                </w:tcPr>
                <w:p w14:paraId="0DF4D640">
                  <w:pPr>
                    <w:widowControl/>
                    <w:jc w:val="center"/>
                    <w:textAlignment w:val="center"/>
                    <w:rPr>
                      <w:rFonts w:hint="default" w:ascii="Times New Roman" w:hAnsi="Times New Roman" w:eastAsia="宋体"/>
                      <w:color w:val="auto"/>
                      <w:kern w:val="0"/>
                      <w:szCs w:val="21"/>
                      <w:highlight w:val="none"/>
                      <w:lang w:val="en-US" w:eastAsia="zh-CN" w:bidi="ar"/>
                    </w:rPr>
                  </w:pPr>
                  <w:r>
                    <w:rPr>
                      <w:rFonts w:hint="eastAsia" w:ascii="Times New Roman" w:hAnsi="Times New Roman" w:eastAsia="宋体"/>
                      <w:color w:val="auto"/>
                      <w:kern w:val="0"/>
                      <w:szCs w:val="21"/>
                      <w:highlight w:val="none"/>
                      <w:lang w:val="en-US" w:eastAsia="zh-CN" w:bidi="ar"/>
                    </w:rPr>
                    <w:t>2</w:t>
                  </w:r>
                  <w:r>
                    <w:rPr>
                      <w:rFonts w:hint="eastAsia"/>
                      <w:color w:val="auto"/>
                      <w:kern w:val="0"/>
                      <w:szCs w:val="21"/>
                      <w:highlight w:val="none"/>
                      <w:lang w:val="en-US" w:eastAsia="zh-CN" w:bidi="ar"/>
                    </w:rPr>
                    <w:t>70</w:t>
                  </w:r>
                </w:p>
              </w:tc>
              <w:tc>
                <w:tcPr>
                  <w:tcW w:w="540" w:type="dxa"/>
                  <w:vAlign w:val="center"/>
                </w:tcPr>
                <w:p w14:paraId="2AA820AB">
                  <w:pPr>
                    <w:widowControl/>
                    <w:jc w:val="center"/>
                    <w:textAlignment w:val="center"/>
                    <w:rPr>
                      <w:rFonts w:hint="default" w:ascii="Times New Roman" w:hAnsi="Times New Roman" w:eastAsia="宋体"/>
                      <w:color w:val="auto"/>
                      <w:kern w:val="0"/>
                      <w:szCs w:val="21"/>
                      <w:highlight w:val="none"/>
                      <w:lang w:val="en-US" w:eastAsia="zh-CN" w:bidi="ar"/>
                    </w:rPr>
                  </w:pPr>
                  <w:r>
                    <w:rPr>
                      <w:rFonts w:hint="eastAsia"/>
                      <w:color w:val="auto"/>
                      <w:kern w:val="0"/>
                      <w:szCs w:val="21"/>
                      <w:highlight w:val="none"/>
                      <w:lang w:val="en-US" w:eastAsia="zh-CN" w:bidi="ar"/>
                    </w:rPr>
                    <w:t>180</w:t>
                  </w:r>
                </w:p>
              </w:tc>
              <w:tc>
                <w:tcPr>
                  <w:tcW w:w="420" w:type="dxa"/>
                  <w:vAlign w:val="center"/>
                </w:tcPr>
                <w:p w14:paraId="44342E26">
                  <w:pPr>
                    <w:widowControl/>
                    <w:jc w:val="center"/>
                    <w:textAlignment w:val="center"/>
                    <w:rPr>
                      <w:rFonts w:ascii="Times New Roman" w:hAnsi="Times New Roman" w:eastAsia="宋体"/>
                      <w:color w:val="auto"/>
                      <w:kern w:val="0"/>
                      <w:szCs w:val="21"/>
                      <w:highlight w:val="none"/>
                      <w:lang w:bidi="ar"/>
                    </w:rPr>
                  </w:pPr>
                  <w:r>
                    <w:rPr>
                      <w:rFonts w:ascii="Times New Roman" w:hAnsi="Times New Roman" w:eastAsia="宋体"/>
                      <w:color w:val="auto"/>
                      <w:kern w:val="0"/>
                      <w:szCs w:val="21"/>
                      <w:highlight w:val="none"/>
                      <w:lang w:bidi="ar"/>
                    </w:rPr>
                    <w:t>1</w:t>
                  </w:r>
                </w:p>
              </w:tc>
              <w:tc>
                <w:tcPr>
                  <w:tcW w:w="1395" w:type="dxa"/>
                  <w:vAlign w:val="center"/>
                </w:tcPr>
                <w:p w14:paraId="6EFB5800">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室内东</w:t>
                  </w:r>
                  <w:r>
                    <w:rPr>
                      <w:rFonts w:hint="eastAsia"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18</w:t>
                  </w:r>
                </w:p>
                <w:p w14:paraId="2171CEA9">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w:t>
                  </w:r>
                  <w:r>
                    <w:rPr>
                      <w:rFonts w:hint="eastAsia" w:cs="Times New Roman"/>
                      <w:color w:val="auto"/>
                      <w:kern w:val="0"/>
                      <w:sz w:val="18"/>
                      <w:szCs w:val="18"/>
                      <w:highlight w:val="none"/>
                      <w:lang w:val="en-US" w:eastAsia="zh-CN" w:bidi="ar"/>
                    </w:rPr>
                    <w:t>东</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17</w:t>
                  </w:r>
                </w:p>
                <w:p w14:paraId="65DC4D27">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w:t>
                  </w:r>
                  <w:r>
                    <w:rPr>
                      <w:rFonts w:hint="eastAsia" w:ascii="Times New Roman" w:hAnsi="Times New Roman" w:eastAsia="宋体" w:cs="Times New Roman"/>
                      <w:color w:val="auto"/>
                      <w:kern w:val="0"/>
                      <w:sz w:val="18"/>
                      <w:szCs w:val="18"/>
                      <w:highlight w:val="none"/>
                      <w:lang w:val="en-US" w:eastAsia="zh-CN" w:bidi="ar"/>
                    </w:rPr>
                    <w:t>西</w:t>
                  </w:r>
                  <w:r>
                    <w:rPr>
                      <w:rFonts w:hint="eastAsia" w:cs="Times New Roman"/>
                      <w:color w:val="auto"/>
                      <w:kern w:val="0"/>
                      <w:sz w:val="18"/>
                      <w:szCs w:val="18"/>
                      <w:highlight w:val="none"/>
                      <w:lang w:val="en-US" w:eastAsia="zh-CN" w:bidi="ar"/>
                    </w:rPr>
                    <w:t>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102</w:t>
                  </w:r>
                </w:p>
                <w:p w14:paraId="14F84727">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olor w:val="auto"/>
                      <w:kern w:val="0"/>
                      <w:szCs w:val="21"/>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w:t>
                  </w:r>
                  <w:r>
                    <w:rPr>
                      <w:rFonts w:hint="eastAsia" w:cs="Times New Roman"/>
                      <w:color w:val="auto"/>
                      <w:kern w:val="0"/>
                      <w:sz w:val="18"/>
                      <w:szCs w:val="18"/>
                      <w:highlight w:val="none"/>
                      <w:lang w:val="en-US" w:eastAsia="zh-CN" w:bidi="ar"/>
                    </w:rPr>
                    <w:t>西</w:t>
                  </w:r>
                  <w:r>
                    <w:rPr>
                      <w:rFonts w:hint="eastAsia" w:ascii="Times New Roman" w:hAnsi="Times New Roman" w:eastAsia="宋体"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32</w:t>
                  </w:r>
                </w:p>
              </w:tc>
              <w:tc>
                <w:tcPr>
                  <w:tcW w:w="1470" w:type="dxa"/>
                  <w:vAlign w:val="center"/>
                </w:tcPr>
                <w:p w14:paraId="3DF20C1D">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室内东</w:t>
                  </w:r>
                  <w:r>
                    <w:rPr>
                      <w:rFonts w:hint="eastAsia"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54.9</w:t>
                  </w:r>
                </w:p>
                <w:p w14:paraId="4EDA41BC">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w:t>
                  </w:r>
                  <w:r>
                    <w:rPr>
                      <w:rFonts w:hint="eastAsia" w:cs="Times New Roman"/>
                      <w:color w:val="auto"/>
                      <w:kern w:val="0"/>
                      <w:sz w:val="18"/>
                      <w:szCs w:val="18"/>
                      <w:highlight w:val="none"/>
                      <w:lang w:val="en-US" w:eastAsia="zh-CN" w:bidi="ar"/>
                    </w:rPr>
                    <w:t>东</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55.4</w:t>
                  </w:r>
                </w:p>
                <w:p w14:paraId="34747E83">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w:t>
                  </w:r>
                  <w:r>
                    <w:rPr>
                      <w:rFonts w:hint="eastAsia" w:ascii="Times New Roman" w:hAnsi="Times New Roman" w:eastAsia="宋体" w:cs="Times New Roman"/>
                      <w:color w:val="auto"/>
                      <w:kern w:val="0"/>
                      <w:sz w:val="18"/>
                      <w:szCs w:val="18"/>
                      <w:highlight w:val="none"/>
                      <w:lang w:val="en-US" w:eastAsia="zh-CN" w:bidi="ar"/>
                    </w:rPr>
                    <w:t>西</w:t>
                  </w:r>
                  <w:r>
                    <w:rPr>
                      <w:rFonts w:hint="eastAsia" w:cs="Times New Roman"/>
                      <w:color w:val="auto"/>
                      <w:kern w:val="0"/>
                      <w:sz w:val="18"/>
                      <w:szCs w:val="18"/>
                      <w:highlight w:val="none"/>
                      <w:lang w:val="en-US" w:eastAsia="zh-CN" w:bidi="ar"/>
                    </w:rPr>
                    <w:t>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39.8</w:t>
                  </w:r>
                </w:p>
                <w:p w14:paraId="7E888F04">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olor w:val="auto"/>
                      <w:szCs w:val="21"/>
                      <w:highlight w:val="none"/>
                      <w:lang w:val="en-US"/>
                    </w:rPr>
                  </w:pPr>
                  <w:r>
                    <w:rPr>
                      <w:rFonts w:hint="default" w:ascii="Times New Roman" w:hAnsi="Times New Roman" w:eastAsia="宋体" w:cs="Times New Roman"/>
                      <w:color w:val="auto"/>
                      <w:kern w:val="0"/>
                      <w:sz w:val="18"/>
                      <w:szCs w:val="18"/>
                      <w:highlight w:val="none"/>
                      <w:lang w:val="en-US" w:eastAsia="zh-CN" w:bidi="ar"/>
                    </w:rPr>
                    <w:t>室内</w:t>
                  </w:r>
                  <w:r>
                    <w:rPr>
                      <w:rFonts w:hint="eastAsia" w:cs="Times New Roman"/>
                      <w:color w:val="auto"/>
                      <w:kern w:val="0"/>
                      <w:sz w:val="18"/>
                      <w:szCs w:val="18"/>
                      <w:highlight w:val="none"/>
                      <w:lang w:val="en-US" w:eastAsia="zh-CN" w:bidi="ar"/>
                    </w:rPr>
                    <w:t>西</w:t>
                  </w:r>
                  <w:r>
                    <w:rPr>
                      <w:rFonts w:hint="eastAsia" w:ascii="Times New Roman" w:hAnsi="Times New Roman" w:eastAsia="宋体"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49.9</w:t>
                  </w:r>
                </w:p>
              </w:tc>
              <w:tc>
                <w:tcPr>
                  <w:tcW w:w="1095" w:type="dxa"/>
                  <w:vAlign w:val="center"/>
                </w:tcPr>
                <w:p w14:paraId="1D0F733E">
                  <w:pPr>
                    <w:jc w:val="center"/>
                    <w:rPr>
                      <w:rFonts w:ascii="Times New Roman" w:hAnsi="Times New Roman" w:eastAsia="宋体"/>
                      <w:color w:val="auto"/>
                      <w:szCs w:val="21"/>
                      <w:highlight w:val="none"/>
                    </w:rPr>
                  </w:pPr>
                  <w:r>
                    <w:rPr>
                      <w:rFonts w:hint="eastAsia" w:ascii="Times New Roman" w:hAnsi="Times New Roman" w:eastAsia="宋体"/>
                      <w:color w:val="auto"/>
                      <w:szCs w:val="21"/>
                      <w:highlight w:val="none"/>
                      <w:lang w:val="en-US" w:eastAsia="zh-CN"/>
                    </w:rPr>
                    <w:t>8:</w:t>
                  </w:r>
                  <w:r>
                    <w:rPr>
                      <w:rFonts w:hint="eastAsia"/>
                      <w:color w:val="auto"/>
                      <w:szCs w:val="21"/>
                      <w:highlight w:val="none"/>
                      <w:lang w:val="en-US" w:eastAsia="zh-CN"/>
                    </w:rPr>
                    <w:t>0</w:t>
                  </w:r>
                  <w:r>
                    <w:rPr>
                      <w:rFonts w:hint="eastAsia" w:ascii="Times New Roman" w:hAnsi="Times New Roman" w:eastAsia="宋体"/>
                      <w:color w:val="auto"/>
                      <w:szCs w:val="21"/>
                      <w:highlight w:val="none"/>
                      <w:lang w:val="en-US" w:eastAsia="zh-CN"/>
                    </w:rPr>
                    <w:t>0~</w:t>
                  </w:r>
                  <w:r>
                    <w:rPr>
                      <w:rFonts w:hint="eastAsia"/>
                      <w:color w:val="auto"/>
                      <w:szCs w:val="21"/>
                      <w:highlight w:val="none"/>
                      <w:lang w:val="en-US" w:eastAsia="zh-CN"/>
                    </w:rPr>
                    <w:t>20</w:t>
                  </w:r>
                  <w:r>
                    <w:rPr>
                      <w:rFonts w:hint="eastAsia" w:ascii="Times New Roman" w:hAnsi="Times New Roman" w:eastAsia="宋体"/>
                      <w:color w:val="auto"/>
                      <w:szCs w:val="21"/>
                      <w:highlight w:val="none"/>
                      <w:lang w:val="en-US" w:eastAsia="zh-CN"/>
                    </w:rPr>
                    <w:t>:</w:t>
                  </w:r>
                  <w:r>
                    <w:rPr>
                      <w:rFonts w:hint="eastAsia"/>
                      <w:color w:val="auto"/>
                      <w:szCs w:val="21"/>
                      <w:highlight w:val="none"/>
                      <w:lang w:val="en-US" w:eastAsia="zh-CN"/>
                    </w:rPr>
                    <w:t>0</w:t>
                  </w:r>
                  <w:r>
                    <w:rPr>
                      <w:rFonts w:hint="eastAsia" w:ascii="Times New Roman" w:hAnsi="Times New Roman" w:eastAsia="宋体"/>
                      <w:color w:val="auto"/>
                      <w:szCs w:val="21"/>
                      <w:highlight w:val="none"/>
                      <w:lang w:val="en-US" w:eastAsia="zh-CN"/>
                    </w:rPr>
                    <w:t>0</w:t>
                  </w:r>
                </w:p>
              </w:tc>
              <w:tc>
                <w:tcPr>
                  <w:tcW w:w="930" w:type="dxa"/>
                  <w:vAlign w:val="center"/>
                </w:tcPr>
                <w:p w14:paraId="4F41A5AF">
                  <w:pPr>
                    <w:jc w:val="center"/>
                    <w:rPr>
                      <w:rFonts w:ascii="Times New Roman" w:hAnsi="Times New Roman" w:eastAsia="宋体"/>
                      <w:color w:val="auto"/>
                      <w:szCs w:val="21"/>
                      <w:highlight w:val="none"/>
                    </w:rPr>
                  </w:pPr>
                  <w:r>
                    <w:rPr>
                      <w:rFonts w:ascii="Times New Roman" w:hAnsi="Times New Roman" w:eastAsia="宋体"/>
                      <w:color w:val="auto"/>
                      <w:szCs w:val="21"/>
                      <w:highlight w:val="none"/>
                    </w:rPr>
                    <w:t>15</w:t>
                  </w:r>
                </w:p>
              </w:tc>
              <w:tc>
                <w:tcPr>
                  <w:tcW w:w="1440" w:type="dxa"/>
                  <w:vAlign w:val="center"/>
                </w:tcPr>
                <w:p w14:paraId="10E88D88">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w:t>
                  </w:r>
                  <w:r>
                    <w:rPr>
                      <w:rFonts w:hint="eastAsia" w:cs="Times New Roman"/>
                      <w:color w:val="auto"/>
                      <w:kern w:val="0"/>
                      <w:sz w:val="18"/>
                      <w:szCs w:val="18"/>
                      <w:highlight w:val="none"/>
                      <w:lang w:val="en-US" w:eastAsia="zh-CN" w:bidi="ar"/>
                    </w:rPr>
                    <w:t>外</w:t>
                  </w:r>
                  <w:r>
                    <w:rPr>
                      <w:rFonts w:hint="default" w:ascii="Times New Roman" w:hAnsi="Times New Roman" w:eastAsia="宋体" w:cs="Times New Roman"/>
                      <w:color w:val="auto"/>
                      <w:kern w:val="0"/>
                      <w:sz w:val="18"/>
                      <w:szCs w:val="18"/>
                      <w:highlight w:val="none"/>
                      <w:lang w:val="en-US" w:eastAsia="zh-CN" w:bidi="ar"/>
                    </w:rPr>
                    <w:t>东</w:t>
                  </w:r>
                  <w:r>
                    <w:rPr>
                      <w:rFonts w:hint="eastAsia"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39.9</w:t>
                  </w:r>
                </w:p>
                <w:p w14:paraId="770ED5F9">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w:t>
                  </w:r>
                  <w:r>
                    <w:rPr>
                      <w:rFonts w:hint="eastAsia" w:cs="Times New Roman"/>
                      <w:color w:val="auto"/>
                      <w:kern w:val="0"/>
                      <w:sz w:val="18"/>
                      <w:szCs w:val="18"/>
                      <w:highlight w:val="none"/>
                      <w:lang w:val="en-US" w:eastAsia="zh-CN" w:bidi="ar"/>
                    </w:rPr>
                    <w:t>外东</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40.4</w:t>
                  </w:r>
                </w:p>
                <w:p w14:paraId="0122C01F">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w:t>
                  </w:r>
                  <w:r>
                    <w:rPr>
                      <w:rFonts w:hint="eastAsia" w:cs="Times New Roman"/>
                      <w:color w:val="auto"/>
                      <w:kern w:val="0"/>
                      <w:sz w:val="18"/>
                      <w:szCs w:val="18"/>
                      <w:highlight w:val="none"/>
                      <w:lang w:val="en-US" w:eastAsia="zh-CN" w:bidi="ar"/>
                    </w:rPr>
                    <w:t>外</w:t>
                  </w:r>
                  <w:r>
                    <w:rPr>
                      <w:rFonts w:hint="eastAsia" w:ascii="Times New Roman" w:hAnsi="Times New Roman" w:eastAsia="宋体" w:cs="Times New Roman"/>
                      <w:color w:val="auto"/>
                      <w:kern w:val="0"/>
                      <w:sz w:val="18"/>
                      <w:szCs w:val="18"/>
                      <w:highlight w:val="none"/>
                      <w:lang w:val="en-US" w:eastAsia="zh-CN" w:bidi="ar"/>
                    </w:rPr>
                    <w:t>西</w:t>
                  </w:r>
                  <w:r>
                    <w:rPr>
                      <w:rFonts w:hint="eastAsia" w:cs="Times New Roman"/>
                      <w:color w:val="auto"/>
                      <w:kern w:val="0"/>
                      <w:sz w:val="18"/>
                      <w:szCs w:val="18"/>
                      <w:highlight w:val="none"/>
                      <w:lang w:val="en-US" w:eastAsia="zh-CN" w:bidi="ar"/>
                    </w:rPr>
                    <w:t>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24.8</w:t>
                  </w:r>
                </w:p>
                <w:p w14:paraId="71E2A30A">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olor w:val="auto"/>
                      <w:szCs w:val="21"/>
                      <w:highlight w:val="none"/>
                      <w:lang w:val="en-US"/>
                    </w:rPr>
                  </w:pPr>
                  <w:r>
                    <w:rPr>
                      <w:rFonts w:hint="default" w:ascii="Times New Roman" w:hAnsi="Times New Roman" w:eastAsia="宋体" w:cs="Times New Roman"/>
                      <w:color w:val="auto"/>
                      <w:kern w:val="0"/>
                      <w:sz w:val="18"/>
                      <w:szCs w:val="18"/>
                      <w:highlight w:val="none"/>
                      <w:lang w:val="en-US" w:eastAsia="zh-CN" w:bidi="ar"/>
                    </w:rPr>
                    <w:t>室</w:t>
                  </w:r>
                  <w:r>
                    <w:rPr>
                      <w:rFonts w:hint="eastAsia" w:cs="Times New Roman"/>
                      <w:color w:val="auto"/>
                      <w:kern w:val="0"/>
                      <w:sz w:val="18"/>
                      <w:szCs w:val="18"/>
                      <w:highlight w:val="none"/>
                      <w:lang w:val="en-US" w:eastAsia="zh-CN" w:bidi="ar"/>
                    </w:rPr>
                    <w:t>外西</w:t>
                  </w:r>
                  <w:r>
                    <w:rPr>
                      <w:rFonts w:hint="eastAsia" w:ascii="Times New Roman" w:hAnsi="Times New Roman" w:eastAsia="宋体"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34.9</w:t>
                  </w:r>
                </w:p>
              </w:tc>
              <w:tc>
                <w:tcPr>
                  <w:tcW w:w="900" w:type="dxa"/>
                  <w:vAlign w:val="center"/>
                </w:tcPr>
                <w:p w14:paraId="523BED31">
                  <w:pPr>
                    <w:jc w:val="center"/>
                    <w:rPr>
                      <w:rFonts w:hint="eastAsia" w:ascii="Times New Roman" w:hAnsi="Times New Roman" w:eastAsia="宋体"/>
                      <w:color w:val="auto"/>
                      <w:szCs w:val="21"/>
                      <w:highlight w:val="none"/>
                      <w:lang w:eastAsia="zh-CN"/>
                    </w:rPr>
                  </w:pPr>
                  <w:r>
                    <w:rPr>
                      <w:rFonts w:hint="eastAsia" w:ascii="Times New Roman" w:hAnsi="Times New Roman" w:eastAsia="宋体"/>
                      <w:color w:val="auto"/>
                      <w:szCs w:val="21"/>
                      <w:highlight w:val="none"/>
                      <w:lang w:val="en-US" w:eastAsia="zh-CN"/>
                    </w:rPr>
                    <w:t>1</w:t>
                  </w:r>
                </w:p>
              </w:tc>
            </w:tr>
            <w:tr w14:paraId="3CED4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07" w:type="dxa"/>
                  <w:vAlign w:val="center"/>
                </w:tcPr>
                <w:p w14:paraId="365D3D41">
                  <w:pPr>
                    <w:jc w:val="center"/>
                    <w:textAlignment w:val="baseline"/>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3</w:t>
                  </w:r>
                </w:p>
              </w:tc>
              <w:tc>
                <w:tcPr>
                  <w:tcW w:w="586" w:type="dxa"/>
                  <w:vMerge w:val="continue"/>
                  <w:vAlign w:val="center"/>
                </w:tcPr>
                <w:p w14:paraId="1E0EF16B">
                  <w:pPr>
                    <w:jc w:val="center"/>
                    <w:textAlignment w:val="baseline"/>
                    <w:rPr>
                      <w:rFonts w:hint="default" w:ascii="Times New Roman" w:hAnsi="Times New Roman" w:eastAsia="宋体" w:cs="Times New Roman"/>
                      <w:color w:val="auto"/>
                      <w:szCs w:val="21"/>
                      <w:highlight w:val="none"/>
                    </w:rPr>
                  </w:pPr>
                </w:p>
              </w:tc>
              <w:tc>
                <w:tcPr>
                  <w:tcW w:w="750" w:type="dxa"/>
                  <w:vAlign w:val="center"/>
                </w:tcPr>
                <w:p w14:paraId="0213737C">
                  <w:pPr>
                    <w:jc w:val="center"/>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抛丸机</w:t>
                  </w:r>
                </w:p>
              </w:tc>
              <w:tc>
                <w:tcPr>
                  <w:tcW w:w="832" w:type="dxa"/>
                  <w:vAlign w:val="center"/>
                </w:tcPr>
                <w:p w14:paraId="548E9725">
                  <w:pPr>
                    <w:jc w:val="center"/>
                    <w:rPr>
                      <w:rFonts w:hint="default"/>
                      <w:color w:val="auto"/>
                      <w:szCs w:val="21"/>
                      <w:lang w:val="en-US" w:eastAsia="zh-CN"/>
                    </w:rPr>
                  </w:pPr>
                  <w:r>
                    <w:rPr>
                      <w:rFonts w:hint="eastAsia"/>
                      <w:color w:val="auto"/>
                      <w:szCs w:val="21"/>
                      <w:lang w:val="en-US" w:eastAsia="zh-CN"/>
                    </w:rPr>
                    <w:t>1台</w:t>
                  </w:r>
                </w:p>
              </w:tc>
              <w:tc>
                <w:tcPr>
                  <w:tcW w:w="475" w:type="dxa"/>
                  <w:vAlign w:val="center"/>
                </w:tcPr>
                <w:p w14:paraId="4FC11D37">
                  <w:pPr>
                    <w:jc w:val="center"/>
                    <w:rPr>
                      <w:rFonts w:ascii="Times New Roman" w:hAnsi="Times New Roman" w:eastAsia="宋体"/>
                      <w:color w:val="auto"/>
                      <w:szCs w:val="21"/>
                      <w:highlight w:val="none"/>
                    </w:rPr>
                  </w:pPr>
                  <w:r>
                    <w:rPr>
                      <w:rFonts w:hint="eastAsia" w:ascii="Times New Roman" w:hAnsi="Times New Roman" w:eastAsia="宋体"/>
                      <w:color w:val="auto"/>
                      <w:szCs w:val="21"/>
                      <w:highlight w:val="none"/>
                      <w:lang w:eastAsia="zh-CN"/>
                    </w:rPr>
                    <w:t>类比法</w:t>
                  </w:r>
                </w:p>
              </w:tc>
              <w:tc>
                <w:tcPr>
                  <w:tcW w:w="1282" w:type="dxa"/>
                  <w:vAlign w:val="center"/>
                </w:tcPr>
                <w:p w14:paraId="0BA6B00A">
                  <w:pPr>
                    <w:adjustRightInd w:val="0"/>
                    <w:snapToGrid w:val="0"/>
                    <w:jc w:val="center"/>
                    <w:rPr>
                      <w:rFonts w:ascii="Times New Roman" w:hAnsi="Times New Roman" w:eastAsia="宋体"/>
                      <w:color w:val="auto"/>
                      <w:szCs w:val="21"/>
                      <w:highlight w:val="none"/>
                    </w:rPr>
                  </w:pPr>
                  <w:r>
                    <w:rPr>
                      <w:rFonts w:hint="eastAsia" w:ascii="Times New Roman" w:hAnsi="Times New Roman" w:eastAsia="宋体"/>
                      <w:color w:val="auto"/>
                      <w:szCs w:val="21"/>
                      <w:highlight w:val="none"/>
                      <w:lang w:val="en-US" w:eastAsia="zh-CN"/>
                    </w:rPr>
                    <w:t>8</w:t>
                  </w:r>
                  <w:r>
                    <w:rPr>
                      <w:rFonts w:hint="eastAsia"/>
                      <w:color w:val="auto"/>
                      <w:szCs w:val="21"/>
                      <w:highlight w:val="none"/>
                      <w:lang w:val="en-US" w:eastAsia="zh-CN"/>
                    </w:rPr>
                    <w:t>5</w:t>
                  </w:r>
                  <w:r>
                    <w:rPr>
                      <w:rFonts w:hint="eastAsia" w:ascii="Times New Roman" w:hAnsi="Times New Roman" w:eastAsia="宋体"/>
                      <w:color w:val="auto"/>
                      <w:szCs w:val="21"/>
                      <w:highlight w:val="none"/>
                      <w:lang w:val="en-US" w:eastAsia="zh-CN"/>
                    </w:rPr>
                    <w:t>/1</w:t>
                  </w:r>
                </w:p>
              </w:tc>
              <w:tc>
                <w:tcPr>
                  <w:tcW w:w="511" w:type="dxa"/>
                  <w:vMerge w:val="continue"/>
                  <w:vAlign w:val="center"/>
                </w:tcPr>
                <w:p w14:paraId="4409B5F6">
                  <w:pPr>
                    <w:jc w:val="center"/>
                    <w:rPr>
                      <w:rFonts w:ascii="Times New Roman" w:hAnsi="Times New Roman" w:eastAsia="宋体"/>
                      <w:color w:val="auto"/>
                      <w:szCs w:val="21"/>
                      <w:highlight w:val="none"/>
                    </w:rPr>
                  </w:pPr>
                </w:p>
              </w:tc>
              <w:tc>
                <w:tcPr>
                  <w:tcW w:w="541" w:type="dxa"/>
                  <w:vAlign w:val="center"/>
                </w:tcPr>
                <w:p w14:paraId="54E04F3B">
                  <w:pPr>
                    <w:widowControl/>
                    <w:jc w:val="center"/>
                    <w:textAlignment w:val="center"/>
                    <w:rPr>
                      <w:rFonts w:hint="default" w:ascii="Times New Roman" w:hAnsi="Times New Roman" w:eastAsia="宋体"/>
                      <w:color w:val="auto"/>
                      <w:kern w:val="0"/>
                      <w:szCs w:val="21"/>
                      <w:highlight w:val="none"/>
                      <w:lang w:val="en-US" w:eastAsia="zh-CN" w:bidi="ar"/>
                    </w:rPr>
                  </w:pPr>
                  <w:r>
                    <w:rPr>
                      <w:rFonts w:hint="eastAsia"/>
                      <w:color w:val="auto"/>
                      <w:kern w:val="0"/>
                      <w:szCs w:val="21"/>
                      <w:highlight w:val="none"/>
                      <w:lang w:val="en-US" w:eastAsia="zh-CN" w:bidi="ar"/>
                    </w:rPr>
                    <w:t>26</w:t>
                  </w:r>
                  <w:r>
                    <w:rPr>
                      <w:rFonts w:hint="eastAsia" w:ascii="Times New Roman" w:hAnsi="Times New Roman" w:eastAsia="宋体"/>
                      <w:color w:val="auto"/>
                      <w:kern w:val="0"/>
                      <w:szCs w:val="21"/>
                      <w:highlight w:val="none"/>
                      <w:lang w:val="en-US" w:eastAsia="zh-CN" w:bidi="ar"/>
                    </w:rPr>
                    <w:t>5</w:t>
                  </w:r>
                </w:p>
              </w:tc>
              <w:tc>
                <w:tcPr>
                  <w:tcW w:w="540" w:type="dxa"/>
                  <w:vAlign w:val="center"/>
                </w:tcPr>
                <w:p w14:paraId="2C7C0A07">
                  <w:pPr>
                    <w:widowControl/>
                    <w:jc w:val="center"/>
                    <w:textAlignment w:val="center"/>
                    <w:rPr>
                      <w:rFonts w:hint="default" w:ascii="Times New Roman" w:hAnsi="Times New Roman" w:eastAsia="宋体"/>
                      <w:color w:val="auto"/>
                      <w:kern w:val="0"/>
                      <w:szCs w:val="21"/>
                      <w:highlight w:val="none"/>
                      <w:lang w:val="en-US" w:eastAsia="zh-CN" w:bidi="ar"/>
                    </w:rPr>
                  </w:pPr>
                  <w:r>
                    <w:rPr>
                      <w:rFonts w:hint="eastAsia"/>
                      <w:color w:val="auto"/>
                      <w:kern w:val="0"/>
                      <w:szCs w:val="21"/>
                      <w:highlight w:val="none"/>
                      <w:lang w:val="en-US" w:eastAsia="zh-CN" w:bidi="ar"/>
                    </w:rPr>
                    <w:t>7</w:t>
                  </w:r>
                  <w:r>
                    <w:rPr>
                      <w:rFonts w:hint="eastAsia" w:ascii="Times New Roman" w:hAnsi="Times New Roman" w:eastAsia="宋体"/>
                      <w:color w:val="auto"/>
                      <w:kern w:val="0"/>
                      <w:szCs w:val="21"/>
                      <w:highlight w:val="none"/>
                      <w:lang w:val="en-US" w:eastAsia="zh-CN" w:bidi="ar"/>
                    </w:rPr>
                    <w:t>5</w:t>
                  </w:r>
                </w:p>
              </w:tc>
              <w:tc>
                <w:tcPr>
                  <w:tcW w:w="420" w:type="dxa"/>
                  <w:vAlign w:val="center"/>
                </w:tcPr>
                <w:p w14:paraId="5D270EE9">
                  <w:pPr>
                    <w:widowControl/>
                    <w:jc w:val="center"/>
                    <w:textAlignment w:val="center"/>
                    <w:rPr>
                      <w:rFonts w:hint="eastAsia" w:ascii="Times New Roman" w:hAnsi="Times New Roman" w:eastAsia="宋体"/>
                      <w:color w:val="auto"/>
                      <w:kern w:val="0"/>
                      <w:szCs w:val="21"/>
                      <w:highlight w:val="none"/>
                      <w:lang w:eastAsia="zh-CN" w:bidi="ar"/>
                    </w:rPr>
                  </w:pPr>
                  <w:r>
                    <w:rPr>
                      <w:rFonts w:hint="eastAsia" w:ascii="Times New Roman" w:hAnsi="Times New Roman" w:eastAsia="宋体"/>
                      <w:color w:val="auto"/>
                      <w:kern w:val="0"/>
                      <w:szCs w:val="21"/>
                      <w:highlight w:val="none"/>
                      <w:lang w:val="en-US" w:eastAsia="zh-CN" w:bidi="ar"/>
                    </w:rPr>
                    <w:t>1</w:t>
                  </w:r>
                </w:p>
              </w:tc>
              <w:tc>
                <w:tcPr>
                  <w:tcW w:w="1395" w:type="dxa"/>
                  <w:vAlign w:val="center"/>
                </w:tcPr>
                <w:p w14:paraId="52510308">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室内东</w:t>
                  </w:r>
                  <w:r>
                    <w:rPr>
                      <w:rFonts w:hint="eastAsia"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110</w:t>
                  </w:r>
                </w:p>
                <w:p w14:paraId="54D8C985">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w:t>
                  </w:r>
                  <w:r>
                    <w:rPr>
                      <w:rFonts w:hint="eastAsia" w:cs="Times New Roman"/>
                      <w:color w:val="auto"/>
                      <w:kern w:val="0"/>
                      <w:sz w:val="18"/>
                      <w:szCs w:val="18"/>
                      <w:highlight w:val="none"/>
                      <w:lang w:val="en-US" w:eastAsia="zh-CN" w:bidi="ar"/>
                    </w:rPr>
                    <w:t>东</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63</w:t>
                  </w:r>
                </w:p>
                <w:p w14:paraId="34CBD546">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w:t>
                  </w:r>
                  <w:r>
                    <w:rPr>
                      <w:rFonts w:hint="eastAsia" w:ascii="Times New Roman" w:hAnsi="Times New Roman" w:eastAsia="宋体" w:cs="Times New Roman"/>
                      <w:color w:val="auto"/>
                      <w:kern w:val="0"/>
                      <w:sz w:val="18"/>
                      <w:szCs w:val="18"/>
                      <w:highlight w:val="none"/>
                      <w:lang w:val="en-US" w:eastAsia="zh-CN" w:bidi="ar"/>
                    </w:rPr>
                    <w:t>西</w:t>
                  </w:r>
                  <w:r>
                    <w:rPr>
                      <w:rFonts w:hint="eastAsia" w:cs="Times New Roman"/>
                      <w:color w:val="auto"/>
                      <w:kern w:val="0"/>
                      <w:sz w:val="18"/>
                      <w:szCs w:val="18"/>
                      <w:highlight w:val="none"/>
                      <w:lang w:val="en-US" w:eastAsia="zh-CN" w:bidi="ar"/>
                    </w:rPr>
                    <w:t>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1</w:t>
                  </w:r>
                  <w:r>
                    <w:rPr>
                      <w:rFonts w:hint="eastAsia" w:ascii="Times New Roman" w:hAnsi="Times New Roman" w:eastAsia="宋体" w:cs="Times New Roman"/>
                      <w:color w:val="auto"/>
                      <w:kern w:val="0"/>
                      <w:sz w:val="18"/>
                      <w:szCs w:val="18"/>
                      <w:highlight w:val="none"/>
                      <w:lang w:val="en-US" w:eastAsia="zh-CN" w:bidi="ar"/>
                    </w:rPr>
                    <w:t>0</w:t>
                  </w:r>
                </w:p>
                <w:p w14:paraId="6E2960E5">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olor w:val="auto"/>
                      <w:kern w:val="0"/>
                      <w:szCs w:val="21"/>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w:t>
                  </w:r>
                  <w:r>
                    <w:rPr>
                      <w:rFonts w:hint="eastAsia" w:cs="Times New Roman"/>
                      <w:color w:val="auto"/>
                      <w:kern w:val="0"/>
                      <w:sz w:val="18"/>
                      <w:szCs w:val="18"/>
                      <w:highlight w:val="none"/>
                      <w:lang w:val="en-US" w:eastAsia="zh-CN" w:bidi="ar"/>
                    </w:rPr>
                    <w:t>西</w:t>
                  </w:r>
                  <w:r>
                    <w:rPr>
                      <w:rFonts w:hint="eastAsia" w:ascii="Times New Roman" w:hAnsi="Times New Roman" w:eastAsia="宋体"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85</w:t>
                  </w:r>
                </w:p>
              </w:tc>
              <w:tc>
                <w:tcPr>
                  <w:tcW w:w="1470" w:type="dxa"/>
                  <w:vAlign w:val="center"/>
                </w:tcPr>
                <w:p w14:paraId="77355E81">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室内东</w:t>
                  </w:r>
                  <w:r>
                    <w:rPr>
                      <w:rFonts w:hint="eastAsia"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44.2</w:t>
                  </w:r>
                </w:p>
                <w:p w14:paraId="7BFA3E6B">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w:t>
                  </w:r>
                  <w:r>
                    <w:rPr>
                      <w:rFonts w:hint="eastAsia" w:cs="Times New Roman"/>
                      <w:color w:val="auto"/>
                      <w:kern w:val="0"/>
                      <w:sz w:val="18"/>
                      <w:szCs w:val="18"/>
                      <w:highlight w:val="none"/>
                      <w:lang w:val="en-US" w:eastAsia="zh-CN" w:bidi="ar"/>
                    </w:rPr>
                    <w:t>东</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49.0</w:t>
                  </w:r>
                </w:p>
                <w:p w14:paraId="422C3105">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w:t>
                  </w:r>
                  <w:r>
                    <w:rPr>
                      <w:rFonts w:hint="eastAsia" w:ascii="Times New Roman" w:hAnsi="Times New Roman" w:eastAsia="宋体" w:cs="Times New Roman"/>
                      <w:color w:val="auto"/>
                      <w:kern w:val="0"/>
                      <w:sz w:val="18"/>
                      <w:szCs w:val="18"/>
                      <w:highlight w:val="none"/>
                      <w:lang w:val="en-US" w:eastAsia="zh-CN" w:bidi="ar"/>
                    </w:rPr>
                    <w:t>西</w:t>
                  </w:r>
                  <w:r>
                    <w:rPr>
                      <w:rFonts w:hint="eastAsia" w:cs="Times New Roman"/>
                      <w:color w:val="auto"/>
                      <w:kern w:val="0"/>
                      <w:sz w:val="18"/>
                      <w:szCs w:val="18"/>
                      <w:highlight w:val="none"/>
                      <w:lang w:val="en-US" w:eastAsia="zh-CN" w:bidi="ar"/>
                    </w:rPr>
                    <w:t>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65.0</w:t>
                  </w:r>
                </w:p>
                <w:p w14:paraId="1E5ED71C">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olor w:val="auto"/>
                      <w:szCs w:val="21"/>
                      <w:highlight w:val="none"/>
                      <w:lang w:val="en-US"/>
                    </w:rPr>
                  </w:pPr>
                  <w:r>
                    <w:rPr>
                      <w:rFonts w:hint="default" w:ascii="Times New Roman" w:hAnsi="Times New Roman" w:eastAsia="宋体" w:cs="Times New Roman"/>
                      <w:color w:val="auto"/>
                      <w:kern w:val="0"/>
                      <w:sz w:val="18"/>
                      <w:szCs w:val="18"/>
                      <w:highlight w:val="none"/>
                      <w:lang w:val="en-US" w:eastAsia="zh-CN" w:bidi="ar"/>
                    </w:rPr>
                    <w:t>室内</w:t>
                  </w:r>
                  <w:r>
                    <w:rPr>
                      <w:rFonts w:hint="eastAsia" w:cs="Times New Roman"/>
                      <w:color w:val="auto"/>
                      <w:kern w:val="0"/>
                      <w:sz w:val="18"/>
                      <w:szCs w:val="18"/>
                      <w:highlight w:val="none"/>
                      <w:lang w:val="en-US" w:eastAsia="zh-CN" w:bidi="ar"/>
                    </w:rPr>
                    <w:t>西</w:t>
                  </w:r>
                  <w:r>
                    <w:rPr>
                      <w:rFonts w:hint="eastAsia" w:ascii="Times New Roman" w:hAnsi="Times New Roman" w:eastAsia="宋体"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46.4</w:t>
                  </w:r>
                </w:p>
              </w:tc>
              <w:tc>
                <w:tcPr>
                  <w:tcW w:w="1095" w:type="dxa"/>
                  <w:vAlign w:val="center"/>
                </w:tcPr>
                <w:p w14:paraId="4D9D885E">
                  <w:pPr>
                    <w:jc w:val="center"/>
                    <w:rPr>
                      <w:rFonts w:ascii="Times New Roman" w:hAnsi="Times New Roman" w:eastAsia="宋体"/>
                      <w:color w:val="auto"/>
                      <w:szCs w:val="21"/>
                      <w:highlight w:val="none"/>
                    </w:rPr>
                  </w:pPr>
                  <w:r>
                    <w:rPr>
                      <w:rFonts w:hint="eastAsia" w:ascii="Times New Roman" w:hAnsi="Times New Roman" w:eastAsia="宋体"/>
                      <w:color w:val="auto"/>
                      <w:szCs w:val="21"/>
                      <w:highlight w:val="none"/>
                      <w:lang w:val="en-US" w:eastAsia="zh-CN"/>
                    </w:rPr>
                    <w:t>8:</w:t>
                  </w:r>
                  <w:r>
                    <w:rPr>
                      <w:rFonts w:hint="eastAsia"/>
                      <w:color w:val="auto"/>
                      <w:szCs w:val="21"/>
                      <w:highlight w:val="none"/>
                      <w:lang w:val="en-US" w:eastAsia="zh-CN"/>
                    </w:rPr>
                    <w:t>0</w:t>
                  </w:r>
                  <w:r>
                    <w:rPr>
                      <w:rFonts w:hint="eastAsia" w:ascii="Times New Roman" w:hAnsi="Times New Roman" w:eastAsia="宋体"/>
                      <w:color w:val="auto"/>
                      <w:szCs w:val="21"/>
                      <w:highlight w:val="none"/>
                      <w:lang w:val="en-US" w:eastAsia="zh-CN"/>
                    </w:rPr>
                    <w:t>0~</w:t>
                  </w:r>
                  <w:r>
                    <w:rPr>
                      <w:rFonts w:hint="eastAsia"/>
                      <w:color w:val="auto"/>
                      <w:szCs w:val="21"/>
                      <w:highlight w:val="none"/>
                      <w:lang w:val="en-US" w:eastAsia="zh-CN"/>
                    </w:rPr>
                    <w:t>20</w:t>
                  </w:r>
                  <w:r>
                    <w:rPr>
                      <w:rFonts w:hint="eastAsia" w:ascii="Times New Roman" w:hAnsi="Times New Roman" w:eastAsia="宋体"/>
                      <w:color w:val="auto"/>
                      <w:szCs w:val="21"/>
                      <w:highlight w:val="none"/>
                      <w:lang w:val="en-US" w:eastAsia="zh-CN"/>
                    </w:rPr>
                    <w:t>:</w:t>
                  </w:r>
                  <w:r>
                    <w:rPr>
                      <w:rFonts w:hint="eastAsia"/>
                      <w:color w:val="auto"/>
                      <w:szCs w:val="21"/>
                      <w:highlight w:val="none"/>
                      <w:lang w:val="en-US" w:eastAsia="zh-CN"/>
                    </w:rPr>
                    <w:t>0</w:t>
                  </w:r>
                  <w:r>
                    <w:rPr>
                      <w:rFonts w:hint="eastAsia" w:ascii="Times New Roman" w:hAnsi="Times New Roman" w:eastAsia="宋体"/>
                      <w:color w:val="auto"/>
                      <w:szCs w:val="21"/>
                      <w:highlight w:val="none"/>
                      <w:lang w:val="en-US" w:eastAsia="zh-CN"/>
                    </w:rPr>
                    <w:t>0</w:t>
                  </w:r>
                </w:p>
              </w:tc>
              <w:tc>
                <w:tcPr>
                  <w:tcW w:w="930" w:type="dxa"/>
                  <w:vAlign w:val="center"/>
                </w:tcPr>
                <w:p w14:paraId="2CB7ED36">
                  <w:pPr>
                    <w:jc w:val="center"/>
                    <w:rPr>
                      <w:rFonts w:ascii="Times New Roman" w:hAnsi="Times New Roman" w:eastAsia="宋体"/>
                      <w:color w:val="auto"/>
                      <w:szCs w:val="21"/>
                      <w:highlight w:val="none"/>
                    </w:rPr>
                  </w:pPr>
                  <w:r>
                    <w:rPr>
                      <w:rFonts w:ascii="Times New Roman" w:hAnsi="Times New Roman" w:eastAsia="宋体"/>
                      <w:color w:val="auto"/>
                      <w:szCs w:val="21"/>
                      <w:highlight w:val="none"/>
                    </w:rPr>
                    <w:t>15</w:t>
                  </w:r>
                </w:p>
              </w:tc>
              <w:tc>
                <w:tcPr>
                  <w:tcW w:w="1440" w:type="dxa"/>
                  <w:vAlign w:val="center"/>
                </w:tcPr>
                <w:p w14:paraId="1128F138">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w:t>
                  </w:r>
                  <w:r>
                    <w:rPr>
                      <w:rFonts w:hint="eastAsia" w:cs="Times New Roman"/>
                      <w:color w:val="auto"/>
                      <w:kern w:val="0"/>
                      <w:sz w:val="18"/>
                      <w:szCs w:val="18"/>
                      <w:highlight w:val="none"/>
                      <w:lang w:val="en-US" w:eastAsia="zh-CN" w:bidi="ar"/>
                    </w:rPr>
                    <w:t>外</w:t>
                  </w:r>
                  <w:r>
                    <w:rPr>
                      <w:rFonts w:hint="default" w:ascii="Times New Roman" w:hAnsi="Times New Roman" w:eastAsia="宋体" w:cs="Times New Roman"/>
                      <w:color w:val="auto"/>
                      <w:kern w:val="0"/>
                      <w:sz w:val="18"/>
                      <w:szCs w:val="18"/>
                      <w:highlight w:val="none"/>
                      <w:lang w:val="en-US" w:eastAsia="zh-CN" w:bidi="ar"/>
                    </w:rPr>
                    <w:t>东</w:t>
                  </w:r>
                  <w:r>
                    <w:rPr>
                      <w:rFonts w:hint="eastAsia"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29.2</w:t>
                  </w:r>
                </w:p>
                <w:p w14:paraId="0CFF2704">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w:t>
                  </w:r>
                  <w:r>
                    <w:rPr>
                      <w:rFonts w:hint="eastAsia" w:cs="Times New Roman"/>
                      <w:color w:val="auto"/>
                      <w:kern w:val="0"/>
                      <w:sz w:val="18"/>
                      <w:szCs w:val="18"/>
                      <w:highlight w:val="none"/>
                      <w:lang w:val="en-US" w:eastAsia="zh-CN" w:bidi="ar"/>
                    </w:rPr>
                    <w:t>外东</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34.0</w:t>
                  </w:r>
                </w:p>
                <w:p w14:paraId="0E469C17">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w:t>
                  </w:r>
                  <w:r>
                    <w:rPr>
                      <w:rFonts w:hint="eastAsia" w:cs="Times New Roman"/>
                      <w:color w:val="auto"/>
                      <w:kern w:val="0"/>
                      <w:sz w:val="18"/>
                      <w:szCs w:val="18"/>
                      <w:highlight w:val="none"/>
                      <w:lang w:val="en-US" w:eastAsia="zh-CN" w:bidi="ar"/>
                    </w:rPr>
                    <w:t>外</w:t>
                  </w:r>
                  <w:r>
                    <w:rPr>
                      <w:rFonts w:hint="eastAsia" w:ascii="Times New Roman" w:hAnsi="Times New Roman" w:eastAsia="宋体" w:cs="Times New Roman"/>
                      <w:color w:val="auto"/>
                      <w:kern w:val="0"/>
                      <w:sz w:val="18"/>
                      <w:szCs w:val="18"/>
                      <w:highlight w:val="none"/>
                      <w:lang w:val="en-US" w:eastAsia="zh-CN" w:bidi="ar"/>
                    </w:rPr>
                    <w:t>西</w:t>
                  </w:r>
                  <w:r>
                    <w:rPr>
                      <w:rFonts w:hint="eastAsia" w:cs="Times New Roman"/>
                      <w:color w:val="auto"/>
                      <w:kern w:val="0"/>
                      <w:sz w:val="18"/>
                      <w:szCs w:val="18"/>
                      <w:highlight w:val="none"/>
                      <w:lang w:val="en-US" w:eastAsia="zh-CN" w:bidi="ar"/>
                    </w:rPr>
                    <w:t>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50.0</w:t>
                  </w:r>
                </w:p>
                <w:p w14:paraId="646AEC1F">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ascii="Times New Roman" w:hAnsi="Times New Roman" w:eastAsia="宋体"/>
                      <w:color w:val="auto"/>
                      <w:szCs w:val="21"/>
                      <w:highlight w:val="none"/>
                    </w:rPr>
                  </w:pPr>
                  <w:r>
                    <w:rPr>
                      <w:rFonts w:hint="default" w:ascii="Times New Roman" w:hAnsi="Times New Roman" w:eastAsia="宋体" w:cs="Times New Roman"/>
                      <w:color w:val="auto"/>
                      <w:kern w:val="0"/>
                      <w:sz w:val="18"/>
                      <w:szCs w:val="18"/>
                      <w:highlight w:val="none"/>
                      <w:lang w:val="en-US" w:eastAsia="zh-CN" w:bidi="ar"/>
                    </w:rPr>
                    <w:t>室</w:t>
                  </w:r>
                  <w:r>
                    <w:rPr>
                      <w:rFonts w:hint="eastAsia" w:cs="Times New Roman"/>
                      <w:color w:val="auto"/>
                      <w:kern w:val="0"/>
                      <w:sz w:val="18"/>
                      <w:szCs w:val="18"/>
                      <w:highlight w:val="none"/>
                      <w:lang w:val="en-US" w:eastAsia="zh-CN" w:bidi="ar"/>
                    </w:rPr>
                    <w:t>外西</w:t>
                  </w:r>
                  <w:r>
                    <w:rPr>
                      <w:rFonts w:hint="eastAsia" w:ascii="Times New Roman" w:hAnsi="Times New Roman" w:eastAsia="宋体"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31.4</w:t>
                  </w:r>
                </w:p>
              </w:tc>
              <w:tc>
                <w:tcPr>
                  <w:tcW w:w="900" w:type="dxa"/>
                  <w:vAlign w:val="center"/>
                </w:tcPr>
                <w:p w14:paraId="217B8542">
                  <w:pPr>
                    <w:jc w:val="center"/>
                    <w:rPr>
                      <w:rFonts w:hint="eastAsia" w:ascii="Times New Roman" w:hAnsi="Times New Roman" w:eastAsia="宋体"/>
                      <w:color w:val="auto"/>
                      <w:szCs w:val="21"/>
                      <w:highlight w:val="none"/>
                      <w:lang w:eastAsia="zh-CN"/>
                    </w:rPr>
                  </w:pPr>
                  <w:r>
                    <w:rPr>
                      <w:rFonts w:hint="eastAsia" w:ascii="Times New Roman" w:hAnsi="Times New Roman" w:eastAsia="宋体"/>
                      <w:color w:val="auto"/>
                      <w:szCs w:val="21"/>
                      <w:highlight w:val="none"/>
                      <w:lang w:val="en-US" w:eastAsia="zh-CN"/>
                    </w:rPr>
                    <w:t>1</w:t>
                  </w:r>
                </w:p>
              </w:tc>
            </w:tr>
            <w:tr w14:paraId="267C4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07" w:type="dxa"/>
                  <w:vAlign w:val="center"/>
                </w:tcPr>
                <w:p w14:paraId="3DA71A6C">
                  <w:pPr>
                    <w:jc w:val="center"/>
                    <w:textAlignment w:val="baseline"/>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4</w:t>
                  </w:r>
                </w:p>
              </w:tc>
              <w:tc>
                <w:tcPr>
                  <w:tcW w:w="586" w:type="dxa"/>
                  <w:vMerge w:val="continue"/>
                  <w:vAlign w:val="center"/>
                </w:tcPr>
                <w:p w14:paraId="2E31D7EE">
                  <w:pPr>
                    <w:jc w:val="center"/>
                    <w:textAlignment w:val="baseline"/>
                    <w:rPr>
                      <w:rFonts w:hint="default" w:ascii="Times New Roman" w:hAnsi="Times New Roman" w:eastAsia="宋体" w:cs="Times New Roman"/>
                      <w:color w:val="auto"/>
                      <w:szCs w:val="21"/>
                      <w:highlight w:val="none"/>
                    </w:rPr>
                  </w:pPr>
                </w:p>
              </w:tc>
              <w:tc>
                <w:tcPr>
                  <w:tcW w:w="750" w:type="dxa"/>
                  <w:vAlign w:val="center"/>
                </w:tcPr>
                <w:p w14:paraId="0818703E">
                  <w:pPr>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喷砂机</w:t>
                  </w:r>
                </w:p>
              </w:tc>
              <w:tc>
                <w:tcPr>
                  <w:tcW w:w="832" w:type="dxa"/>
                  <w:vAlign w:val="center"/>
                </w:tcPr>
                <w:p w14:paraId="31702646">
                  <w:pPr>
                    <w:jc w:val="center"/>
                    <w:rPr>
                      <w:rFonts w:hint="default"/>
                      <w:color w:val="auto"/>
                      <w:szCs w:val="21"/>
                      <w:lang w:val="en-US" w:eastAsia="zh-CN"/>
                    </w:rPr>
                  </w:pPr>
                  <w:r>
                    <w:rPr>
                      <w:rFonts w:hint="eastAsia"/>
                      <w:color w:val="auto"/>
                      <w:szCs w:val="21"/>
                      <w:lang w:val="en-US" w:eastAsia="zh-CN"/>
                    </w:rPr>
                    <w:t>1台</w:t>
                  </w:r>
                </w:p>
              </w:tc>
              <w:tc>
                <w:tcPr>
                  <w:tcW w:w="475" w:type="dxa"/>
                  <w:vAlign w:val="center"/>
                </w:tcPr>
                <w:p w14:paraId="1D1350E7">
                  <w:pPr>
                    <w:jc w:val="center"/>
                    <w:rPr>
                      <w:rFonts w:hint="eastAsia" w:ascii="Times New Roman" w:hAnsi="Times New Roman" w:eastAsia="宋体"/>
                      <w:color w:val="auto"/>
                      <w:szCs w:val="21"/>
                      <w:highlight w:val="none"/>
                      <w:lang w:eastAsia="zh-CN"/>
                    </w:rPr>
                  </w:pPr>
                  <w:r>
                    <w:rPr>
                      <w:rFonts w:hint="eastAsia" w:ascii="Times New Roman" w:hAnsi="Times New Roman" w:eastAsia="宋体"/>
                      <w:color w:val="auto"/>
                      <w:szCs w:val="21"/>
                      <w:highlight w:val="none"/>
                      <w:lang w:eastAsia="zh-CN"/>
                    </w:rPr>
                    <w:t>类比法</w:t>
                  </w:r>
                </w:p>
              </w:tc>
              <w:tc>
                <w:tcPr>
                  <w:tcW w:w="1282" w:type="dxa"/>
                  <w:vAlign w:val="center"/>
                </w:tcPr>
                <w:p w14:paraId="67372257">
                  <w:pPr>
                    <w:adjustRightInd w:val="0"/>
                    <w:snapToGrid w:val="0"/>
                    <w:jc w:val="center"/>
                    <w:rPr>
                      <w:rFonts w:hint="eastAsia" w:ascii="Times New Roman" w:hAnsi="Times New Roman" w:eastAsia="宋体"/>
                      <w:color w:val="auto"/>
                      <w:szCs w:val="21"/>
                      <w:highlight w:val="none"/>
                      <w:lang w:val="en-US" w:eastAsia="zh-CN"/>
                    </w:rPr>
                  </w:pPr>
                  <w:r>
                    <w:rPr>
                      <w:rFonts w:hint="eastAsia" w:ascii="Times New Roman" w:hAnsi="Times New Roman" w:eastAsia="宋体"/>
                      <w:color w:val="auto"/>
                      <w:szCs w:val="21"/>
                      <w:highlight w:val="none"/>
                      <w:lang w:val="en-US" w:eastAsia="zh-CN"/>
                    </w:rPr>
                    <w:t>8</w:t>
                  </w:r>
                  <w:r>
                    <w:rPr>
                      <w:rFonts w:hint="eastAsia"/>
                      <w:color w:val="auto"/>
                      <w:szCs w:val="21"/>
                      <w:highlight w:val="none"/>
                      <w:lang w:val="en-US" w:eastAsia="zh-CN"/>
                    </w:rPr>
                    <w:t>5</w:t>
                  </w:r>
                  <w:r>
                    <w:rPr>
                      <w:rFonts w:hint="eastAsia" w:ascii="Times New Roman" w:hAnsi="Times New Roman" w:eastAsia="宋体"/>
                      <w:color w:val="auto"/>
                      <w:szCs w:val="21"/>
                      <w:highlight w:val="none"/>
                      <w:lang w:val="en-US" w:eastAsia="zh-CN"/>
                    </w:rPr>
                    <w:t>/1</w:t>
                  </w:r>
                </w:p>
              </w:tc>
              <w:tc>
                <w:tcPr>
                  <w:tcW w:w="511" w:type="dxa"/>
                  <w:vMerge w:val="continue"/>
                  <w:vAlign w:val="center"/>
                </w:tcPr>
                <w:p w14:paraId="00ED38C2">
                  <w:pPr>
                    <w:jc w:val="center"/>
                    <w:rPr>
                      <w:rFonts w:ascii="Times New Roman" w:hAnsi="Times New Roman" w:eastAsia="宋体"/>
                      <w:color w:val="auto"/>
                      <w:szCs w:val="21"/>
                      <w:highlight w:val="none"/>
                    </w:rPr>
                  </w:pPr>
                </w:p>
              </w:tc>
              <w:tc>
                <w:tcPr>
                  <w:tcW w:w="541" w:type="dxa"/>
                  <w:vAlign w:val="center"/>
                </w:tcPr>
                <w:p w14:paraId="6ED8046F">
                  <w:pPr>
                    <w:widowControl/>
                    <w:jc w:val="center"/>
                    <w:textAlignment w:val="center"/>
                    <w:rPr>
                      <w:rFonts w:hint="default" w:ascii="Times New Roman" w:hAnsi="Times New Roman" w:eastAsia="宋体"/>
                      <w:color w:val="auto"/>
                      <w:kern w:val="0"/>
                      <w:szCs w:val="21"/>
                      <w:highlight w:val="none"/>
                      <w:lang w:val="en-US" w:eastAsia="zh-CN" w:bidi="ar"/>
                    </w:rPr>
                  </w:pPr>
                  <w:r>
                    <w:rPr>
                      <w:rFonts w:hint="eastAsia"/>
                      <w:color w:val="auto"/>
                      <w:kern w:val="0"/>
                      <w:szCs w:val="21"/>
                      <w:highlight w:val="none"/>
                      <w:lang w:val="en-US" w:eastAsia="zh-CN" w:bidi="ar"/>
                    </w:rPr>
                    <w:t>250</w:t>
                  </w:r>
                </w:p>
              </w:tc>
              <w:tc>
                <w:tcPr>
                  <w:tcW w:w="540" w:type="dxa"/>
                  <w:vAlign w:val="center"/>
                </w:tcPr>
                <w:p w14:paraId="6DDABF07">
                  <w:pPr>
                    <w:widowControl/>
                    <w:jc w:val="center"/>
                    <w:textAlignment w:val="center"/>
                    <w:rPr>
                      <w:rFonts w:hint="default" w:ascii="Times New Roman" w:hAnsi="Times New Roman" w:eastAsia="宋体"/>
                      <w:color w:val="auto"/>
                      <w:kern w:val="0"/>
                      <w:szCs w:val="21"/>
                      <w:highlight w:val="none"/>
                      <w:lang w:val="en-US" w:eastAsia="zh-CN" w:bidi="ar"/>
                    </w:rPr>
                  </w:pPr>
                  <w:r>
                    <w:rPr>
                      <w:rFonts w:hint="eastAsia"/>
                      <w:color w:val="auto"/>
                      <w:kern w:val="0"/>
                      <w:szCs w:val="21"/>
                      <w:highlight w:val="none"/>
                      <w:lang w:val="en-US" w:eastAsia="zh-CN" w:bidi="ar"/>
                    </w:rPr>
                    <w:t>80</w:t>
                  </w:r>
                </w:p>
              </w:tc>
              <w:tc>
                <w:tcPr>
                  <w:tcW w:w="420" w:type="dxa"/>
                  <w:vAlign w:val="center"/>
                </w:tcPr>
                <w:p w14:paraId="6A19F88B">
                  <w:pPr>
                    <w:widowControl/>
                    <w:jc w:val="center"/>
                    <w:textAlignment w:val="center"/>
                    <w:rPr>
                      <w:rFonts w:hint="default" w:ascii="Times New Roman" w:hAnsi="Times New Roman" w:eastAsia="宋体"/>
                      <w:color w:val="auto"/>
                      <w:kern w:val="0"/>
                      <w:szCs w:val="21"/>
                      <w:highlight w:val="none"/>
                      <w:lang w:val="en-US" w:eastAsia="zh-CN" w:bidi="ar"/>
                    </w:rPr>
                  </w:pPr>
                  <w:r>
                    <w:rPr>
                      <w:rFonts w:hint="eastAsia"/>
                      <w:color w:val="auto"/>
                      <w:kern w:val="0"/>
                      <w:szCs w:val="21"/>
                      <w:highlight w:val="none"/>
                      <w:lang w:val="en-US" w:eastAsia="zh-CN" w:bidi="ar"/>
                    </w:rPr>
                    <w:t>1</w:t>
                  </w:r>
                </w:p>
              </w:tc>
              <w:tc>
                <w:tcPr>
                  <w:tcW w:w="1395" w:type="dxa"/>
                  <w:vAlign w:val="center"/>
                </w:tcPr>
                <w:p w14:paraId="3B39E232">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室内东</w:t>
                  </w:r>
                  <w:r>
                    <w:rPr>
                      <w:rFonts w:hint="eastAsia"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110</w:t>
                  </w:r>
                </w:p>
                <w:p w14:paraId="738BACB9">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w:t>
                  </w:r>
                  <w:r>
                    <w:rPr>
                      <w:rFonts w:hint="eastAsia" w:cs="Times New Roman"/>
                      <w:color w:val="auto"/>
                      <w:kern w:val="0"/>
                      <w:sz w:val="18"/>
                      <w:szCs w:val="18"/>
                      <w:highlight w:val="none"/>
                      <w:lang w:val="en-US" w:eastAsia="zh-CN" w:bidi="ar"/>
                    </w:rPr>
                    <w:t>东</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75</w:t>
                  </w:r>
                </w:p>
                <w:p w14:paraId="1CC88990">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w:t>
                  </w:r>
                  <w:r>
                    <w:rPr>
                      <w:rFonts w:hint="eastAsia" w:ascii="Times New Roman" w:hAnsi="Times New Roman" w:eastAsia="宋体" w:cs="Times New Roman"/>
                      <w:color w:val="auto"/>
                      <w:kern w:val="0"/>
                      <w:sz w:val="18"/>
                      <w:szCs w:val="18"/>
                      <w:highlight w:val="none"/>
                      <w:lang w:val="en-US" w:eastAsia="zh-CN" w:bidi="ar"/>
                    </w:rPr>
                    <w:t>西</w:t>
                  </w:r>
                  <w:r>
                    <w:rPr>
                      <w:rFonts w:hint="eastAsia" w:cs="Times New Roman"/>
                      <w:color w:val="auto"/>
                      <w:kern w:val="0"/>
                      <w:sz w:val="18"/>
                      <w:szCs w:val="18"/>
                      <w:highlight w:val="none"/>
                      <w:lang w:val="en-US" w:eastAsia="zh-CN" w:bidi="ar"/>
                    </w:rPr>
                    <w:t>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1</w:t>
                  </w:r>
                  <w:r>
                    <w:rPr>
                      <w:rFonts w:hint="eastAsia" w:ascii="Times New Roman" w:hAnsi="Times New Roman" w:eastAsia="宋体" w:cs="Times New Roman"/>
                      <w:color w:val="auto"/>
                      <w:kern w:val="0"/>
                      <w:sz w:val="18"/>
                      <w:szCs w:val="18"/>
                      <w:highlight w:val="none"/>
                      <w:lang w:val="en-US" w:eastAsia="zh-CN" w:bidi="ar"/>
                    </w:rPr>
                    <w:t>0</w:t>
                  </w:r>
                </w:p>
                <w:p w14:paraId="51DD0D5A">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w:t>
                  </w:r>
                  <w:r>
                    <w:rPr>
                      <w:rFonts w:hint="eastAsia" w:cs="Times New Roman"/>
                      <w:color w:val="auto"/>
                      <w:kern w:val="0"/>
                      <w:sz w:val="18"/>
                      <w:szCs w:val="18"/>
                      <w:highlight w:val="none"/>
                      <w:lang w:val="en-US" w:eastAsia="zh-CN" w:bidi="ar"/>
                    </w:rPr>
                    <w:t>西</w:t>
                  </w:r>
                  <w:r>
                    <w:rPr>
                      <w:rFonts w:hint="eastAsia" w:ascii="Times New Roman" w:hAnsi="Times New Roman" w:eastAsia="宋体"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65</w:t>
                  </w:r>
                </w:p>
              </w:tc>
              <w:tc>
                <w:tcPr>
                  <w:tcW w:w="1470" w:type="dxa"/>
                  <w:vAlign w:val="center"/>
                </w:tcPr>
                <w:p w14:paraId="5F342140">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室内东</w:t>
                  </w:r>
                  <w:r>
                    <w:rPr>
                      <w:rFonts w:hint="eastAsia"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44.2</w:t>
                  </w:r>
                </w:p>
                <w:p w14:paraId="00D77C35">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w:t>
                  </w:r>
                  <w:r>
                    <w:rPr>
                      <w:rFonts w:hint="eastAsia" w:cs="Times New Roman"/>
                      <w:color w:val="auto"/>
                      <w:kern w:val="0"/>
                      <w:sz w:val="18"/>
                      <w:szCs w:val="18"/>
                      <w:highlight w:val="none"/>
                      <w:lang w:val="en-US" w:eastAsia="zh-CN" w:bidi="ar"/>
                    </w:rPr>
                    <w:t>东</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47.5</w:t>
                  </w:r>
                </w:p>
                <w:p w14:paraId="5E68DA68">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w:t>
                  </w:r>
                  <w:r>
                    <w:rPr>
                      <w:rFonts w:hint="eastAsia" w:cs="Times New Roman"/>
                      <w:color w:val="auto"/>
                      <w:kern w:val="0"/>
                      <w:sz w:val="18"/>
                      <w:szCs w:val="18"/>
                      <w:highlight w:val="none"/>
                      <w:lang w:val="en-US" w:eastAsia="zh-CN" w:bidi="ar"/>
                    </w:rPr>
                    <w:t>西南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65.0</w:t>
                  </w:r>
                </w:p>
                <w:p w14:paraId="6445EDA4">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w:t>
                  </w:r>
                  <w:r>
                    <w:rPr>
                      <w:rFonts w:hint="eastAsia" w:cs="Times New Roman"/>
                      <w:color w:val="auto"/>
                      <w:kern w:val="0"/>
                      <w:sz w:val="18"/>
                      <w:szCs w:val="18"/>
                      <w:highlight w:val="none"/>
                      <w:lang w:val="en-US" w:eastAsia="zh-CN" w:bidi="ar"/>
                    </w:rPr>
                    <w:t>西</w:t>
                  </w:r>
                  <w:r>
                    <w:rPr>
                      <w:rFonts w:hint="eastAsia" w:ascii="Times New Roman" w:hAnsi="Times New Roman" w:eastAsia="宋体"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48.7</w:t>
                  </w:r>
                </w:p>
              </w:tc>
              <w:tc>
                <w:tcPr>
                  <w:tcW w:w="1095" w:type="dxa"/>
                  <w:vAlign w:val="center"/>
                </w:tcPr>
                <w:p w14:paraId="56E15A2C">
                  <w:pPr>
                    <w:jc w:val="center"/>
                    <w:rPr>
                      <w:rFonts w:hint="eastAsia" w:ascii="Times New Roman" w:hAnsi="Times New Roman" w:eastAsia="宋体"/>
                      <w:color w:val="auto"/>
                      <w:szCs w:val="21"/>
                      <w:highlight w:val="none"/>
                      <w:lang w:val="en-US" w:eastAsia="zh-CN"/>
                    </w:rPr>
                  </w:pPr>
                  <w:r>
                    <w:rPr>
                      <w:rFonts w:hint="eastAsia" w:ascii="Times New Roman" w:hAnsi="Times New Roman" w:eastAsia="宋体"/>
                      <w:color w:val="auto"/>
                      <w:szCs w:val="21"/>
                      <w:highlight w:val="none"/>
                      <w:lang w:val="en-US" w:eastAsia="zh-CN"/>
                    </w:rPr>
                    <w:t>8:</w:t>
                  </w:r>
                  <w:r>
                    <w:rPr>
                      <w:rFonts w:hint="eastAsia"/>
                      <w:color w:val="auto"/>
                      <w:szCs w:val="21"/>
                      <w:highlight w:val="none"/>
                      <w:lang w:val="en-US" w:eastAsia="zh-CN"/>
                    </w:rPr>
                    <w:t>0</w:t>
                  </w:r>
                  <w:r>
                    <w:rPr>
                      <w:rFonts w:hint="eastAsia" w:ascii="Times New Roman" w:hAnsi="Times New Roman" w:eastAsia="宋体"/>
                      <w:color w:val="auto"/>
                      <w:szCs w:val="21"/>
                      <w:highlight w:val="none"/>
                      <w:lang w:val="en-US" w:eastAsia="zh-CN"/>
                    </w:rPr>
                    <w:t>0~</w:t>
                  </w:r>
                  <w:r>
                    <w:rPr>
                      <w:rFonts w:hint="eastAsia"/>
                      <w:color w:val="auto"/>
                      <w:szCs w:val="21"/>
                      <w:highlight w:val="none"/>
                      <w:lang w:val="en-US" w:eastAsia="zh-CN"/>
                    </w:rPr>
                    <w:t>20</w:t>
                  </w:r>
                  <w:r>
                    <w:rPr>
                      <w:rFonts w:hint="eastAsia" w:ascii="Times New Roman" w:hAnsi="Times New Roman" w:eastAsia="宋体"/>
                      <w:color w:val="auto"/>
                      <w:szCs w:val="21"/>
                      <w:highlight w:val="none"/>
                      <w:lang w:val="en-US" w:eastAsia="zh-CN"/>
                    </w:rPr>
                    <w:t>:</w:t>
                  </w:r>
                  <w:r>
                    <w:rPr>
                      <w:rFonts w:hint="eastAsia"/>
                      <w:color w:val="auto"/>
                      <w:szCs w:val="21"/>
                      <w:highlight w:val="none"/>
                      <w:lang w:val="en-US" w:eastAsia="zh-CN"/>
                    </w:rPr>
                    <w:t>0</w:t>
                  </w:r>
                  <w:r>
                    <w:rPr>
                      <w:rFonts w:hint="eastAsia" w:ascii="Times New Roman" w:hAnsi="Times New Roman" w:eastAsia="宋体"/>
                      <w:color w:val="auto"/>
                      <w:szCs w:val="21"/>
                      <w:highlight w:val="none"/>
                      <w:lang w:val="en-US" w:eastAsia="zh-CN"/>
                    </w:rPr>
                    <w:t>0</w:t>
                  </w:r>
                </w:p>
              </w:tc>
              <w:tc>
                <w:tcPr>
                  <w:tcW w:w="930" w:type="dxa"/>
                  <w:vAlign w:val="center"/>
                </w:tcPr>
                <w:p w14:paraId="0A76EF6F">
                  <w:pPr>
                    <w:jc w:val="center"/>
                    <w:rPr>
                      <w:rFonts w:ascii="Times New Roman" w:hAnsi="Times New Roman" w:eastAsia="宋体"/>
                      <w:color w:val="auto"/>
                      <w:szCs w:val="21"/>
                      <w:highlight w:val="none"/>
                    </w:rPr>
                  </w:pPr>
                  <w:r>
                    <w:rPr>
                      <w:rFonts w:ascii="Times New Roman" w:hAnsi="Times New Roman" w:eastAsia="宋体"/>
                      <w:color w:val="auto"/>
                      <w:szCs w:val="21"/>
                      <w:highlight w:val="none"/>
                    </w:rPr>
                    <w:t>15</w:t>
                  </w:r>
                </w:p>
              </w:tc>
              <w:tc>
                <w:tcPr>
                  <w:tcW w:w="1440" w:type="dxa"/>
                  <w:vAlign w:val="center"/>
                </w:tcPr>
                <w:p w14:paraId="4787440E">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w:t>
                  </w:r>
                  <w:r>
                    <w:rPr>
                      <w:rFonts w:hint="eastAsia" w:cs="Times New Roman"/>
                      <w:color w:val="auto"/>
                      <w:kern w:val="0"/>
                      <w:sz w:val="18"/>
                      <w:szCs w:val="18"/>
                      <w:highlight w:val="none"/>
                      <w:lang w:val="en-US" w:eastAsia="zh-CN" w:bidi="ar"/>
                    </w:rPr>
                    <w:t>外</w:t>
                  </w:r>
                  <w:r>
                    <w:rPr>
                      <w:rFonts w:hint="default" w:ascii="Times New Roman" w:hAnsi="Times New Roman" w:eastAsia="宋体" w:cs="Times New Roman"/>
                      <w:color w:val="auto"/>
                      <w:kern w:val="0"/>
                      <w:sz w:val="18"/>
                      <w:szCs w:val="18"/>
                      <w:highlight w:val="none"/>
                      <w:lang w:val="en-US" w:eastAsia="zh-CN" w:bidi="ar"/>
                    </w:rPr>
                    <w:t>东</w:t>
                  </w:r>
                  <w:r>
                    <w:rPr>
                      <w:rFonts w:hint="eastAsia"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29.2</w:t>
                  </w:r>
                </w:p>
                <w:p w14:paraId="1AD4AFEE">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w:t>
                  </w:r>
                  <w:r>
                    <w:rPr>
                      <w:rFonts w:hint="eastAsia" w:cs="Times New Roman"/>
                      <w:color w:val="auto"/>
                      <w:kern w:val="0"/>
                      <w:sz w:val="18"/>
                      <w:szCs w:val="18"/>
                      <w:highlight w:val="none"/>
                      <w:lang w:val="en-US" w:eastAsia="zh-CN" w:bidi="ar"/>
                    </w:rPr>
                    <w:t>外东</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32.5</w:t>
                  </w:r>
                  <w:r>
                    <w:rPr>
                      <w:rFonts w:hint="default" w:ascii="Times New Roman" w:hAnsi="Times New Roman" w:eastAsia="宋体" w:cs="Times New Roman"/>
                      <w:color w:val="auto"/>
                      <w:kern w:val="0"/>
                      <w:sz w:val="18"/>
                      <w:szCs w:val="18"/>
                      <w:highlight w:val="none"/>
                      <w:lang w:val="en-US" w:eastAsia="zh-CN" w:bidi="ar"/>
                    </w:rPr>
                    <w:t>室</w:t>
                  </w:r>
                  <w:r>
                    <w:rPr>
                      <w:rFonts w:hint="eastAsia" w:cs="Times New Roman"/>
                      <w:color w:val="auto"/>
                      <w:kern w:val="0"/>
                      <w:sz w:val="18"/>
                      <w:szCs w:val="18"/>
                      <w:highlight w:val="none"/>
                      <w:lang w:val="en-US" w:eastAsia="zh-CN" w:bidi="ar"/>
                    </w:rPr>
                    <w:t>外西南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50.0</w:t>
                  </w:r>
                </w:p>
                <w:p w14:paraId="051016AA">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w:t>
                  </w:r>
                  <w:r>
                    <w:rPr>
                      <w:rFonts w:hint="eastAsia" w:cs="Times New Roman"/>
                      <w:color w:val="auto"/>
                      <w:kern w:val="0"/>
                      <w:sz w:val="18"/>
                      <w:szCs w:val="18"/>
                      <w:highlight w:val="none"/>
                      <w:lang w:val="en-US" w:eastAsia="zh-CN" w:bidi="ar"/>
                    </w:rPr>
                    <w:t>外西</w:t>
                  </w:r>
                  <w:r>
                    <w:rPr>
                      <w:rFonts w:hint="eastAsia" w:ascii="Times New Roman" w:hAnsi="Times New Roman" w:eastAsia="宋体"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33.7</w:t>
                  </w:r>
                </w:p>
              </w:tc>
              <w:tc>
                <w:tcPr>
                  <w:tcW w:w="900" w:type="dxa"/>
                  <w:vAlign w:val="center"/>
                </w:tcPr>
                <w:p w14:paraId="2BAA24F3">
                  <w:pPr>
                    <w:jc w:val="center"/>
                    <w:rPr>
                      <w:rFonts w:hint="default" w:ascii="Times New Roman" w:hAnsi="Times New Roman" w:eastAsia="宋体"/>
                      <w:color w:val="auto"/>
                      <w:szCs w:val="21"/>
                      <w:highlight w:val="none"/>
                      <w:lang w:val="en-US" w:eastAsia="zh-CN"/>
                    </w:rPr>
                  </w:pPr>
                  <w:r>
                    <w:rPr>
                      <w:rFonts w:hint="eastAsia"/>
                      <w:color w:val="auto"/>
                      <w:szCs w:val="21"/>
                      <w:highlight w:val="none"/>
                      <w:lang w:val="en-US" w:eastAsia="zh-CN"/>
                    </w:rPr>
                    <w:t>1</w:t>
                  </w:r>
                </w:p>
              </w:tc>
            </w:tr>
            <w:tr w14:paraId="05FDB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07" w:type="dxa"/>
                  <w:vAlign w:val="center"/>
                </w:tcPr>
                <w:p w14:paraId="2137ED05">
                  <w:pPr>
                    <w:jc w:val="center"/>
                    <w:textAlignment w:val="baseline"/>
                    <w:rPr>
                      <w:rFonts w:hint="eastAsia" w:ascii="Times New Roman" w:hAnsi="Times New Roman" w:eastAsia="宋体" w:cs="Times New Roman"/>
                      <w:color w:val="auto"/>
                      <w:szCs w:val="21"/>
                      <w:highlight w:val="none"/>
                      <w:lang w:eastAsia="zh-CN"/>
                    </w:rPr>
                  </w:pPr>
                  <w:r>
                    <w:rPr>
                      <w:rFonts w:hint="eastAsia" w:cs="Times New Roman"/>
                      <w:color w:val="auto"/>
                      <w:szCs w:val="21"/>
                      <w:highlight w:val="none"/>
                      <w:lang w:val="en-US" w:eastAsia="zh-CN"/>
                    </w:rPr>
                    <w:t>5</w:t>
                  </w:r>
                </w:p>
              </w:tc>
              <w:tc>
                <w:tcPr>
                  <w:tcW w:w="586" w:type="dxa"/>
                  <w:vAlign w:val="center"/>
                </w:tcPr>
                <w:p w14:paraId="3CD30F4F">
                  <w:pPr>
                    <w:jc w:val="center"/>
                    <w:textAlignment w:val="baseline"/>
                    <w:rPr>
                      <w:rFonts w:hint="eastAsia" w:ascii="Times New Roman" w:hAnsi="Times New Roman" w:eastAsia="宋体" w:cs="Times New Roman"/>
                      <w:color w:val="auto"/>
                      <w:szCs w:val="21"/>
                      <w:highlight w:val="none"/>
                      <w:lang w:eastAsia="zh-CN"/>
                    </w:rPr>
                  </w:pPr>
                  <w:r>
                    <w:rPr>
                      <w:rFonts w:hint="eastAsia" w:ascii="Times New Roman" w:hAnsi="Times New Roman" w:eastAsia="宋体" w:cs="Times New Roman"/>
                      <w:color w:val="auto"/>
                      <w:szCs w:val="21"/>
                      <w:highlight w:val="none"/>
                      <w:lang w:val="en-US" w:eastAsia="zh-CN"/>
                    </w:rPr>
                    <w:t>2</w:t>
                  </w:r>
                  <w:r>
                    <w:rPr>
                      <w:rFonts w:hint="default" w:ascii="Times New Roman" w:hAnsi="Times New Roman" w:eastAsia="宋体" w:cs="Times New Roman"/>
                      <w:color w:val="auto"/>
                      <w:szCs w:val="21"/>
                      <w:highlight w:val="none"/>
                    </w:rPr>
                    <w:t>#</w:t>
                  </w:r>
                  <w:r>
                    <w:rPr>
                      <w:rFonts w:hint="eastAsia" w:cs="Times New Roman"/>
                      <w:color w:val="auto"/>
                      <w:szCs w:val="21"/>
                      <w:highlight w:val="none"/>
                      <w:lang w:val="en-US" w:eastAsia="zh-CN"/>
                    </w:rPr>
                    <w:t>-1</w:t>
                  </w:r>
                  <w:r>
                    <w:rPr>
                      <w:rFonts w:hint="eastAsia" w:ascii="Times New Roman" w:hAnsi="Times New Roman" w:eastAsia="宋体" w:cs="Times New Roman"/>
                      <w:color w:val="auto"/>
                      <w:szCs w:val="21"/>
                      <w:highlight w:val="none"/>
                      <w:lang w:eastAsia="zh-CN"/>
                    </w:rPr>
                    <w:t>厂房</w:t>
                  </w:r>
                </w:p>
                <w:p w14:paraId="42853BD5">
                  <w:pPr>
                    <w:jc w:val="center"/>
                    <w:textAlignment w:val="baseline"/>
                    <w:rPr>
                      <w:rFonts w:hint="default"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1F</w:t>
                  </w:r>
                </w:p>
              </w:tc>
              <w:tc>
                <w:tcPr>
                  <w:tcW w:w="750" w:type="dxa"/>
                  <w:vAlign w:val="center"/>
                </w:tcPr>
                <w:p w14:paraId="44859DEE">
                  <w:pPr>
                    <w:jc w:val="center"/>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测试房</w:t>
                  </w:r>
                </w:p>
              </w:tc>
              <w:tc>
                <w:tcPr>
                  <w:tcW w:w="832" w:type="dxa"/>
                  <w:vAlign w:val="center"/>
                </w:tcPr>
                <w:p w14:paraId="39FE9026">
                  <w:pPr>
                    <w:jc w:val="center"/>
                    <w:rPr>
                      <w:rFonts w:hint="default"/>
                      <w:color w:val="auto"/>
                      <w:szCs w:val="21"/>
                      <w:lang w:val="en-US" w:eastAsia="zh-CN"/>
                    </w:rPr>
                  </w:pPr>
                  <w:r>
                    <w:rPr>
                      <w:rFonts w:hint="eastAsia"/>
                      <w:color w:val="auto"/>
                      <w:szCs w:val="21"/>
                      <w:lang w:val="en-US" w:eastAsia="zh-CN"/>
                    </w:rPr>
                    <w:t>6间</w:t>
                  </w:r>
                </w:p>
              </w:tc>
              <w:tc>
                <w:tcPr>
                  <w:tcW w:w="475" w:type="dxa"/>
                  <w:vAlign w:val="center"/>
                </w:tcPr>
                <w:p w14:paraId="6879D99B">
                  <w:pPr>
                    <w:jc w:val="center"/>
                    <w:rPr>
                      <w:rFonts w:ascii="Times New Roman" w:hAnsi="Times New Roman" w:eastAsia="宋体"/>
                      <w:color w:val="auto"/>
                      <w:szCs w:val="21"/>
                      <w:highlight w:val="none"/>
                    </w:rPr>
                  </w:pPr>
                  <w:r>
                    <w:rPr>
                      <w:rFonts w:hint="eastAsia" w:ascii="Times New Roman" w:hAnsi="Times New Roman" w:eastAsia="宋体"/>
                      <w:color w:val="auto"/>
                      <w:szCs w:val="21"/>
                      <w:highlight w:val="none"/>
                      <w:lang w:eastAsia="zh-CN"/>
                    </w:rPr>
                    <w:t>类比法</w:t>
                  </w:r>
                </w:p>
              </w:tc>
              <w:tc>
                <w:tcPr>
                  <w:tcW w:w="1282" w:type="dxa"/>
                  <w:vAlign w:val="center"/>
                </w:tcPr>
                <w:p w14:paraId="6E2E9239">
                  <w:pPr>
                    <w:adjustRightInd w:val="0"/>
                    <w:snapToGrid w:val="0"/>
                    <w:jc w:val="center"/>
                    <w:rPr>
                      <w:rFonts w:ascii="Times New Roman" w:hAnsi="Times New Roman" w:eastAsia="宋体"/>
                      <w:color w:val="auto"/>
                      <w:szCs w:val="21"/>
                      <w:highlight w:val="none"/>
                    </w:rPr>
                  </w:pPr>
                  <w:r>
                    <w:rPr>
                      <w:rFonts w:hint="eastAsia" w:ascii="Times New Roman" w:hAnsi="Times New Roman" w:eastAsia="宋体"/>
                      <w:color w:val="auto"/>
                      <w:szCs w:val="21"/>
                      <w:highlight w:val="none"/>
                      <w:lang w:val="en-US" w:eastAsia="zh-CN"/>
                    </w:rPr>
                    <w:t>8</w:t>
                  </w:r>
                  <w:r>
                    <w:rPr>
                      <w:rFonts w:hint="eastAsia"/>
                      <w:color w:val="auto"/>
                      <w:szCs w:val="21"/>
                      <w:highlight w:val="none"/>
                      <w:lang w:val="en-US" w:eastAsia="zh-CN"/>
                    </w:rPr>
                    <w:t>5</w:t>
                  </w:r>
                  <w:r>
                    <w:rPr>
                      <w:rFonts w:hint="eastAsia" w:ascii="Times New Roman" w:hAnsi="Times New Roman" w:eastAsia="宋体"/>
                      <w:color w:val="auto"/>
                      <w:szCs w:val="21"/>
                      <w:highlight w:val="none"/>
                      <w:lang w:val="en-US" w:eastAsia="zh-CN"/>
                    </w:rPr>
                    <w:t>/1</w:t>
                  </w:r>
                </w:p>
              </w:tc>
              <w:tc>
                <w:tcPr>
                  <w:tcW w:w="511" w:type="dxa"/>
                  <w:vMerge w:val="continue"/>
                  <w:vAlign w:val="center"/>
                </w:tcPr>
                <w:p w14:paraId="244B84FD">
                  <w:pPr>
                    <w:jc w:val="center"/>
                    <w:rPr>
                      <w:rFonts w:ascii="Times New Roman" w:hAnsi="Times New Roman" w:eastAsia="宋体"/>
                      <w:color w:val="auto"/>
                      <w:szCs w:val="21"/>
                      <w:highlight w:val="none"/>
                    </w:rPr>
                  </w:pPr>
                </w:p>
              </w:tc>
              <w:tc>
                <w:tcPr>
                  <w:tcW w:w="541" w:type="dxa"/>
                  <w:vAlign w:val="center"/>
                </w:tcPr>
                <w:p w14:paraId="3BD7AD48">
                  <w:pPr>
                    <w:widowControl/>
                    <w:jc w:val="center"/>
                    <w:textAlignment w:val="center"/>
                    <w:rPr>
                      <w:rFonts w:hint="default" w:ascii="Times New Roman" w:hAnsi="Times New Roman" w:eastAsia="宋体"/>
                      <w:color w:val="auto"/>
                      <w:kern w:val="0"/>
                      <w:szCs w:val="21"/>
                      <w:highlight w:val="none"/>
                      <w:lang w:val="en-US" w:eastAsia="zh-CN" w:bidi="ar"/>
                    </w:rPr>
                  </w:pPr>
                  <w:r>
                    <w:rPr>
                      <w:rFonts w:hint="eastAsia"/>
                      <w:color w:val="auto"/>
                      <w:kern w:val="0"/>
                      <w:szCs w:val="21"/>
                      <w:highlight w:val="none"/>
                      <w:lang w:val="en-US" w:eastAsia="zh-CN" w:bidi="ar"/>
                    </w:rPr>
                    <w:t>15</w:t>
                  </w:r>
                  <w:r>
                    <w:rPr>
                      <w:rFonts w:hint="eastAsia" w:ascii="Times New Roman" w:hAnsi="Times New Roman" w:eastAsia="宋体"/>
                      <w:color w:val="auto"/>
                      <w:kern w:val="0"/>
                      <w:szCs w:val="21"/>
                      <w:highlight w:val="none"/>
                      <w:lang w:val="en-US" w:eastAsia="zh-CN" w:bidi="ar"/>
                    </w:rPr>
                    <w:t>5</w:t>
                  </w:r>
                </w:p>
              </w:tc>
              <w:tc>
                <w:tcPr>
                  <w:tcW w:w="540" w:type="dxa"/>
                  <w:vAlign w:val="center"/>
                </w:tcPr>
                <w:p w14:paraId="3EBDE10C">
                  <w:pPr>
                    <w:widowControl/>
                    <w:jc w:val="center"/>
                    <w:textAlignment w:val="center"/>
                    <w:rPr>
                      <w:rFonts w:hint="default" w:ascii="Times New Roman" w:hAnsi="Times New Roman" w:eastAsia="宋体"/>
                      <w:color w:val="auto"/>
                      <w:kern w:val="0"/>
                      <w:szCs w:val="21"/>
                      <w:highlight w:val="none"/>
                      <w:lang w:val="en-US" w:eastAsia="zh-CN" w:bidi="ar"/>
                    </w:rPr>
                  </w:pPr>
                  <w:r>
                    <w:rPr>
                      <w:rFonts w:hint="eastAsia"/>
                      <w:color w:val="auto"/>
                      <w:kern w:val="0"/>
                      <w:szCs w:val="21"/>
                      <w:highlight w:val="none"/>
                      <w:lang w:val="en-US" w:eastAsia="zh-CN" w:bidi="ar"/>
                    </w:rPr>
                    <w:t>13</w:t>
                  </w:r>
                  <w:r>
                    <w:rPr>
                      <w:rFonts w:hint="eastAsia" w:ascii="Times New Roman" w:hAnsi="Times New Roman" w:eastAsia="宋体"/>
                      <w:color w:val="auto"/>
                      <w:kern w:val="0"/>
                      <w:szCs w:val="21"/>
                      <w:highlight w:val="none"/>
                      <w:lang w:val="en-US" w:eastAsia="zh-CN" w:bidi="ar"/>
                    </w:rPr>
                    <w:t>5</w:t>
                  </w:r>
                </w:p>
              </w:tc>
              <w:tc>
                <w:tcPr>
                  <w:tcW w:w="420" w:type="dxa"/>
                  <w:vAlign w:val="center"/>
                </w:tcPr>
                <w:p w14:paraId="1A26CE39">
                  <w:pPr>
                    <w:widowControl/>
                    <w:jc w:val="center"/>
                    <w:textAlignment w:val="center"/>
                    <w:rPr>
                      <w:rFonts w:hint="eastAsia" w:ascii="Times New Roman" w:hAnsi="Times New Roman" w:eastAsia="宋体"/>
                      <w:color w:val="auto"/>
                      <w:kern w:val="0"/>
                      <w:szCs w:val="21"/>
                      <w:highlight w:val="none"/>
                      <w:lang w:eastAsia="zh-CN" w:bidi="ar"/>
                    </w:rPr>
                  </w:pPr>
                  <w:r>
                    <w:rPr>
                      <w:rFonts w:hint="eastAsia" w:ascii="Times New Roman" w:hAnsi="Times New Roman" w:eastAsia="宋体"/>
                      <w:color w:val="auto"/>
                      <w:kern w:val="0"/>
                      <w:szCs w:val="21"/>
                      <w:highlight w:val="none"/>
                      <w:lang w:val="en-US" w:eastAsia="zh-CN" w:bidi="ar"/>
                    </w:rPr>
                    <w:t>1</w:t>
                  </w:r>
                </w:p>
              </w:tc>
              <w:tc>
                <w:tcPr>
                  <w:tcW w:w="1395" w:type="dxa"/>
                  <w:vAlign w:val="center"/>
                </w:tcPr>
                <w:p w14:paraId="6FB6A92B">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室内东</w:t>
                  </w:r>
                  <w:r>
                    <w:rPr>
                      <w:rFonts w:hint="eastAsia"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5</w:t>
                  </w:r>
                </w:p>
                <w:p w14:paraId="497D29A2">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w:t>
                  </w:r>
                  <w:r>
                    <w:rPr>
                      <w:rFonts w:hint="eastAsia" w:cs="Times New Roman"/>
                      <w:color w:val="auto"/>
                      <w:kern w:val="0"/>
                      <w:sz w:val="18"/>
                      <w:szCs w:val="18"/>
                      <w:highlight w:val="none"/>
                      <w:lang w:val="en-US" w:eastAsia="zh-CN" w:bidi="ar"/>
                    </w:rPr>
                    <w:t>东</w:t>
                  </w:r>
                  <w:r>
                    <w:rPr>
                      <w:rFonts w:hint="eastAsia" w:ascii="Times New Roman" w:hAnsi="Times New Roman" w:eastAsia="宋体" w:cs="Times New Roman"/>
                      <w:color w:val="auto"/>
                      <w:kern w:val="0"/>
                      <w:sz w:val="18"/>
                      <w:szCs w:val="18"/>
                      <w:highlight w:val="none"/>
                      <w:lang w:val="en-US" w:eastAsia="zh-CN" w:bidi="ar"/>
                    </w:rPr>
                    <w:t>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80</w:t>
                  </w:r>
                </w:p>
                <w:p w14:paraId="0DB1A4B1">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w:t>
                  </w:r>
                  <w:r>
                    <w:rPr>
                      <w:rFonts w:hint="eastAsia" w:ascii="Times New Roman" w:hAnsi="Times New Roman" w:eastAsia="宋体" w:cs="Times New Roman"/>
                      <w:color w:val="auto"/>
                      <w:kern w:val="0"/>
                      <w:sz w:val="18"/>
                      <w:szCs w:val="18"/>
                      <w:highlight w:val="none"/>
                      <w:lang w:val="en-US" w:eastAsia="zh-CN" w:bidi="ar"/>
                    </w:rPr>
                    <w:t>西</w:t>
                  </w:r>
                  <w:r>
                    <w:rPr>
                      <w:rFonts w:hint="eastAsia" w:cs="Times New Roman"/>
                      <w:color w:val="auto"/>
                      <w:kern w:val="0"/>
                      <w:sz w:val="18"/>
                      <w:szCs w:val="18"/>
                      <w:highlight w:val="none"/>
                      <w:lang w:val="en-US" w:eastAsia="zh-CN" w:bidi="ar"/>
                    </w:rPr>
                    <w:t>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11</w:t>
                  </w:r>
                  <w:r>
                    <w:rPr>
                      <w:rFonts w:hint="eastAsia" w:ascii="Times New Roman" w:hAnsi="Times New Roman" w:eastAsia="宋体" w:cs="Times New Roman"/>
                      <w:color w:val="auto"/>
                      <w:kern w:val="0"/>
                      <w:sz w:val="18"/>
                      <w:szCs w:val="18"/>
                      <w:highlight w:val="none"/>
                      <w:lang w:val="en-US" w:eastAsia="zh-CN" w:bidi="ar"/>
                    </w:rPr>
                    <w:t>0</w:t>
                  </w:r>
                </w:p>
                <w:p w14:paraId="0AF08292">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Times New Roman" w:hAnsi="Times New Roman" w:eastAsia="宋体"/>
                      <w:color w:val="auto"/>
                      <w:kern w:val="0"/>
                      <w:szCs w:val="21"/>
                      <w:highlight w:val="none"/>
                      <w:lang w:eastAsia="zh-CN" w:bidi="ar"/>
                    </w:rPr>
                  </w:pPr>
                  <w:r>
                    <w:rPr>
                      <w:rFonts w:hint="default" w:ascii="Times New Roman" w:hAnsi="Times New Roman" w:eastAsia="宋体" w:cs="Times New Roman"/>
                      <w:color w:val="auto"/>
                      <w:kern w:val="0"/>
                      <w:sz w:val="18"/>
                      <w:szCs w:val="18"/>
                      <w:highlight w:val="none"/>
                      <w:lang w:val="en-US" w:eastAsia="zh-CN" w:bidi="ar"/>
                    </w:rPr>
                    <w:t>室内</w:t>
                  </w:r>
                  <w:r>
                    <w:rPr>
                      <w:rFonts w:hint="eastAsia" w:cs="Times New Roman"/>
                      <w:color w:val="auto"/>
                      <w:kern w:val="0"/>
                      <w:sz w:val="18"/>
                      <w:szCs w:val="18"/>
                      <w:highlight w:val="none"/>
                      <w:lang w:val="en-US" w:eastAsia="zh-CN" w:bidi="ar"/>
                    </w:rPr>
                    <w:t>西</w:t>
                  </w:r>
                  <w:r>
                    <w:rPr>
                      <w:rFonts w:hint="eastAsia" w:ascii="Times New Roman" w:hAnsi="Times New Roman" w:eastAsia="宋体"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25</w:t>
                  </w:r>
                </w:p>
              </w:tc>
              <w:tc>
                <w:tcPr>
                  <w:tcW w:w="1470" w:type="dxa"/>
                  <w:vAlign w:val="center"/>
                </w:tcPr>
                <w:p w14:paraId="48E0F4CB">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室内东</w:t>
                  </w:r>
                  <w:r>
                    <w:rPr>
                      <w:rFonts w:hint="eastAsia"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71.0</w:t>
                  </w:r>
                </w:p>
                <w:p w14:paraId="277D0CD9">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w:t>
                  </w:r>
                  <w:r>
                    <w:rPr>
                      <w:rFonts w:hint="eastAsia" w:cs="Times New Roman"/>
                      <w:color w:val="auto"/>
                      <w:kern w:val="0"/>
                      <w:sz w:val="18"/>
                      <w:szCs w:val="18"/>
                      <w:highlight w:val="none"/>
                      <w:lang w:val="en-US" w:eastAsia="zh-CN" w:bidi="ar"/>
                    </w:rPr>
                    <w:t>东南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46.9</w:t>
                  </w:r>
                </w:p>
                <w:p w14:paraId="1C74F007">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w:t>
                  </w:r>
                  <w:r>
                    <w:rPr>
                      <w:rFonts w:hint="eastAsia" w:ascii="Times New Roman" w:hAnsi="Times New Roman" w:eastAsia="宋体" w:cs="Times New Roman"/>
                      <w:color w:val="auto"/>
                      <w:kern w:val="0"/>
                      <w:sz w:val="18"/>
                      <w:szCs w:val="18"/>
                      <w:highlight w:val="none"/>
                      <w:lang w:val="en-US" w:eastAsia="zh-CN" w:bidi="ar"/>
                    </w:rPr>
                    <w:t>西</w:t>
                  </w:r>
                  <w:r>
                    <w:rPr>
                      <w:rFonts w:hint="eastAsia" w:cs="Times New Roman"/>
                      <w:color w:val="auto"/>
                      <w:kern w:val="0"/>
                      <w:sz w:val="18"/>
                      <w:szCs w:val="18"/>
                      <w:highlight w:val="none"/>
                      <w:lang w:val="en-US" w:eastAsia="zh-CN" w:bidi="ar"/>
                    </w:rPr>
                    <w:t>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44.2</w:t>
                  </w:r>
                </w:p>
                <w:p w14:paraId="340137A0">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18"/>
                      <w:szCs w:val="18"/>
                      <w:highlight w:val="none"/>
                      <w:lang w:val="en-US" w:eastAsia="zh-CN" w:bidi="ar"/>
                    </w:rPr>
                    <w:t>室内</w:t>
                  </w:r>
                  <w:r>
                    <w:rPr>
                      <w:rFonts w:hint="eastAsia" w:cs="Times New Roman"/>
                      <w:color w:val="auto"/>
                      <w:kern w:val="0"/>
                      <w:sz w:val="18"/>
                      <w:szCs w:val="18"/>
                      <w:highlight w:val="none"/>
                      <w:lang w:val="en-US" w:eastAsia="zh-CN" w:bidi="ar"/>
                    </w:rPr>
                    <w:t>西</w:t>
                  </w:r>
                  <w:r>
                    <w:rPr>
                      <w:rFonts w:hint="eastAsia" w:ascii="Times New Roman" w:hAnsi="Times New Roman" w:eastAsia="宋体"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57.0</w:t>
                  </w:r>
                </w:p>
              </w:tc>
              <w:tc>
                <w:tcPr>
                  <w:tcW w:w="1095" w:type="dxa"/>
                  <w:vAlign w:val="center"/>
                </w:tcPr>
                <w:p w14:paraId="6C2D6357">
                  <w:pPr>
                    <w:jc w:val="center"/>
                    <w:rPr>
                      <w:rFonts w:ascii="Times New Roman" w:hAnsi="Times New Roman" w:eastAsia="宋体"/>
                      <w:color w:val="auto"/>
                      <w:szCs w:val="21"/>
                      <w:highlight w:val="none"/>
                    </w:rPr>
                  </w:pPr>
                  <w:r>
                    <w:rPr>
                      <w:rFonts w:hint="eastAsia" w:ascii="Times New Roman" w:hAnsi="Times New Roman" w:eastAsia="宋体"/>
                      <w:color w:val="auto"/>
                      <w:szCs w:val="21"/>
                      <w:highlight w:val="none"/>
                      <w:lang w:val="en-US" w:eastAsia="zh-CN"/>
                    </w:rPr>
                    <w:t>8:</w:t>
                  </w:r>
                  <w:r>
                    <w:rPr>
                      <w:rFonts w:hint="eastAsia"/>
                      <w:color w:val="auto"/>
                      <w:szCs w:val="21"/>
                      <w:highlight w:val="none"/>
                      <w:lang w:val="en-US" w:eastAsia="zh-CN"/>
                    </w:rPr>
                    <w:t>0</w:t>
                  </w:r>
                  <w:r>
                    <w:rPr>
                      <w:rFonts w:hint="eastAsia" w:ascii="Times New Roman" w:hAnsi="Times New Roman" w:eastAsia="宋体"/>
                      <w:color w:val="auto"/>
                      <w:szCs w:val="21"/>
                      <w:highlight w:val="none"/>
                      <w:lang w:val="en-US" w:eastAsia="zh-CN"/>
                    </w:rPr>
                    <w:t>0~</w:t>
                  </w:r>
                  <w:r>
                    <w:rPr>
                      <w:rFonts w:hint="eastAsia"/>
                      <w:color w:val="auto"/>
                      <w:szCs w:val="21"/>
                      <w:highlight w:val="none"/>
                      <w:lang w:val="en-US" w:eastAsia="zh-CN"/>
                    </w:rPr>
                    <w:t>20</w:t>
                  </w:r>
                  <w:r>
                    <w:rPr>
                      <w:rFonts w:hint="eastAsia" w:ascii="Times New Roman" w:hAnsi="Times New Roman" w:eastAsia="宋体"/>
                      <w:color w:val="auto"/>
                      <w:szCs w:val="21"/>
                      <w:highlight w:val="none"/>
                      <w:lang w:val="en-US" w:eastAsia="zh-CN"/>
                    </w:rPr>
                    <w:t>:</w:t>
                  </w:r>
                  <w:r>
                    <w:rPr>
                      <w:rFonts w:hint="eastAsia"/>
                      <w:color w:val="auto"/>
                      <w:szCs w:val="21"/>
                      <w:highlight w:val="none"/>
                      <w:lang w:val="en-US" w:eastAsia="zh-CN"/>
                    </w:rPr>
                    <w:t>0</w:t>
                  </w:r>
                  <w:r>
                    <w:rPr>
                      <w:rFonts w:hint="eastAsia" w:ascii="Times New Roman" w:hAnsi="Times New Roman" w:eastAsia="宋体"/>
                      <w:color w:val="auto"/>
                      <w:szCs w:val="21"/>
                      <w:highlight w:val="none"/>
                      <w:lang w:val="en-US" w:eastAsia="zh-CN"/>
                    </w:rPr>
                    <w:t>0</w:t>
                  </w:r>
                </w:p>
              </w:tc>
              <w:tc>
                <w:tcPr>
                  <w:tcW w:w="930" w:type="dxa"/>
                  <w:vAlign w:val="center"/>
                </w:tcPr>
                <w:p w14:paraId="5AE64F14">
                  <w:pPr>
                    <w:jc w:val="center"/>
                    <w:rPr>
                      <w:rFonts w:ascii="Times New Roman" w:hAnsi="Times New Roman" w:eastAsia="宋体"/>
                      <w:color w:val="auto"/>
                      <w:szCs w:val="21"/>
                      <w:highlight w:val="none"/>
                    </w:rPr>
                  </w:pPr>
                  <w:r>
                    <w:rPr>
                      <w:rFonts w:ascii="Times New Roman" w:hAnsi="Times New Roman" w:eastAsia="宋体"/>
                      <w:color w:val="auto"/>
                      <w:szCs w:val="21"/>
                      <w:highlight w:val="none"/>
                    </w:rPr>
                    <w:t>15</w:t>
                  </w:r>
                </w:p>
              </w:tc>
              <w:tc>
                <w:tcPr>
                  <w:tcW w:w="1440" w:type="dxa"/>
                  <w:vAlign w:val="center"/>
                </w:tcPr>
                <w:p w14:paraId="62C126E7">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w:t>
                  </w:r>
                  <w:r>
                    <w:rPr>
                      <w:rFonts w:hint="eastAsia" w:cs="Times New Roman"/>
                      <w:color w:val="auto"/>
                      <w:kern w:val="0"/>
                      <w:sz w:val="18"/>
                      <w:szCs w:val="18"/>
                      <w:highlight w:val="none"/>
                      <w:lang w:val="en-US" w:eastAsia="zh-CN" w:bidi="ar"/>
                    </w:rPr>
                    <w:t>外</w:t>
                  </w:r>
                  <w:r>
                    <w:rPr>
                      <w:rFonts w:hint="default" w:ascii="Times New Roman" w:hAnsi="Times New Roman" w:eastAsia="宋体" w:cs="Times New Roman"/>
                      <w:color w:val="auto"/>
                      <w:kern w:val="0"/>
                      <w:sz w:val="18"/>
                      <w:szCs w:val="18"/>
                      <w:highlight w:val="none"/>
                      <w:lang w:val="en-US" w:eastAsia="zh-CN" w:bidi="ar"/>
                    </w:rPr>
                    <w:t>东</w:t>
                  </w:r>
                  <w:r>
                    <w:rPr>
                      <w:rFonts w:hint="eastAsia"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56.0</w:t>
                  </w:r>
                </w:p>
                <w:p w14:paraId="3466ACC6">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w:t>
                  </w:r>
                  <w:r>
                    <w:rPr>
                      <w:rFonts w:hint="eastAsia" w:cs="Times New Roman"/>
                      <w:color w:val="auto"/>
                      <w:kern w:val="0"/>
                      <w:sz w:val="18"/>
                      <w:szCs w:val="18"/>
                      <w:highlight w:val="none"/>
                      <w:lang w:val="en-US" w:eastAsia="zh-CN" w:bidi="ar"/>
                    </w:rPr>
                    <w:t>外东南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31.9</w:t>
                  </w:r>
                </w:p>
                <w:p w14:paraId="6DDF4607">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w:t>
                  </w:r>
                  <w:r>
                    <w:rPr>
                      <w:rFonts w:hint="eastAsia" w:cs="Times New Roman"/>
                      <w:color w:val="auto"/>
                      <w:kern w:val="0"/>
                      <w:sz w:val="18"/>
                      <w:szCs w:val="18"/>
                      <w:highlight w:val="none"/>
                      <w:lang w:val="en-US" w:eastAsia="zh-CN" w:bidi="ar"/>
                    </w:rPr>
                    <w:t>外</w:t>
                  </w:r>
                  <w:r>
                    <w:rPr>
                      <w:rFonts w:hint="eastAsia" w:ascii="Times New Roman" w:hAnsi="Times New Roman" w:eastAsia="宋体" w:cs="Times New Roman"/>
                      <w:color w:val="auto"/>
                      <w:kern w:val="0"/>
                      <w:sz w:val="18"/>
                      <w:szCs w:val="18"/>
                      <w:highlight w:val="none"/>
                      <w:lang w:val="en-US" w:eastAsia="zh-CN" w:bidi="ar"/>
                    </w:rPr>
                    <w:t>西</w:t>
                  </w:r>
                  <w:r>
                    <w:rPr>
                      <w:rFonts w:hint="eastAsia" w:cs="Times New Roman"/>
                      <w:color w:val="auto"/>
                      <w:kern w:val="0"/>
                      <w:sz w:val="18"/>
                      <w:szCs w:val="18"/>
                      <w:highlight w:val="none"/>
                      <w:lang w:val="en-US" w:eastAsia="zh-CN" w:bidi="ar"/>
                    </w:rPr>
                    <w:t>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29.2</w:t>
                  </w:r>
                </w:p>
                <w:p w14:paraId="75F66E27">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ascii="Times New Roman" w:hAnsi="Times New Roman" w:eastAsia="宋体"/>
                      <w:color w:val="auto"/>
                      <w:szCs w:val="21"/>
                      <w:highlight w:val="none"/>
                    </w:rPr>
                  </w:pPr>
                  <w:r>
                    <w:rPr>
                      <w:rFonts w:hint="default" w:ascii="Times New Roman" w:hAnsi="Times New Roman" w:eastAsia="宋体" w:cs="Times New Roman"/>
                      <w:color w:val="auto"/>
                      <w:kern w:val="0"/>
                      <w:sz w:val="18"/>
                      <w:szCs w:val="18"/>
                      <w:highlight w:val="none"/>
                      <w:lang w:val="en-US" w:eastAsia="zh-CN" w:bidi="ar"/>
                    </w:rPr>
                    <w:t>室</w:t>
                  </w:r>
                  <w:r>
                    <w:rPr>
                      <w:rFonts w:hint="eastAsia" w:cs="Times New Roman"/>
                      <w:color w:val="auto"/>
                      <w:kern w:val="0"/>
                      <w:sz w:val="18"/>
                      <w:szCs w:val="18"/>
                      <w:highlight w:val="none"/>
                      <w:lang w:val="en-US" w:eastAsia="zh-CN" w:bidi="ar"/>
                    </w:rPr>
                    <w:t>外西</w:t>
                  </w:r>
                  <w:r>
                    <w:rPr>
                      <w:rFonts w:hint="eastAsia" w:ascii="Times New Roman" w:hAnsi="Times New Roman" w:eastAsia="宋体"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42.0</w:t>
                  </w:r>
                </w:p>
              </w:tc>
              <w:tc>
                <w:tcPr>
                  <w:tcW w:w="900" w:type="dxa"/>
                  <w:vAlign w:val="center"/>
                </w:tcPr>
                <w:p w14:paraId="730AE89F">
                  <w:pPr>
                    <w:jc w:val="center"/>
                    <w:rPr>
                      <w:rFonts w:hint="eastAsia" w:ascii="Times New Roman" w:hAnsi="Times New Roman" w:eastAsia="宋体"/>
                      <w:color w:val="auto"/>
                      <w:szCs w:val="21"/>
                      <w:highlight w:val="none"/>
                      <w:lang w:eastAsia="zh-CN"/>
                    </w:rPr>
                  </w:pPr>
                  <w:r>
                    <w:rPr>
                      <w:rFonts w:hint="eastAsia" w:ascii="Times New Roman" w:hAnsi="Times New Roman" w:eastAsia="宋体"/>
                      <w:color w:val="auto"/>
                      <w:szCs w:val="21"/>
                      <w:highlight w:val="none"/>
                      <w:lang w:val="en-US" w:eastAsia="zh-CN"/>
                    </w:rPr>
                    <w:t>1</w:t>
                  </w:r>
                </w:p>
              </w:tc>
            </w:tr>
            <w:tr w14:paraId="4B6E7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07" w:type="dxa"/>
                  <w:vAlign w:val="center"/>
                </w:tcPr>
                <w:p w14:paraId="5D90E0C6">
                  <w:pPr>
                    <w:jc w:val="center"/>
                    <w:textAlignment w:val="baseline"/>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6</w:t>
                  </w:r>
                </w:p>
              </w:tc>
              <w:tc>
                <w:tcPr>
                  <w:tcW w:w="586" w:type="dxa"/>
                  <w:vMerge w:val="restart"/>
                  <w:vAlign w:val="center"/>
                </w:tcPr>
                <w:p w14:paraId="30C9BE30">
                  <w:pPr>
                    <w:jc w:val="center"/>
                    <w:textAlignment w:val="baseline"/>
                    <w:rPr>
                      <w:rFonts w:hint="eastAsia" w:ascii="Times New Roman" w:hAnsi="Times New Roman" w:eastAsia="宋体" w:cs="Times New Roman"/>
                      <w:color w:val="auto"/>
                      <w:szCs w:val="21"/>
                      <w:highlight w:val="none"/>
                      <w:lang w:eastAsia="zh-CN"/>
                    </w:rPr>
                  </w:pPr>
                  <w:r>
                    <w:rPr>
                      <w:rFonts w:hint="eastAsia" w:ascii="Times New Roman" w:hAnsi="Times New Roman" w:eastAsia="宋体" w:cs="Times New Roman"/>
                      <w:color w:val="auto"/>
                      <w:szCs w:val="21"/>
                      <w:highlight w:val="none"/>
                      <w:lang w:val="en-US" w:eastAsia="zh-CN"/>
                    </w:rPr>
                    <w:t>2</w:t>
                  </w:r>
                  <w:r>
                    <w:rPr>
                      <w:rFonts w:hint="default" w:ascii="Times New Roman" w:hAnsi="Times New Roman" w:eastAsia="宋体" w:cs="Times New Roman"/>
                      <w:color w:val="auto"/>
                      <w:szCs w:val="21"/>
                      <w:highlight w:val="none"/>
                    </w:rPr>
                    <w:t>#</w:t>
                  </w:r>
                  <w:r>
                    <w:rPr>
                      <w:rFonts w:hint="eastAsia" w:cs="Times New Roman"/>
                      <w:color w:val="auto"/>
                      <w:szCs w:val="21"/>
                      <w:highlight w:val="none"/>
                      <w:lang w:val="en-US" w:eastAsia="zh-CN"/>
                    </w:rPr>
                    <w:t>-2</w:t>
                  </w:r>
                  <w:r>
                    <w:rPr>
                      <w:rFonts w:hint="eastAsia" w:ascii="Times New Roman" w:hAnsi="Times New Roman" w:eastAsia="宋体" w:cs="Times New Roman"/>
                      <w:color w:val="auto"/>
                      <w:szCs w:val="21"/>
                      <w:highlight w:val="none"/>
                      <w:lang w:eastAsia="zh-CN"/>
                    </w:rPr>
                    <w:t>厂房</w:t>
                  </w:r>
                </w:p>
                <w:p w14:paraId="6503F798">
                  <w:pPr>
                    <w:jc w:val="center"/>
                    <w:textAlignment w:val="baseline"/>
                    <w:rPr>
                      <w:rFonts w:hint="default"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2F</w:t>
                  </w:r>
                </w:p>
              </w:tc>
              <w:tc>
                <w:tcPr>
                  <w:tcW w:w="750" w:type="dxa"/>
                  <w:vAlign w:val="center"/>
                </w:tcPr>
                <w:p w14:paraId="1847DE4A">
                  <w:pPr>
                    <w:jc w:val="center"/>
                    <w:rPr>
                      <w:rFonts w:hint="eastAsia" w:ascii="Times New Roman" w:hAnsi="Times New Roman" w:eastAsia="宋体" w:cs="Times New Roman"/>
                      <w:color w:val="auto"/>
                      <w:sz w:val="21"/>
                      <w:szCs w:val="21"/>
                      <w:highlight w:val="none"/>
                      <w:lang w:eastAsia="zh-CN"/>
                    </w:rPr>
                  </w:pPr>
                  <w:r>
                    <w:rPr>
                      <w:rFonts w:hint="eastAsia"/>
                      <w:color w:val="auto"/>
                      <w:szCs w:val="21"/>
                      <w:lang w:val="en-US" w:eastAsia="zh-CN"/>
                    </w:rPr>
                    <w:t>数控折弯机</w:t>
                  </w:r>
                </w:p>
              </w:tc>
              <w:tc>
                <w:tcPr>
                  <w:tcW w:w="832" w:type="dxa"/>
                  <w:vAlign w:val="center"/>
                </w:tcPr>
                <w:p w14:paraId="2C2D7E0A">
                  <w:pPr>
                    <w:jc w:val="center"/>
                    <w:rPr>
                      <w:rFonts w:hint="default"/>
                      <w:color w:val="auto"/>
                      <w:szCs w:val="21"/>
                      <w:lang w:val="en-US" w:eastAsia="zh-CN"/>
                    </w:rPr>
                  </w:pPr>
                  <w:r>
                    <w:rPr>
                      <w:rFonts w:hint="eastAsia"/>
                      <w:color w:val="auto"/>
                      <w:szCs w:val="21"/>
                      <w:lang w:val="en-US" w:eastAsia="zh-CN"/>
                    </w:rPr>
                    <w:t>2台</w:t>
                  </w:r>
                </w:p>
              </w:tc>
              <w:tc>
                <w:tcPr>
                  <w:tcW w:w="475" w:type="dxa"/>
                  <w:vAlign w:val="center"/>
                </w:tcPr>
                <w:p w14:paraId="1BF18852">
                  <w:pPr>
                    <w:jc w:val="center"/>
                    <w:rPr>
                      <w:rFonts w:hint="eastAsia" w:ascii="Times New Roman" w:hAnsi="Times New Roman" w:eastAsia="宋体"/>
                      <w:color w:val="auto"/>
                      <w:szCs w:val="21"/>
                      <w:highlight w:val="none"/>
                      <w:lang w:eastAsia="zh-CN"/>
                    </w:rPr>
                  </w:pPr>
                  <w:r>
                    <w:rPr>
                      <w:rFonts w:hint="eastAsia" w:ascii="Times New Roman" w:hAnsi="Times New Roman" w:eastAsia="宋体"/>
                      <w:color w:val="auto"/>
                      <w:szCs w:val="21"/>
                      <w:highlight w:val="none"/>
                      <w:lang w:eastAsia="zh-CN"/>
                    </w:rPr>
                    <w:t>类比法</w:t>
                  </w:r>
                </w:p>
              </w:tc>
              <w:tc>
                <w:tcPr>
                  <w:tcW w:w="1282" w:type="dxa"/>
                  <w:vAlign w:val="center"/>
                </w:tcPr>
                <w:p w14:paraId="2B09DBA8">
                  <w:pPr>
                    <w:adjustRightInd w:val="0"/>
                    <w:snapToGrid w:val="0"/>
                    <w:jc w:val="center"/>
                    <w:rPr>
                      <w:rFonts w:hint="eastAsia" w:ascii="Times New Roman" w:hAnsi="Times New Roman" w:eastAsia="宋体"/>
                      <w:color w:val="auto"/>
                      <w:szCs w:val="21"/>
                      <w:highlight w:val="none"/>
                      <w:lang w:val="en-US" w:eastAsia="zh-CN"/>
                    </w:rPr>
                  </w:pPr>
                  <w:r>
                    <w:rPr>
                      <w:rFonts w:hint="eastAsia" w:ascii="Times New Roman" w:hAnsi="Times New Roman" w:eastAsia="宋体"/>
                      <w:color w:val="auto"/>
                      <w:szCs w:val="21"/>
                      <w:highlight w:val="none"/>
                      <w:lang w:val="en-US" w:eastAsia="zh-CN"/>
                    </w:rPr>
                    <w:t>8</w:t>
                  </w:r>
                  <w:r>
                    <w:rPr>
                      <w:rFonts w:ascii="Times New Roman" w:hAnsi="Times New Roman" w:eastAsia="宋体"/>
                      <w:color w:val="auto"/>
                      <w:szCs w:val="21"/>
                      <w:highlight w:val="none"/>
                    </w:rPr>
                    <w:t>0</w:t>
                  </w:r>
                  <w:r>
                    <w:rPr>
                      <w:rFonts w:hint="eastAsia" w:ascii="Times New Roman" w:hAnsi="Times New Roman" w:eastAsia="宋体"/>
                      <w:color w:val="auto"/>
                      <w:szCs w:val="21"/>
                      <w:highlight w:val="none"/>
                      <w:lang w:val="en-US" w:eastAsia="zh-CN"/>
                    </w:rPr>
                    <w:t>/1</w:t>
                  </w:r>
                </w:p>
              </w:tc>
              <w:tc>
                <w:tcPr>
                  <w:tcW w:w="511" w:type="dxa"/>
                  <w:vMerge w:val="continue"/>
                  <w:vAlign w:val="center"/>
                </w:tcPr>
                <w:p w14:paraId="52856CE5">
                  <w:pPr>
                    <w:jc w:val="center"/>
                    <w:rPr>
                      <w:rFonts w:ascii="Times New Roman" w:hAnsi="Times New Roman" w:eastAsia="宋体"/>
                      <w:color w:val="auto"/>
                      <w:szCs w:val="21"/>
                      <w:highlight w:val="none"/>
                    </w:rPr>
                  </w:pPr>
                </w:p>
              </w:tc>
              <w:tc>
                <w:tcPr>
                  <w:tcW w:w="541" w:type="dxa"/>
                  <w:shd w:val="clear" w:color="auto" w:fill="auto"/>
                  <w:vAlign w:val="center"/>
                </w:tcPr>
                <w:p w14:paraId="187BBBCC">
                  <w:pPr>
                    <w:widowControl/>
                    <w:jc w:val="center"/>
                    <w:textAlignment w:val="center"/>
                    <w:rPr>
                      <w:rFonts w:hint="eastAsia"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olor w:val="auto"/>
                      <w:kern w:val="0"/>
                      <w:szCs w:val="21"/>
                      <w:highlight w:val="none"/>
                      <w:lang w:val="en-US" w:eastAsia="zh-CN" w:bidi="ar"/>
                    </w:rPr>
                    <w:t>2</w:t>
                  </w:r>
                  <w:r>
                    <w:rPr>
                      <w:rFonts w:hint="eastAsia"/>
                      <w:color w:val="auto"/>
                      <w:kern w:val="0"/>
                      <w:szCs w:val="21"/>
                      <w:highlight w:val="none"/>
                      <w:lang w:val="en-US" w:eastAsia="zh-CN" w:bidi="ar"/>
                    </w:rPr>
                    <w:t>70</w:t>
                  </w:r>
                </w:p>
              </w:tc>
              <w:tc>
                <w:tcPr>
                  <w:tcW w:w="540" w:type="dxa"/>
                  <w:shd w:val="clear" w:color="auto" w:fill="auto"/>
                  <w:vAlign w:val="center"/>
                </w:tcPr>
                <w:p w14:paraId="07B2558C">
                  <w:pPr>
                    <w:widowControl/>
                    <w:jc w:val="center"/>
                    <w:textAlignment w:val="center"/>
                    <w:rPr>
                      <w:rFonts w:hint="eastAsia" w:ascii="Times New Roman" w:hAnsi="Times New Roman" w:eastAsia="宋体" w:cs="Times New Roman"/>
                      <w:color w:val="auto"/>
                      <w:kern w:val="0"/>
                      <w:sz w:val="21"/>
                      <w:szCs w:val="21"/>
                      <w:highlight w:val="none"/>
                      <w:lang w:val="en-US" w:eastAsia="zh-CN" w:bidi="ar"/>
                    </w:rPr>
                  </w:pPr>
                  <w:r>
                    <w:rPr>
                      <w:rFonts w:hint="eastAsia"/>
                      <w:color w:val="auto"/>
                      <w:kern w:val="0"/>
                      <w:szCs w:val="21"/>
                      <w:highlight w:val="none"/>
                      <w:lang w:val="en-US" w:eastAsia="zh-CN" w:bidi="ar"/>
                    </w:rPr>
                    <w:t>180</w:t>
                  </w:r>
                </w:p>
              </w:tc>
              <w:tc>
                <w:tcPr>
                  <w:tcW w:w="420" w:type="dxa"/>
                  <w:shd w:val="clear" w:color="auto" w:fill="auto"/>
                  <w:vAlign w:val="center"/>
                </w:tcPr>
                <w:p w14:paraId="64553E88">
                  <w:pPr>
                    <w:widowControl/>
                    <w:jc w:val="center"/>
                    <w:textAlignment w:val="center"/>
                    <w:rPr>
                      <w:rFonts w:hint="default" w:ascii="Times New Roman" w:hAnsi="Times New Roman" w:eastAsia="宋体" w:cs="Times New Roman"/>
                      <w:color w:val="auto"/>
                      <w:kern w:val="0"/>
                      <w:sz w:val="21"/>
                      <w:szCs w:val="21"/>
                      <w:highlight w:val="none"/>
                      <w:lang w:val="en-US" w:eastAsia="zh-CN" w:bidi="ar"/>
                    </w:rPr>
                  </w:pPr>
                  <w:r>
                    <w:rPr>
                      <w:rFonts w:hint="eastAsia"/>
                      <w:color w:val="auto"/>
                      <w:kern w:val="0"/>
                      <w:szCs w:val="21"/>
                      <w:highlight w:val="none"/>
                      <w:lang w:val="en-US" w:eastAsia="zh-CN" w:bidi="ar"/>
                    </w:rPr>
                    <w:t>25</w:t>
                  </w:r>
                </w:p>
              </w:tc>
              <w:tc>
                <w:tcPr>
                  <w:tcW w:w="1395" w:type="dxa"/>
                  <w:vAlign w:val="center"/>
                </w:tcPr>
                <w:p w14:paraId="73A6CF4A">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室内东</w:t>
                  </w:r>
                  <w:r>
                    <w:rPr>
                      <w:rFonts w:hint="eastAsia"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18</w:t>
                  </w:r>
                </w:p>
                <w:p w14:paraId="448C3AC2">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w:t>
                  </w:r>
                  <w:r>
                    <w:rPr>
                      <w:rFonts w:hint="eastAsia" w:cs="Times New Roman"/>
                      <w:color w:val="auto"/>
                      <w:kern w:val="0"/>
                      <w:sz w:val="18"/>
                      <w:szCs w:val="18"/>
                      <w:highlight w:val="none"/>
                      <w:lang w:val="en-US" w:eastAsia="zh-CN" w:bidi="ar"/>
                    </w:rPr>
                    <w:t>东</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17</w:t>
                  </w:r>
                </w:p>
                <w:p w14:paraId="31DD18BE">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w:t>
                  </w:r>
                  <w:r>
                    <w:rPr>
                      <w:rFonts w:hint="eastAsia" w:ascii="Times New Roman" w:hAnsi="Times New Roman" w:eastAsia="宋体" w:cs="Times New Roman"/>
                      <w:color w:val="auto"/>
                      <w:kern w:val="0"/>
                      <w:sz w:val="18"/>
                      <w:szCs w:val="18"/>
                      <w:highlight w:val="none"/>
                      <w:lang w:val="en-US" w:eastAsia="zh-CN" w:bidi="ar"/>
                    </w:rPr>
                    <w:t>西</w:t>
                  </w:r>
                  <w:r>
                    <w:rPr>
                      <w:rFonts w:hint="eastAsia" w:cs="Times New Roman"/>
                      <w:color w:val="auto"/>
                      <w:kern w:val="0"/>
                      <w:sz w:val="18"/>
                      <w:szCs w:val="18"/>
                      <w:highlight w:val="none"/>
                      <w:lang w:val="en-US" w:eastAsia="zh-CN" w:bidi="ar"/>
                    </w:rPr>
                    <w:t>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102</w:t>
                  </w:r>
                </w:p>
                <w:p w14:paraId="3709087E">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w:t>
                  </w:r>
                  <w:r>
                    <w:rPr>
                      <w:rFonts w:hint="eastAsia" w:cs="Times New Roman"/>
                      <w:color w:val="auto"/>
                      <w:kern w:val="0"/>
                      <w:sz w:val="18"/>
                      <w:szCs w:val="18"/>
                      <w:highlight w:val="none"/>
                      <w:lang w:val="en-US" w:eastAsia="zh-CN" w:bidi="ar"/>
                    </w:rPr>
                    <w:t>西</w:t>
                  </w:r>
                  <w:r>
                    <w:rPr>
                      <w:rFonts w:hint="eastAsia" w:ascii="Times New Roman" w:hAnsi="Times New Roman" w:eastAsia="宋体"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32</w:t>
                  </w:r>
                </w:p>
              </w:tc>
              <w:tc>
                <w:tcPr>
                  <w:tcW w:w="1470" w:type="dxa"/>
                  <w:vAlign w:val="center"/>
                </w:tcPr>
                <w:p w14:paraId="16CBB374">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室内东</w:t>
                  </w:r>
                  <w:r>
                    <w:rPr>
                      <w:rFonts w:hint="eastAsia"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54.9</w:t>
                  </w:r>
                </w:p>
                <w:p w14:paraId="099F8EA2">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w:t>
                  </w:r>
                  <w:r>
                    <w:rPr>
                      <w:rFonts w:hint="eastAsia" w:cs="Times New Roman"/>
                      <w:color w:val="auto"/>
                      <w:kern w:val="0"/>
                      <w:sz w:val="18"/>
                      <w:szCs w:val="18"/>
                      <w:highlight w:val="none"/>
                      <w:lang w:val="en-US" w:eastAsia="zh-CN" w:bidi="ar"/>
                    </w:rPr>
                    <w:t>东</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55.4</w:t>
                  </w:r>
                </w:p>
                <w:p w14:paraId="40268163">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w:t>
                  </w:r>
                  <w:r>
                    <w:rPr>
                      <w:rFonts w:hint="eastAsia" w:ascii="Times New Roman" w:hAnsi="Times New Roman" w:eastAsia="宋体" w:cs="Times New Roman"/>
                      <w:color w:val="auto"/>
                      <w:kern w:val="0"/>
                      <w:sz w:val="18"/>
                      <w:szCs w:val="18"/>
                      <w:highlight w:val="none"/>
                      <w:lang w:val="en-US" w:eastAsia="zh-CN" w:bidi="ar"/>
                    </w:rPr>
                    <w:t>西</w:t>
                  </w:r>
                  <w:r>
                    <w:rPr>
                      <w:rFonts w:hint="eastAsia" w:cs="Times New Roman"/>
                      <w:color w:val="auto"/>
                      <w:kern w:val="0"/>
                      <w:sz w:val="18"/>
                      <w:szCs w:val="18"/>
                      <w:highlight w:val="none"/>
                      <w:lang w:val="en-US" w:eastAsia="zh-CN" w:bidi="ar"/>
                    </w:rPr>
                    <w:t>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39.8</w:t>
                  </w:r>
                </w:p>
                <w:p w14:paraId="72525864">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w:t>
                  </w:r>
                  <w:r>
                    <w:rPr>
                      <w:rFonts w:hint="eastAsia" w:cs="Times New Roman"/>
                      <w:color w:val="auto"/>
                      <w:kern w:val="0"/>
                      <w:sz w:val="18"/>
                      <w:szCs w:val="18"/>
                      <w:highlight w:val="none"/>
                      <w:lang w:val="en-US" w:eastAsia="zh-CN" w:bidi="ar"/>
                    </w:rPr>
                    <w:t>西</w:t>
                  </w:r>
                  <w:r>
                    <w:rPr>
                      <w:rFonts w:hint="eastAsia" w:ascii="Times New Roman" w:hAnsi="Times New Roman" w:eastAsia="宋体"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49.9</w:t>
                  </w:r>
                </w:p>
              </w:tc>
              <w:tc>
                <w:tcPr>
                  <w:tcW w:w="1095" w:type="dxa"/>
                  <w:vAlign w:val="center"/>
                </w:tcPr>
                <w:p w14:paraId="43A9C2D4">
                  <w:pPr>
                    <w:jc w:val="center"/>
                    <w:rPr>
                      <w:rFonts w:hint="eastAsia" w:ascii="Times New Roman" w:hAnsi="Times New Roman" w:eastAsia="宋体"/>
                      <w:color w:val="auto"/>
                      <w:szCs w:val="21"/>
                      <w:highlight w:val="none"/>
                      <w:lang w:val="en-US" w:eastAsia="zh-CN"/>
                    </w:rPr>
                  </w:pPr>
                  <w:r>
                    <w:rPr>
                      <w:rFonts w:hint="eastAsia" w:ascii="Times New Roman" w:hAnsi="Times New Roman" w:eastAsia="宋体"/>
                      <w:color w:val="auto"/>
                      <w:szCs w:val="21"/>
                      <w:highlight w:val="none"/>
                      <w:lang w:val="en-US" w:eastAsia="zh-CN"/>
                    </w:rPr>
                    <w:t>8:</w:t>
                  </w:r>
                  <w:r>
                    <w:rPr>
                      <w:rFonts w:hint="eastAsia"/>
                      <w:color w:val="auto"/>
                      <w:szCs w:val="21"/>
                      <w:highlight w:val="none"/>
                      <w:lang w:val="en-US" w:eastAsia="zh-CN"/>
                    </w:rPr>
                    <w:t>0</w:t>
                  </w:r>
                  <w:r>
                    <w:rPr>
                      <w:rFonts w:hint="eastAsia" w:ascii="Times New Roman" w:hAnsi="Times New Roman" w:eastAsia="宋体"/>
                      <w:color w:val="auto"/>
                      <w:szCs w:val="21"/>
                      <w:highlight w:val="none"/>
                      <w:lang w:val="en-US" w:eastAsia="zh-CN"/>
                    </w:rPr>
                    <w:t>0~</w:t>
                  </w:r>
                  <w:r>
                    <w:rPr>
                      <w:rFonts w:hint="eastAsia"/>
                      <w:color w:val="auto"/>
                      <w:szCs w:val="21"/>
                      <w:highlight w:val="none"/>
                      <w:lang w:val="en-US" w:eastAsia="zh-CN"/>
                    </w:rPr>
                    <w:t>20</w:t>
                  </w:r>
                  <w:r>
                    <w:rPr>
                      <w:rFonts w:hint="eastAsia" w:ascii="Times New Roman" w:hAnsi="Times New Roman" w:eastAsia="宋体"/>
                      <w:color w:val="auto"/>
                      <w:szCs w:val="21"/>
                      <w:highlight w:val="none"/>
                      <w:lang w:val="en-US" w:eastAsia="zh-CN"/>
                    </w:rPr>
                    <w:t>:</w:t>
                  </w:r>
                  <w:r>
                    <w:rPr>
                      <w:rFonts w:hint="eastAsia"/>
                      <w:color w:val="auto"/>
                      <w:szCs w:val="21"/>
                      <w:highlight w:val="none"/>
                      <w:lang w:val="en-US" w:eastAsia="zh-CN"/>
                    </w:rPr>
                    <w:t>0</w:t>
                  </w:r>
                  <w:r>
                    <w:rPr>
                      <w:rFonts w:hint="eastAsia" w:ascii="Times New Roman" w:hAnsi="Times New Roman" w:eastAsia="宋体"/>
                      <w:color w:val="auto"/>
                      <w:szCs w:val="21"/>
                      <w:highlight w:val="none"/>
                      <w:lang w:val="en-US" w:eastAsia="zh-CN"/>
                    </w:rPr>
                    <w:t>0</w:t>
                  </w:r>
                </w:p>
              </w:tc>
              <w:tc>
                <w:tcPr>
                  <w:tcW w:w="930" w:type="dxa"/>
                  <w:vAlign w:val="center"/>
                </w:tcPr>
                <w:p w14:paraId="12D786B0">
                  <w:pPr>
                    <w:jc w:val="center"/>
                    <w:rPr>
                      <w:rFonts w:ascii="Times New Roman" w:hAnsi="Times New Roman" w:eastAsia="宋体"/>
                      <w:color w:val="auto"/>
                      <w:szCs w:val="21"/>
                      <w:highlight w:val="none"/>
                    </w:rPr>
                  </w:pPr>
                  <w:r>
                    <w:rPr>
                      <w:rFonts w:ascii="Times New Roman" w:hAnsi="Times New Roman" w:eastAsia="宋体"/>
                      <w:color w:val="auto"/>
                      <w:szCs w:val="21"/>
                      <w:highlight w:val="none"/>
                    </w:rPr>
                    <w:t>15</w:t>
                  </w:r>
                </w:p>
              </w:tc>
              <w:tc>
                <w:tcPr>
                  <w:tcW w:w="1440" w:type="dxa"/>
                  <w:vAlign w:val="center"/>
                </w:tcPr>
                <w:p w14:paraId="250D4159">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w:t>
                  </w:r>
                  <w:r>
                    <w:rPr>
                      <w:rFonts w:hint="eastAsia" w:cs="Times New Roman"/>
                      <w:color w:val="auto"/>
                      <w:kern w:val="0"/>
                      <w:sz w:val="18"/>
                      <w:szCs w:val="18"/>
                      <w:highlight w:val="none"/>
                      <w:lang w:val="en-US" w:eastAsia="zh-CN" w:bidi="ar"/>
                    </w:rPr>
                    <w:t>外</w:t>
                  </w:r>
                  <w:r>
                    <w:rPr>
                      <w:rFonts w:hint="default" w:ascii="Times New Roman" w:hAnsi="Times New Roman" w:eastAsia="宋体" w:cs="Times New Roman"/>
                      <w:color w:val="auto"/>
                      <w:kern w:val="0"/>
                      <w:sz w:val="18"/>
                      <w:szCs w:val="18"/>
                      <w:highlight w:val="none"/>
                      <w:lang w:val="en-US" w:eastAsia="zh-CN" w:bidi="ar"/>
                    </w:rPr>
                    <w:t>东</w:t>
                  </w:r>
                  <w:r>
                    <w:rPr>
                      <w:rFonts w:hint="eastAsia"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39.9</w:t>
                  </w:r>
                </w:p>
                <w:p w14:paraId="5EC52A35">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w:t>
                  </w:r>
                  <w:r>
                    <w:rPr>
                      <w:rFonts w:hint="eastAsia" w:cs="Times New Roman"/>
                      <w:color w:val="auto"/>
                      <w:kern w:val="0"/>
                      <w:sz w:val="18"/>
                      <w:szCs w:val="18"/>
                      <w:highlight w:val="none"/>
                      <w:lang w:val="en-US" w:eastAsia="zh-CN" w:bidi="ar"/>
                    </w:rPr>
                    <w:t>外东</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40.4</w:t>
                  </w:r>
                </w:p>
                <w:p w14:paraId="56576970">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w:t>
                  </w:r>
                  <w:r>
                    <w:rPr>
                      <w:rFonts w:hint="eastAsia" w:cs="Times New Roman"/>
                      <w:color w:val="auto"/>
                      <w:kern w:val="0"/>
                      <w:sz w:val="18"/>
                      <w:szCs w:val="18"/>
                      <w:highlight w:val="none"/>
                      <w:lang w:val="en-US" w:eastAsia="zh-CN" w:bidi="ar"/>
                    </w:rPr>
                    <w:t>外</w:t>
                  </w:r>
                  <w:r>
                    <w:rPr>
                      <w:rFonts w:hint="eastAsia" w:ascii="Times New Roman" w:hAnsi="Times New Roman" w:eastAsia="宋体" w:cs="Times New Roman"/>
                      <w:color w:val="auto"/>
                      <w:kern w:val="0"/>
                      <w:sz w:val="18"/>
                      <w:szCs w:val="18"/>
                      <w:highlight w:val="none"/>
                      <w:lang w:val="en-US" w:eastAsia="zh-CN" w:bidi="ar"/>
                    </w:rPr>
                    <w:t>西</w:t>
                  </w:r>
                  <w:r>
                    <w:rPr>
                      <w:rFonts w:hint="eastAsia" w:cs="Times New Roman"/>
                      <w:color w:val="auto"/>
                      <w:kern w:val="0"/>
                      <w:sz w:val="18"/>
                      <w:szCs w:val="18"/>
                      <w:highlight w:val="none"/>
                      <w:lang w:val="en-US" w:eastAsia="zh-CN" w:bidi="ar"/>
                    </w:rPr>
                    <w:t>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24.8</w:t>
                  </w:r>
                </w:p>
                <w:p w14:paraId="2F9F174F">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w:t>
                  </w:r>
                  <w:r>
                    <w:rPr>
                      <w:rFonts w:hint="eastAsia" w:cs="Times New Roman"/>
                      <w:color w:val="auto"/>
                      <w:kern w:val="0"/>
                      <w:sz w:val="18"/>
                      <w:szCs w:val="18"/>
                      <w:highlight w:val="none"/>
                      <w:lang w:val="en-US" w:eastAsia="zh-CN" w:bidi="ar"/>
                    </w:rPr>
                    <w:t>外西</w:t>
                  </w:r>
                  <w:r>
                    <w:rPr>
                      <w:rFonts w:hint="eastAsia" w:ascii="Times New Roman" w:hAnsi="Times New Roman" w:eastAsia="宋体"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34.9</w:t>
                  </w:r>
                </w:p>
              </w:tc>
              <w:tc>
                <w:tcPr>
                  <w:tcW w:w="900" w:type="dxa"/>
                  <w:vAlign w:val="center"/>
                </w:tcPr>
                <w:p w14:paraId="357994FF">
                  <w:pPr>
                    <w:jc w:val="center"/>
                    <w:rPr>
                      <w:rFonts w:hint="default" w:ascii="Times New Roman" w:hAnsi="Times New Roman" w:eastAsia="宋体"/>
                      <w:color w:val="auto"/>
                      <w:szCs w:val="21"/>
                      <w:highlight w:val="none"/>
                      <w:lang w:val="en-US" w:eastAsia="zh-CN"/>
                    </w:rPr>
                  </w:pPr>
                  <w:r>
                    <w:rPr>
                      <w:rFonts w:hint="eastAsia"/>
                      <w:color w:val="auto"/>
                      <w:szCs w:val="21"/>
                      <w:highlight w:val="none"/>
                      <w:lang w:val="en-US" w:eastAsia="zh-CN"/>
                    </w:rPr>
                    <w:t>1</w:t>
                  </w:r>
                </w:p>
              </w:tc>
            </w:tr>
            <w:tr w14:paraId="16975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07" w:type="dxa"/>
                  <w:vAlign w:val="center"/>
                </w:tcPr>
                <w:p w14:paraId="46864880">
                  <w:pPr>
                    <w:jc w:val="center"/>
                    <w:textAlignment w:val="baseline"/>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7</w:t>
                  </w:r>
                </w:p>
              </w:tc>
              <w:tc>
                <w:tcPr>
                  <w:tcW w:w="586" w:type="dxa"/>
                  <w:vMerge w:val="continue"/>
                  <w:vAlign w:val="center"/>
                </w:tcPr>
                <w:p w14:paraId="6EB45A35">
                  <w:pPr>
                    <w:jc w:val="center"/>
                    <w:textAlignment w:val="baseline"/>
                    <w:rPr>
                      <w:rFonts w:hint="default" w:ascii="Times New Roman" w:hAnsi="Times New Roman" w:eastAsia="宋体" w:cs="Times New Roman"/>
                      <w:color w:val="auto"/>
                      <w:szCs w:val="21"/>
                      <w:highlight w:val="none"/>
                    </w:rPr>
                  </w:pPr>
                </w:p>
              </w:tc>
              <w:tc>
                <w:tcPr>
                  <w:tcW w:w="750" w:type="dxa"/>
                  <w:vAlign w:val="center"/>
                </w:tcPr>
                <w:p w14:paraId="102F8DF3">
                  <w:pPr>
                    <w:jc w:val="center"/>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打磨操作台</w:t>
                  </w:r>
                </w:p>
              </w:tc>
              <w:tc>
                <w:tcPr>
                  <w:tcW w:w="832" w:type="dxa"/>
                  <w:vAlign w:val="center"/>
                </w:tcPr>
                <w:p w14:paraId="2B5BD170">
                  <w:pPr>
                    <w:jc w:val="center"/>
                    <w:rPr>
                      <w:rFonts w:hint="default"/>
                      <w:color w:val="auto"/>
                      <w:szCs w:val="21"/>
                      <w:lang w:val="en-US" w:eastAsia="zh-CN"/>
                    </w:rPr>
                  </w:pPr>
                  <w:r>
                    <w:rPr>
                      <w:rFonts w:hint="eastAsia"/>
                      <w:color w:val="auto"/>
                      <w:szCs w:val="21"/>
                      <w:lang w:val="en-US" w:eastAsia="zh-CN"/>
                    </w:rPr>
                    <w:t>6台</w:t>
                  </w:r>
                </w:p>
              </w:tc>
              <w:tc>
                <w:tcPr>
                  <w:tcW w:w="475" w:type="dxa"/>
                  <w:vAlign w:val="center"/>
                </w:tcPr>
                <w:p w14:paraId="1B96D358">
                  <w:pPr>
                    <w:jc w:val="center"/>
                    <w:rPr>
                      <w:rFonts w:hint="eastAsia" w:ascii="Times New Roman" w:hAnsi="Times New Roman" w:eastAsia="宋体"/>
                      <w:color w:val="auto"/>
                      <w:szCs w:val="21"/>
                      <w:highlight w:val="none"/>
                      <w:lang w:eastAsia="zh-CN"/>
                    </w:rPr>
                  </w:pPr>
                  <w:r>
                    <w:rPr>
                      <w:rFonts w:hint="eastAsia" w:ascii="Times New Roman" w:hAnsi="Times New Roman" w:eastAsia="宋体"/>
                      <w:color w:val="auto"/>
                      <w:szCs w:val="21"/>
                      <w:highlight w:val="none"/>
                      <w:lang w:eastAsia="zh-CN"/>
                    </w:rPr>
                    <w:t>类比法</w:t>
                  </w:r>
                </w:p>
              </w:tc>
              <w:tc>
                <w:tcPr>
                  <w:tcW w:w="1282" w:type="dxa"/>
                  <w:vAlign w:val="center"/>
                </w:tcPr>
                <w:p w14:paraId="0626B66D">
                  <w:pPr>
                    <w:adjustRightInd w:val="0"/>
                    <w:snapToGrid w:val="0"/>
                    <w:jc w:val="center"/>
                    <w:rPr>
                      <w:rFonts w:hint="eastAsia" w:ascii="Times New Roman" w:hAnsi="Times New Roman" w:eastAsia="宋体"/>
                      <w:color w:val="auto"/>
                      <w:szCs w:val="21"/>
                      <w:highlight w:val="none"/>
                      <w:lang w:val="en-US" w:eastAsia="zh-CN"/>
                    </w:rPr>
                  </w:pPr>
                  <w:r>
                    <w:rPr>
                      <w:rFonts w:hint="eastAsia" w:ascii="Times New Roman" w:hAnsi="Times New Roman" w:eastAsia="宋体"/>
                      <w:color w:val="auto"/>
                      <w:szCs w:val="21"/>
                      <w:highlight w:val="none"/>
                      <w:lang w:val="en-US" w:eastAsia="zh-CN"/>
                    </w:rPr>
                    <w:t>8</w:t>
                  </w:r>
                  <w:r>
                    <w:rPr>
                      <w:rFonts w:hint="eastAsia"/>
                      <w:color w:val="auto"/>
                      <w:szCs w:val="21"/>
                      <w:highlight w:val="none"/>
                      <w:lang w:val="en-US" w:eastAsia="zh-CN"/>
                    </w:rPr>
                    <w:t>5</w:t>
                  </w:r>
                  <w:r>
                    <w:rPr>
                      <w:rFonts w:hint="eastAsia" w:ascii="Times New Roman" w:hAnsi="Times New Roman" w:eastAsia="宋体"/>
                      <w:color w:val="auto"/>
                      <w:szCs w:val="21"/>
                      <w:highlight w:val="none"/>
                      <w:lang w:val="en-US" w:eastAsia="zh-CN"/>
                    </w:rPr>
                    <w:t>/1</w:t>
                  </w:r>
                </w:p>
              </w:tc>
              <w:tc>
                <w:tcPr>
                  <w:tcW w:w="511" w:type="dxa"/>
                  <w:vMerge w:val="continue"/>
                  <w:vAlign w:val="center"/>
                </w:tcPr>
                <w:p w14:paraId="5E1BBD73">
                  <w:pPr>
                    <w:jc w:val="center"/>
                    <w:rPr>
                      <w:rFonts w:ascii="Times New Roman" w:hAnsi="Times New Roman" w:eastAsia="宋体"/>
                      <w:color w:val="auto"/>
                      <w:szCs w:val="21"/>
                      <w:highlight w:val="none"/>
                    </w:rPr>
                  </w:pPr>
                </w:p>
              </w:tc>
              <w:tc>
                <w:tcPr>
                  <w:tcW w:w="541" w:type="dxa"/>
                  <w:vAlign w:val="center"/>
                </w:tcPr>
                <w:p w14:paraId="1C0BCC22">
                  <w:pPr>
                    <w:widowControl/>
                    <w:jc w:val="center"/>
                    <w:textAlignment w:val="center"/>
                    <w:rPr>
                      <w:rFonts w:hint="default" w:ascii="Times New Roman" w:hAnsi="Times New Roman" w:eastAsia="宋体"/>
                      <w:color w:val="auto"/>
                      <w:kern w:val="0"/>
                      <w:szCs w:val="21"/>
                      <w:highlight w:val="none"/>
                      <w:lang w:val="en-US" w:eastAsia="zh-CN" w:bidi="ar"/>
                    </w:rPr>
                  </w:pPr>
                  <w:r>
                    <w:rPr>
                      <w:rFonts w:hint="eastAsia"/>
                      <w:color w:val="auto"/>
                      <w:kern w:val="0"/>
                      <w:szCs w:val="21"/>
                      <w:highlight w:val="none"/>
                      <w:lang w:val="en-US" w:eastAsia="zh-CN" w:bidi="ar"/>
                    </w:rPr>
                    <w:t>275</w:t>
                  </w:r>
                </w:p>
              </w:tc>
              <w:tc>
                <w:tcPr>
                  <w:tcW w:w="540" w:type="dxa"/>
                  <w:vAlign w:val="center"/>
                </w:tcPr>
                <w:p w14:paraId="558C249A">
                  <w:pPr>
                    <w:widowControl/>
                    <w:jc w:val="center"/>
                    <w:textAlignment w:val="center"/>
                    <w:rPr>
                      <w:rFonts w:hint="default" w:ascii="Times New Roman" w:hAnsi="Times New Roman" w:eastAsia="宋体"/>
                      <w:color w:val="auto"/>
                      <w:kern w:val="0"/>
                      <w:szCs w:val="21"/>
                      <w:highlight w:val="none"/>
                      <w:lang w:val="en-US" w:eastAsia="zh-CN" w:bidi="ar"/>
                    </w:rPr>
                  </w:pPr>
                  <w:r>
                    <w:rPr>
                      <w:rFonts w:hint="eastAsia"/>
                      <w:color w:val="auto"/>
                      <w:kern w:val="0"/>
                      <w:szCs w:val="21"/>
                      <w:highlight w:val="none"/>
                      <w:lang w:val="en-US" w:eastAsia="zh-CN" w:bidi="ar"/>
                    </w:rPr>
                    <w:t>112</w:t>
                  </w:r>
                </w:p>
              </w:tc>
              <w:tc>
                <w:tcPr>
                  <w:tcW w:w="420" w:type="dxa"/>
                  <w:vAlign w:val="center"/>
                </w:tcPr>
                <w:p w14:paraId="3465D413">
                  <w:pPr>
                    <w:widowControl/>
                    <w:jc w:val="center"/>
                    <w:textAlignment w:val="center"/>
                    <w:rPr>
                      <w:rFonts w:hint="default" w:ascii="Times New Roman" w:hAnsi="Times New Roman" w:eastAsia="宋体"/>
                      <w:color w:val="auto"/>
                      <w:kern w:val="0"/>
                      <w:szCs w:val="21"/>
                      <w:highlight w:val="none"/>
                      <w:lang w:val="en-US" w:eastAsia="zh-CN" w:bidi="ar"/>
                    </w:rPr>
                  </w:pPr>
                  <w:r>
                    <w:rPr>
                      <w:rFonts w:hint="eastAsia"/>
                      <w:color w:val="auto"/>
                      <w:kern w:val="0"/>
                      <w:szCs w:val="21"/>
                      <w:highlight w:val="none"/>
                      <w:lang w:val="en-US" w:eastAsia="zh-CN" w:bidi="ar"/>
                    </w:rPr>
                    <w:t>25</w:t>
                  </w:r>
                </w:p>
              </w:tc>
              <w:tc>
                <w:tcPr>
                  <w:tcW w:w="1395" w:type="dxa"/>
                  <w:vAlign w:val="center"/>
                </w:tcPr>
                <w:p w14:paraId="15BCF9D0">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室内东</w:t>
                  </w:r>
                  <w:r>
                    <w:rPr>
                      <w:rFonts w:hint="eastAsia"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82</w:t>
                  </w:r>
                </w:p>
                <w:p w14:paraId="7DFB95E7">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w:t>
                  </w:r>
                  <w:r>
                    <w:rPr>
                      <w:rFonts w:hint="eastAsia" w:ascii="Times New Roman" w:hAnsi="Times New Roman" w:eastAsia="宋体" w:cs="Times New Roman"/>
                      <w:color w:val="auto"/>
                      <w:kern w:val="0"/>
                      <w:sz w:val="18"/>
                      <w:szCs w:val="18"/>
                      <w:highlight w:val="none"/>
                      <w:lang w:val="en-US" w:eastAsia="zh-CN" w:bidi="ar"/>
                    </w:rPr>
                    <w:t>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38</w:t>
                  </w:r>
                </w:p>
                <w:p w14:paraId="4B302B97">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w:t>
                  </w:r>
                  <w:r>
                    <w:rPr>
                      <w:rFonts w:hint="eastAsia" w:ascii="Times New Roman" w:hAnsi="Times New Roman" w:eastAsia="宋体" w:cs="Times New Roman"/>
                      <w:color w:val="auto"/>
                      <w:kern w:val="0"/>
                      <w:sz w:val="18"/>
                      <w:szCs w:val="18"/>
                      <w:highlight w:val="none"/>
                      <w:lang w:val="en-US" w:eastAsia="zh-CN" w:bidi="ar"/>
                    </w:rPr>
                    <w:t>西</w:t>
                  </w:r>
                  <w:r>
                    <w:rPr>
                      <w:rFonts w:hint="eastAsia" w:cs="Times New Roman"/>
                      <w:color w:val="auto"/>
                      <w:kern w:val="0"/>
                      <w:sz w:val="18"/>
                      <w:szCs w:val="18"/>
                      <w:highlight w:val="none"/>
                      <w:lang w:val="en-US" w:eastAsia="zh-CN" w:bidi="ar"/>
                    </w:rPr>
                    <w:t>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5</w:t>
                  </w:r>
                  <w:r>
                    <w:rPr>
                      <w:rFonts w:hint="eastAsia" w:ascii="Times New Roman" w:hAnsi="Times New Roman" w:eastAsia="宋体" w:cs="Times New Roman"/>
                      <w:color w:val="auto"/>
                      <w:kern w:val="0"/>
                      <w:sz w:val="18"/>
                      <w:szCs w:val="18"/>
                      <w:highlight w:val="none"/>
                      <w:lang w:val="en-US" w:eastAsia="zh-CN" w:bidi="ar"/>
                    </w:rPr>
                    <w:t>0</w:t>
                  </w:r>
                </w:p>
                <w:p w14:paraId="59731A6C">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w:t>
                  </w:r>
                  <w:r>
                    <w:rPr>
                      <w:rFonts w:hint="eastAsia" w:cs="Times New Roman"/>
                      <w:color w:val="auto"/>
                      <w:kern w:val="0"/>
                      <w:sz w:val="18"/>
                      <w:szCs w:val="18"/>
                      <w:highlight w:val="none"/>
                      <w:lang w:val="en-US" w:eastAsia="zh-CN" w:bidi="ar"/>
                    </w:rPr>
                    <w:t>西</w:t>
                  </w:r>
                  <w:r>
                    <w:rPr>
                      <w:rFonts w:hint="eastAsia" w:ascii="Times New Roman" w:hAnsi="Times New Roman" w:eastAsia="宋体"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70</w:t>
                  </w:r>
                </w:p>
              </w:tc>
              <w:tc>
                <w:tcPr>
                  <w:tcW w:w="1470" w:type="dxa"/>
                  <w:vAlign w:val="center"/>
                </w:tcPr>
                <w:p w14:paraId="622820D4">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室内东</w:t>
                  </w:r>
                  <w:r>
                    <w:rPr>
                      <w:rFonts w:hint="eastAsia"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46.7</w:t>
                  </w:r>
                </w:p>
                <w:p w14:paraId="40EF7888">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w:t>
                  </w:r>
                  <w:r>
                    <w:rPr>
                      <w:rFonts w:hint="eastAsia" w:cs="Times New Roman"/>
                      <w:color w:val="auto"/>
                      <w:kern w:val="0"/>
                      <w:sz w:val="18"/>
                      <w:szCs w:val="18"/>
                      <w:highlight w:val="none"/>
                      <w:lang w:val="en-US" w:eastAsia="zh-CN" w:bidi="ar"/>
                    </w:rPr>
                    <w:t>东</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53.4</w:t>
                  </w:r>
                </w:p>
                <w:p w14:paraId="2ACD53E4">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w:t>
                  </w:r>
                  <w:r>
                    <w:rPr>
                      <w:rFonts w:hint="eastAsia" w:cs="Times New Roman"/>
                      <w:color w:val="auto"/>
                      <w:kern w:val="0"/>
                      <w:sz w:val="18"/>
                      <w:szCs w:val="18"/>
                      <w:highlight w:val="none"/>
                      <w:lang w:val="en-US" w:eastAsia="zh-CN" w:bidi="ar"/>
                    </w:rPr>
                    <w:t>西南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51.0</w:t>
                  </w:r>
                </w:p>
                <w:p w14:paraId="4386466C">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w:t>
                  </w:r>
                  <w:r>
                    <w:rPr>
                      <w:rFonts w:hint="eastAsia" w:cs="Times New Roman"/>
                      <w:color w:val="auto"/>
                      <w:kern w:val="0"/>
                      <w:sz w:val="18"/>
                      <w:szCs w:val="18"/>
                      <w:highlight w:val="none"/>
                      <w:lang w:val="en-US" w:eastAsia="zh-CN" w:bidi="ar"/>
                    </w:rPr>
                    <w:t>西</w:t>
                  </w:r>
                  <w:r>
                    <w:rPr>
                      <w:rFonts w:hint="eastAsia" w:ascii="Times New Roman" w:hAnsi="Times New Roman" w:eastAsia="宋体"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48.1</w:t>
                  </w:r>
                </w:p>
              </w:tc>
              <w:tc>
                <w:tcPr>
                  <w:tcW w:w="1095" w:type="dxa"/>
                  <w:vAlign w:val="center"/>
                </w:tcPr>
                <w:p w14:paraId="7744AC37">
                  <w:pPr>
                    <w:jc w:val="center"/>
                    <w:rPr>
                      <w:rFonts w:hint="eastAsia" w:ascii="Times New Roman" w:hAnsi="Times New Roman" w:eastAsia="宋体"/>
                      <w:color w:val="auto"/>
                      <w:szCs w:val="21"/>
                      <w:highlight w:val="none"/>
                      <w:lang w:val="en-US" w:eastAsia="zh-CN"/>
                    </w:rPr>
                  </w:pPr>
                  <w:r>
                    <w:rPr>
                      <w:rFonts w:hint="eastAsia" w:ascii="Times New Roman" w:hAnsi="Times New Roman" w:eastAsia="宋体"/>
                      <w:color w:val="auto"/>
                      <w:szCs w:val="21"/>
                      <w:highlight w:val="none"/>
                      <w:lang w:val="en-US" w:eastAsia="zh-CN"/>
                    </w:rPr>
                    <w:t>8:</w:t>
                  </w:r>
                  <w:r>
                    <w:rPr>
                      <w:rFonts w:hint="eastAsia"/>
                      <w:color w:val="auto"/>
                      <w:szCs w:val="21"/>
                      <w:highlight w:val="none"/>
                      <w:lang w:val="en-US" w:eastAsia="zh-CN"/>
                    </w:rPr>
                    <w:t>0</w:t>
                  </w:r>
                  <w:r>
                    <w:rPr>
                      <w:rFonts w:hint="eastAsia" w:ascii="Times New Roman" w:hAnsi="Times New Roman" w:eastAsia="宋体"/>
                      <w:color w:val="auto"/>
                      <w:szCs w:val="21"/>
                      <w:highlight w:val="none"/>
                      <w:lang w:val="en-US" w:eastAsia="zh-CN"/>
                    </w:rPr>
                    <w:t>0~</w:t>
                  </w:r>
                  <w:r>
                    <w:rPr>
                      <w:rFonts w:hint="eastAsia"/>
                      <w:color w:val="auto"/>
                      <w:szCs w:val="21"/>
                      <w:highlight w:val="none"/>
                      <w:lang w:val="en-US" w:eastAsia="zh-CN"/>
                    </w:rPr>
                    <w:t>20</w:t>
                  </w:r>
                  <w:r>
                    <w:rPr>
                      <w:rFonts w:hint="eastAsia" w:ascii="Times New Roman" w:hAnsi="Times New Roman" w:eastAsia="宋体"/>
                      <w:color w:val="auto"/>
                      <w:szCs w:val="21"/>
                      <w:highlight w:val="none"/>
                      <w:lang w:val="en-US" w:eastAsia="zh-CN"/>
                    </w:rPr>
                    <w:t>:</w:t>
                  </w:r>
                  <w:r>
                    <w:rPr>
                      <w:rFonts w:hint="eastAsia"/>
                      <w:color w:val="auto"/>
                      <w:szCs w:val="21"/>
                      <w:highlight w:val="none"/>
                      <w:lang w:val="en-US" w:eastAsia="zh-CN"/>
                    </w:rPr>
                    <w:t>0</w:t>
                  </w:r>
                  <w:r>
                    <w:rPr>
                      <w:rFonts w:hint="eastAsia" w:ascii="Times New Roman" w:hAnsi="Times New Roman" w:eastAsia="宋体"/>
                      <w:color w:val="auto"/>
                      <w:szCs w:val="21"/>
                      <w:highlight w:val="none"/>
                      <w:lang w:val="en-US" w:eastAsia="zh-CN"/>
                    </w:rPr>
                    <w:t>0</w:t>
                  </w:r>
                </w:p>
              </w:tc>
              <w:tc>
                <w:tcPr>
                  <w:tcW w:w="930" w:type="dxa"/>
                  <w:vAlign w:val="center"/>
                </w:tcPr>
                <w:p w14:paraId="36087EEA">
                  <w:pPr>
                    <w:jc w:val="center"/>
                    <w:rPr>
                      <w:rFonts w:ascii="Times New Roman" w:hAnsi="Times New Roman" w:eastAsia="宋体"/>
                      <w:color w:val="auto"/>
                      <w:szCs w:val="21"/>
                      <w:highlight w:val="none"/>
                    </w:rPr>
                  </w:pPr>
                  <w:r>
                    <w:rPr>
                      <w:rFonts w:ascii="Times New Roman" w:hAnsi="Times New Roman" w:eastAsia="宋体"/>
                      <w:color w:val="auto"/>
                      <w:szCs w:val="21"/>
                      <w:highlight w:val="none"/>
                    </w:rPr>
                    <w:t>15</w:t>
                  </w:r>
                </w:p>
              </w:tc>
              <w:tc>
                <w:tcPr>
                  <w:tcW w:w="1440" w:type="dxa"/>
                  <w:vAlign w:val="center"/>
                </w:tcPr>
                <w:p w14:paraId="7DC67979">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w:t>
                  </w:r>
                  <w:r>
                    <w:rPr>
                      <w:rFonts w:hint="eastAsia" w:cs="Times New Roman"/>
                      <w:color w:val="auto"/>
                      <w:kern w:val="0"/>
                      <w:sz w:val="18"/>
                      <w:szCs w:val="18"/>
                      <w:highlight w:val="none"/>
                      <w:lang w:val="en-US" w:eastAsia="zh-CN" w:bidi="ar"/>
                    </w:rPr>
                    <w:t>外</w:t>
                  </w:r>
                  <w:r>
                    <w:rPr>
                      <w:rFonts w:hint="default" w:ascii="Times New Roman" w:hAnsi="Times New Roman" w:eastAsia="宋体" w:cs="Times New Roman"/>
                      <w:color w:val="auto"/>
                      <w:kern w:val="0"/>
                      <w:sz w:val="18"/>
                      <w:szCs w:val="18"/>
                      <w:highlight w:val="none"/>
                      <w:lang w:val="en-US" w:eastAsia="zh-CN" w:bidi="ar"/>
                    </w:rPr>
                    <w:t>东</w:t>
                  </w:r>
                  <w:r>
                    <w:rPr>
                      <w:rFonts w:hint="eastAsia"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31.7</w:t>
                  </w:r>
                </w:p>
                <w:p w14:paraId="21786BBB">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w:t>
                  </w:r>
                  <w:r>
                    <w:rPr>
                      <w:rFonts w:hint="eastAsia" w:cs="Times New Roman"/>
                      <w:color w:val="auto"/>
                      <w:kern w:val="0"/>
                      <w:sz w:val="18"/>
                      <w:szCs w:val="18"/>
                      <w:highlight w:val="none"/>
                      <w:lang w:val="en-US" w:eastAsia="zh-CN" w:bidi="ar"/>
                    </w:rPr>
                    <w:t>外东</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38.4</w:t>
                  </w:r>
                </w:p>
                <w:p w14:paraId="2E792F87">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w:t>
                  </w:r>
                  <w:r>
                    <w:rPr>
                      <w:rFonts w:hint="eastAsia" w:cs="Times New Roman"/>
                      <w:color w:val="auto"/>
                      <w:kern w:val="0"/>
                      <w:sz w:val="18"/>
                      <w:szCs w:val="18"/>
                      <w:highlight w:val="none"/>
                      <w:lang w:val="en-US" w:eastAsia="zh-CN" w:bidi="ar"/>
                    </w:rPr>
                    <w:t>外西南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36.0</w:t>
                  </w:r>
                </w:p>
                <w:p w14:paraId="47407844">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w:t>
                  </w:r>
                  <w:r>
                    <w:rPr>
                      <w:rFonts w:hint="eastAsia" w:cs="Times New Roman"/>
                      <w:color w:val="auto"/>
                      <w:kern w:val="0"/>
                      <w:sz w:val="18"/>
                      <w:szCs w:val="18"/>
                      <w:highlight w:val="none"/>
                      <w:lang w:val="en-US" w:eastAsia="zh-CN" w:bidi="ar"/>
                    </w:rPr>
                    <w:t>外西</w:t>
                  </w:r>
                  <w:r>
                    <w:rPr>
                      <w:rFonts w:hint="eastAsia" w:ascii="Times New Roman" w:hAnsi="Times New Roman" w:eastAsia="宋体"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33.1</w:t>
                  </w:r>
                </w:p>
              </w:tc>
              <w:tc>
                <w:tcPr>
                  <w:tcW w:w="900" w:type="dxa"/>
                  <w:vAlign w:val="center"/>
                </w:tcPr>
                <w:p w14:paraId="3F9820AF">
                  <w:pPr>
                    <w:jc w:val="center"/>
                    <w:rPr>
                      <w:rFonts w:hint="default" w:ascii="Times New Roman" w:hAnsi="Times New Roman" w:eastAsia="宋体"/>
                      <w:color w:val="auto"/>
                      <w:szCs w:val="21"/>
                      <w:highlight w:val="none"/>
                      <w:lang w:val="en-US" w:eastAsia="zh-CN"/>
                    </w:rPr>
                  </w:pPr>
                  <w:r>
                    <w:rPr>
                      <w:rFonts w:hint="eastAsia"/>
                      <w:color w:val="auto"/>
                      <w:szCs w:val="21"/>
                      <w:highlight w:val="none"/>
                      <w:lang w:val="en-US" w:eastAsia="zh-CN"/>
                    </w:rPr>
                    <w:t>1</w:t>
                  </w:r>
                </w:p>
              </w:tc>
            </w:tr>
            <w:tr w14:paraId="0496B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07" w:type="dxa"/>
                  <w:vAlign w:val="center"/>
                </w:tcPr>
                <w:p w14:paraId="22B51917">
                  <w:pPr>
                    <w:jc w:val="center"/>
                    <w:textAlignment w:val="baseline"/>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8</w:t>
                  </w:r>
                </w:p>
              </w:tc>
              <w:tc>
                <w:tcPr>
                  <w:tcW w:w="586" w:type="dxa"/>
                  <w:vMerge w:val="continue"/>
                  <w:vAlign w:val="center"/>
                </w:tcPr>
                <w:p w14:paraId="7CF64842">
                  <w:pPr>
                    <w:jc w:val="center"/>
                    <w:textAlignment w:val="baseline"/>
                    <w:rPr>
                      <w:rFonts w:hint="default" w:ascii="Times New Roman" w:hAnsi="Times New Roman" w:eastAsia="宋体" w:cs="Times New Roman"/>
                      <w:color w:val="auto"/>
                      <w:szCs w:val="21"/>
                      <w:highlight w:val="none"/>
                    </w:rPr>
                  </w:pPr>
                </w:p>
              </w:tc>
              <w:tc>
                <w:tcPr>
                  <w:tcW w:w="750" w:type="dxa"/>
                  <w:vAlign w:val="center"/>
                </w:tcPr>
                <w:p w14:paraId="57C26D59">
                  <w:pPr>
                    <w:jc w:val="center"/>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切棉机</w:t>
                  </w:r>
                </w:p>
              </w:tc>
              <w:tc>
                <w:tcPr>
                  <w:tcW w:w="832" w:type="dxa"/>
                  <w:vAlign w:val="center"/>
                </w:tcPr>
                <w:p w14:paraId="0EB76517">
                  <w:pPr>
                    <w:jc w:val="center"/>
                    <w:rPr>
                      <w:rFonts w:hint="default"/>
                      <w:color w:val="auto"/>
                      <w:szCs w:val="21"/>
                      <w:lang w:val="en-US" w:eastAsia="zh-CN"/>
                    </w:rPr>
                  </w:pPr>
                  <w:r>
                    <w:rPr>
                      <w:rFonts w:hint="eastAsia"/>
                      <w:color w:val="auto"/>
                      <w:szCs w:val="21"/>
                      <w:lang w:val="en-US" w:eastAsia="zh-CN"/>
                    </w:rPr>
                    <w:t>4台</w:t>
                  </w:r>
                </w:p>
              </w:tc>
              <w:tc>
                <w:tcPr>
                  <w:tcW w:w="475" w:type="dxa"/>
                  <w:vAlign w:val="center"/>
                </w:tcPr>
                <w:p w14:paraId="08183912">
                  <w:pPr>
                    <w:jc w:val="center"/>
                    <w:rPr>
                      <w:rFonts w:hint="eastAsia" w:ascii="Times New Roman" w:hAnsi="Times New Roman" w:eastAsia="宋体"/>
                      <w:color w:val="auto"/>
                      <w:szCs w:val="21"/>
                      <w:highlight w:val="none"/>
                      <w:lang w:eastAsia="zh-CN"/>
                    </w:rPr>
                  </w:pPr>
                  <w:r>
                    <w:rPr>
                      <w:rFonts w:hint="eastAsia" w:ascii="Times New Roman" w:hAnsi="Times New Roman" w:eastAsia="宋体"/>
                      <w:color w:val="auto"/>
                      <w:szCs w:val="21"/>
                      <w:highlight w:val="none"/>
                      <w:lang w:eastAsia="zh-CN"/>
                    </w:rPr>
                    <w:t>类比法</w:t>
                  </w:r>
                </w:p>
              </w:tc>
              <w:tc>
                <w:tcPr>
                  <w:tcW w:w="1282" w:type="dxa"/>
                  <w:vAlign w:val="center"/>
                </w:tcPr>
                <w:p w14:paraId="488DB55F">
                  <w:pPr>
                    <w:adjustRightInd w:val="0"/>
                    <w:snapToGrid w:val="0"/>
                    <w:jc w:val="center"/>
                    <w:rPr>
                      <w:rFonts w:hint="eastAsia" w:ascii="Times New Roman" w:hAnsi="Times New Roman" w:eastAsia="宋体"/>
                      <w:color w:val="auto"/>
                      <w:szCs w:val="21"/>
                      <w:highlight w:val="none"/>
                      <w:lang w:val="en-US" w:eastAsia="zh-CN"/>
                    </w:rPr>
                  </w:pPr>
                  <w:r>
                    <w:rPr>
                      <w:rFonts w:hint="eastAsia" w:ascii="Times New Roman" w:hAnsi="Times New Roman" w:eastAsia="宋体"/>
                      <w:color w:val="auto"/>
                      <w:szCs w:val="21"/>
                      <w:highlight w:val="none"/>
                      <w:lang w:val="en-US" w:eastAsia="zh-CN"/>
                    </w:rPr>
                    <w:t>8</w:t>
                  </w:r>
                  <w:r>
                    <w:rPr>
                      <w:rFonts w:ascii="Times New Roman" w:hAnsi="Times New Roman" w:eastAsia="宋体"/>
                      <w:color w:val="auto"/>
                      <w:szCs w:val="21"/>
                      <w:highlight w:val="none"/>
                    </w:rPr>
                    <w:t>0</w:t>
                  </w:r>
                  <w:r>
                    <w:rPr>
                      <w:rFonts w:hint="eastAsia" w:ascii="Times New Roman" w:hAnsi="Times New Roman" w:eastAsia="宋体"/>
                      <w:color w:val="auto"/>
                      <w:szCs w:val="21"/>
                      <w:highlight w:val="none"/>
                      <w:lang w:val="en-US" w:eastAsia="zh-CN"/>
                    </w:rPr>
                    <w:t>/1</w:t>
                  </w:r>
                </w:p>
              </w:tc>
              <w:tc>
                <w:tcPr>
                  <w:tcW w:w="511" w:type="dxa"/>
                  <w:vMerge w:val="continue"/>
                  <w:vAlign w:val="center"/>
                </w:tcPr>
                <w:p w14:paraId="3814C882">
                  <w:pPr>
                    <w:jc w:val="center"/>
                    <w:rPr>
                      <w:rFonts w:ascii="Times New Roman" w:hAnsi="Times New Roman" w:eastAsia="宋体"/>
                      <w:color w:val="auto"/>
                      <w:szCs w:val="21"/>
                      <w:highlight w:val="none"/>
                    </w:rPr>
                  </w:pPr>
                </w:p>
              </w:tc>
              <w:tc>
                <w:tcPr>
                  <w:tcW w:w="541" w:type="dxa"/>
                  <w:vAlign w:val="center"/>
                </w:tcPr>
                <w:p w14:paraId="546B0061">
                  <w:pPr>
                    <w:widowControl/>
                    <w:jc w:val="center"/>
                    <w:textAlignment w:val="center"/>
                    <w:rPr>
                      <w:rFonts w:hint="default" w:ascii="Times New Roman" w:hAnsi="Times New Roman" w:eastAsia="宋体"/>
                      <w:color w:val="auto"/>
                      <w:kern w:val="0"/>
                      <w:szCs w:val="21"/>
                      <w:highlight w:val="none"/>
                      <w:lang w:val="en-US" w:eastAsia="zh-CN" w:bidi="ar"/>
                    </w:rPr>
                  </w:pPr>
                  <w:r>
                    <w:rPr>
                      <w:rFonts w:hint="eastAsia"/>
                      <w:color w:val="auto"/>
                      <w:kern w:val="0"/>
                      <w:szCs w:val="21"/>
                      <w:highlight w:val="none"/>
                      <w:lang w:val="en-US" w:eastAsia="zh-CN" w:bidi="ar"/>
                    </w:rPr>
                    <w:t>255</w:t>
                  </w:r>
                </w:p>
              </w:tc>
              <w:tc>
                <w:tcPr>
                  <w:tcW w:w="540" w:type="dxa"/>
                  <w:vAlign w:val="center"/>
                </w:tcPr>
                <w:p w14:paraId="784F6037">
                  <w:pPr>
                    <w:widowControl/>
                    <w:jc w:val="center"/>
                    <w:textAlignment w:val="center"/>
                    <w:rPr>
                      <w:rFonts w:hint="default" w:ascii="Times New Roman" w:hAnsi="Times New Roman" w:eastAsia="宋体"/>
                      <w:color w:val="auto"/>
                      <w:kern w:val="0"/>
                      <w:szCs w:val="21"/>
                      <w:highlight w:val="none"/>
                      <w:lang w:val="en-US" w:eastAsia="zh-CN" w:bidi="ar"/>
                    </w:rPr>
                  </w:pPr>
                  <w:r>
                    <w:rPr>
                      <w:rFonts w:hint="eastAsia"/>
                      <w:color w:val="auto"/>
                      <w:kern w:val="0"/>
                      <w:szCs w:val="21"/>
                      <w:highlight w:val="none"/>
                      <w:lang w:val="en-US" w:eastAsia="zh-CN" w:bidi="ar"/>
                    </w:rPr>
                    <w:t>180</w:t>
                  </w:r>
                </w:p>
              </w:tc>
              <w:tc>
                <w:tcPr>
                  <w:tcW w:w="420" w:type="dxa"/>
                  <w:vAlign w:val="center"/>
                </w:tcPr>
                <w:p w14:paraId="434AF956">
                  <w:pPr>
                    <w:widowControl/>
                    <w:jc w:val="center"/>
                    <w:textAlignment w:val="center"/>
                    <w:rPr>
                      <w:rFonts w:hint="default" w:ascii="Times New Roman" w:hAnsi="Times New Roman" w:eastAsia="宋体"/>
                      <w:color w:val="auto"/>
                      <w:kern w:val="0"/>
                      <w:szCs w:val="21"/>
                      <w:highlight w:val="none"/>
                      <w:lang w:val="en-US" w:eastAsia="zh-CN" w:bidi="ar"/>
                    </w:rPr>
                  </w:pPr>
                  <w:r>
                    <w:rPr>
                      <w:rFonts w:hint="eastAsia"/>
                      <w:color w:val="auto"/>
                      <w:kern w:val="0"/>
                      <w:szCs w:val="21"/>
                      <w:highlight w:val="none"/>
                      <w:lang w:val="en-US" w:eastAsia="zh-CN" w:bidi="ar"/>
                    </w:rPr>
                    <w:t>25</w:t>
                  </w:r>
                </w:p>
              </w:tc>
              <w:tc>
                <w:tcPr>
                  <w:tcW w:w="1395" w:type="dxa"/>
                  <w:vAlign w:val="center"/>
                </w:tcPr>
                <w:p w14:paraId="78B37C03">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室内东</w:t>
                  </w:r>
                  <w:r>
                    <w:rPr>
                      <w:rFonts w:hint="eastAsia"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28</w:t>
                  </w:r>
                </w:p>
                <w:p w14:paraId="7056E6A4">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w:t>
                  </w:r>
                  <w:r>
                    <w:rPr>
                      <w:rFonts w:hint="eastAsia" w:cs="Times New Roman"/>
                      <w:color w:val="auto"/>
                      <w:kern w:val="0"/>
                      <w:sz w:val="18"/>
                      <w:szCs w:val="18"/>
                      <w:highlight w:val="none"/>
                      <w:lang w:val="en-US" w:eastAsia="zh-CN" w:bidi="ar"/>
                    </w:rPr>
                    <w:t>东</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34</w:t>
                  </w:r>
                </w:p>
                <w:p w14:paraId="40D66291">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w:t>
                  </w:r>
                  <w:r>
                    <w:rPr>
                      <w:rFonts w:hint="eastAsia" w:ascii="Times New Roman" w:hAnsi="Times New Roman" w:eastAsia="宋体" w:cs="Times New Roman"/>
                      <w:color w:val="auto"/>
                      <w:kern w:val="0"/>
                      <w:sz w:val="18"/>
                      <w:szCs w:val="18"/>
                      <w:highlight w:val="none"/>
                      <w:lang w:val="en-US" w:eastAsia="zh-CN" w:bidi="ar"/>
                    </w:rPr>
                    <w:t>西</w:t>
                  </w:r>
                  <w:r>
                    <w:rPr>
                      <w:rFonts w:hint="eastAsia" w:cs="Times New Roman"/>
                      <w:color w:val="auto"/>
                      <w:kern w:val="0"/>
                      <w:sz w:val="18"/>
                      <w:szCs w:val="18"/>
                      <w:highlight w:val="none"/>
                      <w:lang w:val="en-US" w:eastAsia="zh-CN" w:bidi="ar"/>
                    </w:rPr>
                    <w:t>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92</w:t>
                  </w:r>
                </w:p>
                <w:p w14:paraId="2F8036C1">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w:t>
                  </w:r>
                  <w:r>
                    <w:rPr>
                      <w:rFonts w:hint="eastAsia" w:cs="Times New Roman"/>
                      <w:color w:val="auto"/>
                      <w:kern w:val="0"/>
                      <w:sz w:val="18"/>
                      <w:szCs w:val="18"/>
                      <w:highlight w:val="none"/>
                      <w:lang w:val="en-US" w:eastAsia="zh-CN" w:bidi="ar"/>
                    </w:rPr>
                    <w:t>西</w:t>
                  </w:r>
                  <w:r>
                    <w:rPr>
                      <w:rFonts w:hint="eastAsia" w:ascii="Times New Roman" w:hAnsi="Times New Roman" w:eastAsia="宋体"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15</w:t>
                  </w:r>
                </w:p>
              </w:tc>
              <w:tc>
                <w:tcPr>
                  <w:tcW w:w="1470" w:type="dxa"/>
                  <w:vAlign w:val="center"/>
                </w:tcPr>
                <w:p w14:paraId="4780D716">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室内东</w:t>
                  </w:r>
                  <w:r>
                    <w:rPr>
                      <w:rFonts w:hint="eastAsia"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51.1</w:t>
                  </w:r>
                  <w:r>
                    <w:rPr>
                      <w:rFonts w:hint="default" w:ascii="Times New Roman" w:hAnsi="Times New Roman" w:eastAsia="宋体" w:cs="Times New Roman"/>
                      <w:color w:val="auto"/>
                      <w:kern w:val="0"/>
                      <w:sz w:val="18"/>
                      <w:szCs w:val="18"/>
                      <w:highlight w:val="none"/>
                      <w:lang w:val="en-US" w:eastAsia="zh-CN" w:bidi="ar"/>
                    </w:rPr>
                    <w:t>室内</w:t>
                  </w:r>
                  <w:r>
                    <w:rPr>
                      <w:rFonts w:hint="eastAsia" w:cs="Times New Roman"/>
                      <w:color w:val="auto"/>
                      <w:kern w:val="0"/>
                      <w:sz w:val="18"/>
                      <w:szCs w:val="18"/>
                      <w:highlight w:val="none"/>
                      <w:lang w:val="en-US" w:eastAsia="zh-CN" w:bidi="ar"/>
                    </w:rPr>
                    <w:t>东</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49.4</w:t>
                  </w:r>
                </w:p>
                <w:p w14:paraId="68A5DD2F">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w:t>
                  </w:r>
                  <w:r>
                    <w:rPr>
                      <w:rFonts w:hint="eastAsia" w:ascii="Times New Roman" w:hAnsi="Times New Roman" w:eastAsia="宋体" w:cs="Times New Roman"/>
                      <w:color w:val="auto"/>
                      <w:kern w:val="0"/>
                      <w:sz w:val="18"/>
                      <w:szCs w:val="18"/>
                      <w:highlight w:val="none"/>
                      <w:lang w:val="en-US" w:eastAsia="zh-CN" w:bidi="ar"/>
                    </w:rPr>
                    <w:t>西</w:t>
                  </w:r>
                  <w:r>
                    <w:rPr>
                      <w:rFonts w:hint="eastAsia" w:cs="Times New Roman"/>
                      <w:color w:val="auto"/>
                      <w:kern w:val="0"/>
                      <w:sz w:val="18"/>
                      <w:szCs w:val="18"/>
                      <w:highlight w:val="none"/>
                      <w:lang w:val="en-US" w:eastAsia="zh-CN" w:bidi="ar"/>
                    </w:rPr>
                    <w:t>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40.7</w:t>
                  </w:r>
                </w:p>
                <w:p w14:paraId="0DE832A5">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w:t>
                  </w:r>
                  <w:r>
                    <w:rPr>
                      <w:rFonts w:hint="eastAsia" w:cs="Times New Roman"/>
                      <w:color w:val="auto"/>
                      <w:kern w:val="0"/>
                      <w:sz w:val="18"/>
                      <w:szCs w:val="18"/>
                      <w:highlight w:val="none"/>
                      <w:lang w:val="en-US" w:eastAsia="zh-CN" w:bidi="ar"/>
                    </w:rPr>
                    <w:t>西</w:t>
                  </w:r>
                  <w:r>
                    <w:rPr>
                      <w:rFonts w:hint="eastAsia" w:ascii="Times New Roman" w:hAnsi="Times New Roman" w:eastAsia="宋体"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ascii="Times New Roman" w:hAnsi="Times New Roman" w:eastAsia="宋体" w:cs="Times New Roman"/>
                      <w:color w:val="auto"/>
                      <w:kern w:val="0"/>
                      <w:sz w:val="18"/>
                      <w:szCs w:val="18"/>
                      <w:highlight w:val="none"/>
                      <w:lang w:val="en-US" w:eastAsia="zh-CN" w:bidi="ar"/>
                    </w:rPr>
                    <w:t>5</w:t>
                  </w:r>
                  <w:r>
                    <w:rPr>
                      <w:rFonts w:hint="eastAsia" w:cs="Times New Roman"/>
                      <w:color w:val="auto"/>
                      <w:kern w:val="0"/>
                      <w:sz w:val="18"/>
                      <w:szCs w:val="18"/>
                      <w:highlight w:val="none"/>
                      <w:lang w:val="en-US" w:eastAsia="zh-CN" w:bidi="ar"/>
                    </w:rPr>
                    <w:t>6.5</w:t>
                  </w:r>
                </w:p>
              </w:tc>
              <w:tc>
                <w:tcPr>
                  <w:tcW w:w="1095" w:type="dxa"/>
                  <w:vAlign w:val="center"/>
                </w:tcPr>
                <w:p w14:paraId="7F205818">
                  <w:pPr>
                    <w:jc w:val="center"/>
                    <w:rPr>
                      <w:rFonts w:hint="eastAsia" w:ascii="Times New Roman" w:hAnsi="Times New Roman" w:eastAsia="宋体"/>
                      <w:color w:val="auto"/>
                      <w:szCs w:val="21"/>
                      <w:highlight w:val="none"/>
                      <w:lang w:val="en-US" w:eastAsia="zh-CN"/>
                    </w:rPr>
                  </w:pPr>
                  <w:r>
                    <w:rPr>
                      <w:rFonts w:hint="eastAsia" w:ascii="Times New Roman" w:hAnsi="Times New Roman" w:eastAsia="宋体"/>
                      <w:color w:val="auto"/>
                      <w:szCs w:val="21"/>
                      <w:highlight w:val="none"/>
                      <w:lang w:val="en-US" w:eastAsia="zh-CN"/>
                    </w:rPr>
                    <w:t>8:</w:t>
                  </w:r>
                  <w:r>
                    <w:rPr>
                      <w:rFonts w:hint="eastAsia"/>
                      <w:color w:val="auto"/>
                      <w:szCs w:val="21"/>
                      <w:highlight w:val="none"/>
                      <w:lang w:val="en-US" w:eastAsia="zh-CN"/>
                    </w:rPr>
                    <w:t>0</w:t>
                  </w:r>
                  <w:r>
                    <w:rPr>
                      <w:rFonts w:hint="eastAsia" w:ascii="Times New Roman" w:hAnsi="Times New Roman" w:eastAsia="宋体"/>
                      <w:color w:val="auto"/>
                      <w:szCs w:val="21"/>
                      <w:highlight w:val="none"/>
                      <w:lang w:val="en-US" w:eastAsia="zh-CN"/>
                    </w:rPr>
                    <w:t>0~</w:t>
                  </w:r>
                  <w:r>
                    <w:rPr>
                      <w:rFonts w:hint="eastAsia"/>
                      <w:color w:val="auto"/>
                      <w:szCs w:val="21"/>
                      <w:highlight w:val="none"/>
                      <w:lang w:val="en-US" w:eastAsia="zh-CN"/>
                    </w:rPr>
                    <w:t>20</w:t>
                  </w:r>
                  <w:r>
                    <w:rPr>
                      <w:rFonts w:hint="eastAsia" w:ascii="Times New Roman" w:hAnsi="Times New Roman" w:eastAsia="宋体"/>
                      <w:color w:val="auto"/>
                      <w:szCs w:val="21"/>
                      <w:highlight w:val="none"/>
                      <w:lang w:val="en-US" w:eastAsia="zh-CN"/>
                    </w:rPr>
                    <w:t>:</w:t>
                  </w:r>
                  <w:r>
                    <w:rPr>
                      <w:rFonts w:hint="eastAsia"/>
                      <w:color w:val="auto"/>
                      <w:szCs w:val="21"/>
                      <w:highlight w:val="none"/>
                      <w:lang w:val="en-US" w:eastAsia="zh-CN"/>
                    </w:rPr>
                    <w:t>0</w:t>
                  </w:r>
                  <w:r>
                    <w:rPr>
                      <w:rFonts w:hint="eastAsia" w:ascii="Times New Roman" w:hAnsi="Times New Roman" w:eastAsia="宋体"/>
                      <w:color w:val="auto"/>
                      <w:szCs w:val="21"/>
                      <w:highlight w:val="none"/>
                      <w:lang w:val="en-US" w:eastAsia="zh-CN"/>
                    </w:rPr>
                    <w:t>0</w:t>
                  </w:r>
                </w:p>
              </w:tc>
              <w:tc>
                <w:tcPr>
                  <w:tcW w:w="930" w:type="dxa"/>
                  <w:vAlign w:val="center"/>
                </w:tcPr>
                <w:p w14:paraId="37AF7F58">
                  <w:pPr>
                    <w:jc w:val="center"/>
                    <w:rPr>
                      <w:rFonts w:ascii="Times New Roman" w:hAnsi="Times New Roman" w:eastAsia="宋体"/>
                      <w:color w:val="auto"/>
                      <w:szCs w:val="21"/>
                      <w:highlight w:val="none"/>
                    </w:rPr>
                  </w:pPr>
                  <w:r>
                    <w:rPr>
                      <w:rFonts w:ascii="Times New Roman" w:hAnsi="Times New Roman" w:eastAsia="宋体"/>
                      <w:color w:val="auto"/>
                      <w:szCs w:val="21"/>
                      <w:highlight w:val="none"/>
                    </w:rPr>
                    <w:t>15</w:t>
                  </w:r>
                </w:p>
              </w:tc>
              <w:tc>
                <w:tcPr>
                  <w:tcW w:w="1440" w:type="dxa"/>
                  <w:vAlign w:val="center"/>
                </w:tcPr>
                <w:p w14:paraId="47F7E047">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w:t>
                  </w:r>
                  <w:r>
                    <w:rPr>
                      <w:rFonts w:hint="eastAsia" w:cs="Times New Roman"/>
                      <w:color w:val="auto"/>
                      <w:kern w:val="0"/>
                      <w:sz w:val="18"/>
                      <w:szCs w:val="18"/>
                      <w:highlight w:val="none"/>
                      <w:lang w:val="en-US" w:eastAsia="zh-CN" w:bidi="ar"/>
                    </w:rPr>
                    <w:t>外</w:t>
                  </w:r>
                  <w:r>
                    <w:rPr>
                      <w:rFonts w:hint="default" w:ascii="Times New Roman" w:hAnsi="Times New Roman" w:eastAsia="宋体" w:cs="Times New Roman"/>
                      <w:color w:val="auto"/>
                      <w:kern w:val="0"/>
                      <w:sz w:val="18"/>
                      <w:szCs w:val="18"/>
                      <w:highlight w:val="none"/>
                      <w:lang w:val="en-US" w:eastAsia="zh-CN" w:bidi="ar"/>
                    </w:rPr>
                    <w:t>东</w:t>
                  </w:r>
                  <w:r>
                    <w:rPr>
                      <w:rFonts w:hint="eastAsia"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36.1</w:t>
                  </w:r>
                  <w:r>
                    <w:rPr>
                      <w:rFonts w:hint="default" w:ascii="Times New Roman" w:hAnsi="Times New Roman" w:eastAsia="宋体" w:cs="Times New Roman"/>
                      <w:color w:val="auto"/>
                      <w:kern w:val="0"/>
                      <w:sz w:val="18"/>
                      <w:szCs w:val="18"/>
                      <w:highlight w:val="none"/>
                      <w:lang w:val="en-US" w:eastAsia="zh-CN" w:bidi="ar"/>
                    </w:rPr>
                    <w:t>室</w:t>
                  </w:r>
                  <w:r>
                    <w:rPr>
                      <w:rFonts w:hint="eastAsia" w:cs="Times New Roman"/>
                      <w:color w:val="auto"/>
                      <w:kern w:val="0"/>
                      <w:sz w:val="18"/>
                      <w:szCs w:val="18"/>
                      <w:highlight w:val="none"/>
                      <w:lang w:val="en-US" w:eastAsia="zh-CN" w:bidi="ar"/>
                    </w:rPr>
                    <w:t>外东</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34.4</w:t>
                  </w:r>
                </w:p>
                <w:p w14:paraId="21AF5594">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w:t>
                  </w:r>
                  <w:r>
                    <w:rPr>
                      <w:rFonts w:hint="eastAsia" w:cs="Times New Roman"/>
                      <w:color w:val="auto"/>
                      <w:kern w:val="0"/>
                      <w:sz w:val="18"/>
                      <w:szCs w:val="18"/>
                      <w:highlight w:val="none"/>
                      <w:lang w:val="en-US" w:eastAsia="zh-CN" w:bidi="ar"/>
                    </w:rPr>
                    <w:t>外</w:t>
                  </w:r>
                  <w:r>
                    <w:rPr>
                      <w:rFonts w:hint="eastAsia" w:ascii="Times New Roman" w:hAnsi="Times New Roman" w:eastAsia="宋体" w:cs="Times New Roman"/>
                      <w:color w:val="auto"/>
                      <w:kern w:val="0"/>
                      <w:sz w:val="18"/>
                      <w:szCs w:val="18"/>
                      <w:highlight w:val="none"/>
                      <w:lang w:val="en-US" w:eastAsia="zh-CN" w:bidi="ar"/>
                    </w:rPr>
                    <w:t>西</w:t>
                  </w:r>
                  <w:r>
                    <w:rPr>
                      <w:rFonts w:hint="eastAsia" w:cs="Times New Roman"/>
                      <w:color w:val="auto"/>
                      <w:kern w:val="0"/>
                      <w:sz w:val="18"/>
                      <w:szCs w:val="18"/>
                      <w:highlight w:val="none"/>
                      <w:lang w:val="en-US" w:eastAsia="zh-CN" w:bidi="ar"/>
                    </w:rPr>
                    <w:t>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25.7</w:t>
                  </w:r>
                </w:p>
                <w:p w14:paraId="253946C4">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w:t>
                  </w:r>
                  <w:r>
                    <w:rPr>
                      <w:rFonts w:hint="eastAsia" w:cs="Times New Roman"/>
                      <w:color w:val="auto"/>
                      <w:kern w:val="0"/>
                      <w:sz w:val="18"/>
                      <w:szCs w:val="18"/>
                      <w:highlight w:val="none"/>
                      <w:lang w:val="en-US" w:eastAsia="zh-CN" w:bidi="ar"/>
                    </w:rPr>
                    <w:t>外西</w:t>
                  </w:r>
                  <w:r>
                    <w:rPr>
                      <w:rFonts w:hint="eastAsia" w:ascii="Times New Roman" w:hAnsi="Times New Roman" w:eastAsia="宋体"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41.5</w:t>
                  </w:r>
                </w:p>
              </w:tc>
              <w:tc>
                <w:tcPr>
                  <w:tcW w:w="900" w:type="dxa"/>
                  <w:vAlign w:val="center"/>
                </w:tcPr>
                <w:p w14:paraId="28F26A86">
                  <w:pPr>
                    <w:jc w:val="center"/>
                    <w:rPr>
                      <w:rFonts w:hint="default" w:ascii="Times New Roman" w:hAnsi="Times New Roman" w:eastAsia="宋体"/>
                      <w:color w:val="auto"/>
                      <w:szCs w:val="21"/>
                      <w:highlight w:val="none"/>
                      <w:lang w:val="en-US" w:eastAsia="zh-CN"/>
                    </w:rPr>
                  </w:pPr>
                  <w:r>
                    <w:rPr>
                      <w:rFonts w:hint="eastAsia"/>
                      <w:color w:val="auto"/>
                      <w:szCs w:val="21"/>
                      <w:highlight w:val="none"/>
                      <w:lang w:val="en-US" w:eastAsia="zh-CN"/>
                    </w:rPr>
                    <w:t>1</w:t>
                  </w:r>
                </w:p>
              </w:tc>
            </w:tr>
            <w:tr w14:paraId="41F68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07" w:type="dxa"/>
                  <w:vAlign w:val="center"/>
                </w:tcPr>
                <w:p w14:paraId="5B280373">
                  <w:pPr>
                    <w:jc w:val="center"/>
                    <w:textAlignment w:val="baseline"/>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9</w:t>
                  </w:r>
                </w:p>
              </w:tc>
              <w:tc>
                <w:tcPr>
                  <w:tcW w:w="586" w:type="dxa"/>
                  <w:vAlign w:val="center"/>
                </w:tcPr>
                <w:p w14:paraId="631DE58B">
                  <w:pPr>
                    <w:jc w:val="center"/>
                    <w:textAlignment w:val="baseline"/>
                    <w:rPr>
                      <w:rFonts w:hint="eastAsia" w:ascii="Times New Roman" w:hAnsi="Times New Roman" w:eastAsia="宋体" w:cs="Times New Roman"/>
                      <w:color w:val="auto"/>
                      <w:szCs w:val="21"/>
                      <w:highlight w:val="none"/>
                      <w:lang w:eastAsia="zh-CN"/>
                    </w:rPr>
                  </w:pPr>
                  <w:r>
                    <w:rPr>
                      <w:rFonts w:hint="eastAsia" w:ascii="Times New Roman" w:hAnsi="Times New Roman" w:eastAsia="宋体" w:cs="Times New Roman"/>
                      <w:color w:val="auto"/>
                      <w:szCs w:val="21"/>
                      <w:highlight w:val="none"/>
                      <w:lang w:val="en-US" w:eastAsia="zh-CN"/>
                    </w:rPr>
                    <w:t>2</w:t>
                  </w:r>
                  <w:r>
                    <w:rPr>
                      <w:rFonts w:hint="default" w:ascii="Times New Roman" w:hAnsi="Times New Roman" w:eastAsia="宋体" w:cs="Times New Roman"/>
                      <w:color w:val="auto"/>
                      <w:szCs w:val="21"/>
                      <w:highlight w:val="none"/>
                    </w:rPr>
                    <w:t>#</w:t>
                  </w:r>
                  <w:r>
                    <w:rPr>
                      <w:rFonts w:hint="eastAsia" w:cs="Times New Roman"/>
                      <w:color w:val="auto"/>
                      <w:szCs w:val="21"/>
                      <w:highlight w:val="none"/>
                      <w:lang w:val="en-US" w:eastAsia="zh-CN"/>
                    </w:rPr>
                    <w:t>-1</w:t>
                  </w:r>
                  <w:r>
                    <w:rPr>
                      <w:rFonts w:hint="eastAsia" w:ascii="Times New Roman" w:hAnsi="Times New Roman" w:eastAsia="宋体" w:cs="Times New Roman"/>
                      <w:color w:val="auto"/>
                      <w:szCs w:val="21"/>
                      <w:highlight w:val="none"/>
                      <w:lang w:eastAsia="zh-CN"/>
                    </w:rPr>
                    <w:t>厂房</w:t>
                  </w:r>
                </w:p>
                <w:p w14:paraId="028267EE">
                  <w:pPr>
                    <w:jc w:val="center"/>
                    <w:textAlignment w:val="baseline"/>
                    <w:rPr>
                      <w:rFonts w:hint="default"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2F</w:t>
                  </w:r>
                </w:p>
              </w:tc>
              <w:tc>
                <w:tcPr>
                  <w:tcW w:w="750" w:type="dxa"/>
                  <w:vAlign w:val="center"/>
                </w:tcPr>
                <w:p w14:paraId="09E0402B">
                  <w:pPr>
                    <w:jc w:val="center"/>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测试房</w:t>
                  </w:r>
                </w:p>
              </w:tc>
              <w:tc>
                <w:tcPr>
                  <w:tcW w:w="832" w:type="dxa"/>
                  <w:vAlign w:val="center"/>
                </w:tcPr>
                <w:p w14:paraId="2766539A">
                  <w:pPr>
                    <w:jc w:val="center"/>
                    <w:rPr>
                      <w:rFonts w:hint="default"/>
                      <w:color w:val="auto"/>
                      <w:szCs w:val="21"/>
                      <w:lang w:val="en-US" w:eastAsia="zh-CN"/>
                    </w:rPr>
                  </w:pPr>
                  <w:r>
                    <w:rPr>
                      <w:rFonts w:hint="eastAsia"/>
                      <w:color w:val="auto"/>
                      <w:szCs w:val="21"/>
                      <w:lang w:val="en-US" w:eastAsia="zh-CN"/>
                    </w:rPr>
                    <w:t>3间</w:t>
                  </w:r>
                </w:p>
              </w:tc>
              <w:tc>
                <w:tcPr>
                  <w:tcW w:w="475" w:type="dxa"/>
                  <w:vAlign w:val="center"/>
                </w:tcPr>
                <w:p w14:paraId="788A8C9B">
                  <w:pPr>
                    <w:jc w:val="center"/>
                    <w:rPr>
                      <w:rFonts w:hint="eastAsia" w:ascii="Times New Roman" w:hAnsi="Times New Roman" w:eastAsia="宋体"/>
                      <w:color w:val="auto"/>
                      <w:szCs w:val="21"/>
                      <w:highlight w:val="none"/>
                      <w:lang w:eastAsia="zh-CN"/>
                    </w:rPr>
                  </w:pPr>
                  <w:r>
                    <w:rPr>
                      <w:rFonts w:hint="eastAsia" w:ascii="Times New Roman" w:hAnsi="Times New Roman" w:eastAsia="宋体"/>
                      <w:color w:val="auto"/>
                      <w:szCs w:val="21"/>
                      <w:highlight w:val="none"/>
                      <w:lang w:eastAsia="zh-CN"/>
                    </w:rPr>
                    <w:t>类比法</w:t>
                  </w:r>
                </w:p>
              </w:tc>
              <w:tc>
                <w:tcPr>
                  <w:tcW w:w="1282" w:type="dxa"/>
                  <w:vAlign w:val="center"/>
                </w:tcPr>
                <w:p w14:paraId="75AE1C0D">
                  <w:pPr>
                    <w:adjustRightInd w:val="0"/>
                    <w:snapToGrid w:val="0"/>
                    <w:jc w:val="center"/>
                    <w:rPr>
                      <w:rFonts w:hint="eastAsia" w:ascii="Times New Roman" w:hAnsi="Times New Roman" w:eastAsia="宋体"/>
                      <w:color w:val="auto"/>
                      <w:szCs w:val="21"/>
                      <w:highlight w:val="none"/>
                      <w:lang w:val="en-US" w:eastAsia="zh-CN"/>
                    </w:rPr>
                  </w:pPr>
                  <w:r>
                    <w:rPr>
                      <w:rFonts w:hint="eastAsia" w:ascii="Times New Roman" w:hAnsi="Times New Roman" w:eastAsia="宋体"/>
                      <w:color w:val="auto"/>
                      <w:szCs w:val="21"/>
                      <w:highlight w:val="none"/>
                      <w:lang w:val="en-US" w:eastAsia="zh-CN"/>
                    </w:rPr>
                    <w:t>8</w:t>
                  </w:r>
                  <w:r>
                    <w:rPr>
                      <w:rFonts w:hint="eastAsia"/>
                      <w:color w:val="auto"/>
                      <w:szCs w:val="21"/>
                      <w:highlight w:val="none"/>
                      <w:lang w:val="en-US" w:eastAsia="zh-CN"/>
                    </w:rPr>
                    <w:t>5</w:t>
                  </w:r>
                  <w:r>
                    <w:rPr>
                      <w:rFonts w:hint="eastAsia" w:ascii="Times New Roman" w:hAnsi="Times New Roman" w:eastAsia="宋体"/>
                      <w:color w:val="auto"/>
                      <w:szCs w:val="21"/>
                      <w:highlight w:val="none"/>
                      <w:lang w:val="en-US" w:eastAsia="zh-CN"/>
                    </w:rPr>
                    <w:t>/1</w:t>
                  </w:r>
                </w:p>
              </w:tc>
              <w:tc>
                <w:tcPr>
                  <w:tcW w:w="511" w:type="dxa"/>
                  <w:vMerge w:val="continue"/>
                  <w:vAlign w:val="center"/>
                </w:tcPr>
                <w:p w14:paraId="48FF2CCB">
                  <w:pPr>
                    <w:jc w:val="center"/>
                    <w:rPr>
                      <w:rFonts w:ascii="Times New Roman" w:hAnsi="Times New Roman" w:eastAsia="宋体"/>
                      <w:color w:val="auto"/>
                      <w:szCs w:val="21"/>
                      <w:highlight w:val="none"/>
                    </w:rPr>
                  </w:pPr>
                </w:p>
              </w:tc>
              <w:tc>
                <w:tcPr>
                  <w:tcW w:w="541" w:type="dxa"/>
                  <w:vAlign w:val="center"/>
                </w:tcPr>
                <w:p w14:paraId="61C14CAA">
                  <w:pPr>
                    <w:widowControl/>
                    <w:jc w:val="center"/>
                    <w:textAlignment w:val="center"/>
                    <w:rPr>
                      <w:rFonts w:hint="eastAsia" w:ascii="Times New Roman" w:hAnsi="Times New Roman" w:eastAsia="宋体"/>
                      <w:color w:val="auto"/>
                      <w:kern w:val="0"/>
                      <w:szCs w:val="21"/>
                      <w:highlight w:val="none"/>
                      <w:lang w:val="en-US" w:eastAsia="zh-CN" w:bidi="ar"/>
                    </w:rPr>
                  </w:pPr>
                  <w:r>
                    <w:rPr>
                      <w:rFonts w:hint="eastAsia"/>
                      <w:color w:val="auto"/>
                      <w:kern w:val="0"/>
                      <w:szCs w:val="21"/>
                      <w:highlight w:val="none"/>
                      <w:lang w:val="en-US" w:eastAsia="zh-CN" w:bidi="ar"/>
                    </w:rPr>
                    <w:t>15</w:t>
                  </w:r>
                  <w:r>
                    <w:rPr>
                      <w:rFonts w:hint="eastAsia" w:ascii="Times New Roman" w:hAnsi="Times New Roman" w:eastAsia="宋体"/>
                      <w:color w:val="auto"/>
                      <w:kern w:val="0"/>
                      <w:szCs w:val="21"/>
                      <w:highlight w:val="none"/>
                      <w:lang w:val="en-US" w:eastAsia="zh-CN" w:bidi="ar"/>
                    </w:rPr>
                    <w:t>5</w:t>
                  </w:r>
                </w:p>
              </w:tc>
              <w:tc>
                <w:tcPr>
                  <w:tcW w:w="540" w:type="dxa"/>
                  <w:vAlign w:val="center"/>
                </w:tcPr>
                <w:p w14:paraId="24194F8F">
                  <w:pPr>
                    <w:widowControl/>
                    <w:jc w:val="center"/>
                    <w:textAlignment w:val="center"/>
                    <w:rPr>
                      <w:rFonts w:hint="eastAsia" w:ascii="Times New Roman" w:hAnsi="Times New Roman" w:eastAsia="宋体"/>
                      <w:color w:val="auto"/>
                      <w:kern w:val="0"/>
                      <w:szCs w:val="21"/>
                      <w:highlight w:val="none"/>
                      <w:lang w:val="en-US" w:eastAsia="zh-CN" w:bidi="ar"/>
                    </w:rPr>
                  </w:pPr>
                  <w:r>
                    <w:rPr>
                      <w:rFonts w:hint="eastAsia"/>
                      <w:color w:val="auto"/>
                      <w:kern w:val="0"/>
                      <w:szCs w:val="21"/>
                      <w:highlight w:val="none"/>
                      <w:lang w:val="en-US" w:eastAsia="zh-CN" w:bidi="ar"/>
                    </w:rPr>
                    <w:t>13</w:t>
                  </w:r>
                  <w:r>
                    <w:rPr>
                      <w:rFonts w:hint="eastAsia" w:ascii="Times New Roman" w:hAnsi="Times New Roman" w:eastAsia="宋体"/>
                      <w:color w:val="auto"/>
                      <w:kern w:val="0"/>
                      <w:szCs w:val="21"/>
                      <w:highlight w:val="none"/>
                      <w:lang w:val="en-US" w:eastAsia="zh-CN" w:bidi="ar"/>
                    </w:rPr>
                    <w:t>5</w:t>
                  </w:r>
                </w:p>
              </w:tc>
              <w:tc>
                <w:tcPr>
                  <w:tcW w:w="420" w:type="dxa"/>
                  <w:vAlign w:val="center"/>
                </w:tcPr>
                <w:p w14:paraId="0D304B07">
                  <w:pPr>
                    <w:widowControl/>
                    <w:jc w:val="center"/>
                    <w:textAlignment w:val="center"/>
                    <w:rPr>
                      <w:rFonts w:hint="default" w:ascii="Times New Roman" w:hAnsi="Times New Roman" w:eastAsia="宋体"/>
                      <w:color w:val="auto"/>
                      <w:kern w:val="0"/>
                      <w:szCs w:val="21"/>
                      <w:highlight w:val="none"/>
                      <w:lang w:val="en-US" w:eastAsia="zh-CN" w:bidi="ar"/>
                    </w:rPr>
                  </w:pPr>
                  <w:r>
                    <w:rPr>
                      <w:rFonts w:hint="eastAsia"/>
                      <w:color w:val="auto"/>
                      <w:kern w:val="0"/>
                      <w:szCs w:val="21"/>
                      <w:highlight w:val="none"/>
                      <w:lang w:val="en-US" w:eastAsia="zh-CN" w:bidi="ar"/>
                    </w:rPr>
                    <w:t>25</w:t>
                  </w:r>
                </w:p>
              </w:tc>
              <w:tc>
                <w:tcPr>
                  <w:tcW w:w="1395" w:type="dxa"/>
                  <w:vAlign w:val="center"/>
                </w:tcPr>
                <w:p w14:paraId="6F9BFBB7">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室内东</w:t>
                  </w:r>
                  <w:r>
                    <w:rPr>
                      <w:rFonts w:hint="eastAsia"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5</w:t>
                  </w:r>
                </w:p>
                <w:p w14:paraId="6993261F">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w:t>
                  </w:r>
                  <w:r>
                    <w:rPr>
                      <w:rFonts w:hint="eastAsia" w:cs="Times New Roman"/>
                      <w:color w:val="auto"/>
                      <w:kern w:val="0"/>
                      <w:sz w:val="18"/>
                      <w:szCs w:val="18"/>
                      <w:highlight w:val="none"/>
                      <w:lang w:val="en-US" w:eastAsia="zh-CN" w:bidi="ar"/>
                    </w:rPr>
                    <w:t>东</w:t>
                  </w:r>
                  <w:r>
                    <w:rPr>
                      <w:rFonts w:hint="eastAsia" w:ascii="Times New Roman" w:hAnsi="Times New Roman" w:eastAsia="宋体" w:cs="Times New Roman"/>
                      <w:color w:val="auto"/>
                      <w:kern w:val="0"/>
                      <w:sz w:val="18"/>
                      <w:szCs w:val="18"/>
                      <w:highlight w:val="none"/>
                      <w:lang w:val="en-US" w:eastAsia="zh-CN" w:bidi="ar"/>
                    </w:rPr>
                    <w:t>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80</w:t>
                  </w:r>
                </w:p>
                <w:p w14:paraId="5C15D25F">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w:t>
                  </w:r>
                  <w:r>
                    <w:rPr>
                      <w:rFonts w:hint="eastAsia" w:ascii="Times New Roman" w:hAnsi="Times New Roman" w:eastAsia="宋体" w:cs="Times New Roman"/>
                      <w:color w:val="auto"/>
                      <w:kern w:val="0"/>
                      <w:sz w:val="18"/>
                      <w:szCs w:val="18"/>
                      <w:highlight w:val="none"/>
                      <w:lang w:val="en-US" w:eastAsia="zh-CN" w:bidi="ar"/>
                    </w:rPr>
                    <w:t>西</w:t>
                  </w:r>
                  <w:r>
                    <w:rPr>
                      <w:rFonts w:hint="eastAsia" w:cs="Times New Roman"/>
                      <w:color w:val="auto"/>
                      <w:kern w:val="0"/>
                      <w:sz w:val="18"/>
                      <w:szCs w:val="18"/>
                      <w:highlight w:val="none"/>
                      <w:lang w:val="en-US" w:eastAsia="zh-CN" w:bidi="ar"/>
                    </w:rPr>
                    <w:t>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11</w:t>
                  </w:r>
                  <w:r>
                    <w:rPr>
                      <w:rFonts w:hint="eastAsia" w:ascii="Times New Roman" w:hAnsi="Times New Roman" w:eastAsia="宋体" w:cs="Times New Roman"/>
                      <w:color w:val="auto"/>
                      <w:kern w:val="0"/>
                      <w:sz w:val="18"/>
                      <w:szCs w:val="18"/>
                      <w:highlight w:val="none"/>
                      <w:lang w:val="en-US" w:eastAsia="zh-CN" w:bidi="ar"/>
                    </w:rPr>
                    <w:t>0</w:t>
                  </w:r>
                </w:p>
                <w:p w14:paraId="43818140">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w:t>
                  </w:r>
                  <w:r>
                    <w:rPr>
                      <w:rFonts w:hint="eastAsia" w:cs="Times New Roman"/>
                      <w:color w:val="auto"/>
                      <w:kern w:val="0"/>
                      <w:sz w:val="18"/>
                      <w:szCs w:val="18"/>
                      <w:highlight w:val="none"/>
                      <w:lang w:val="en-US" w:eastAsia="zh-CN" w:bidi="ar"/>
                    </w:rPr>
                    <w:t>西</w:t>
                  </w:r>
                  <w:r>
                    <w:rPr>
                      <w:rFonts w:hint="eastAsia" w:ascii="Times New Roman" w:hAnsi="Times New Roman" w:eastAsia="宋体"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25</w:t>
                  </w:r>
                </w:p>
              </w:tc>
              <w:tc>
                <w:tcPr>
                  <w:tcW w:w="1470" w:type="dxa"/>
                  <w:vAlign w:val="center"/>
                </w:tcPr>
                <w:p w14:paraId="5A3096BD">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室内东</w:t>
                  </w:r>
                  <w:r>
                    <w:rPr>
                      <w:rFonts w:hint="eastAsia"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71.0</w:t>
                  </w:r>
                </w:p>
                <w:p w14:paraId="24BCFBC1">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w:t>
                  </w:r>
                  <w:r>
                    <w:rPr>
                      <w:rFonts w:hint="eastAsia" w:cs="Times New Roman"/>
                      <w:color w:val="auto"/>
                      <w:kern w:val="0"/>
                      <w:sz w:val="18"/>
                      <w:szCs w:val="18"/>
                      <w:highlight w:val="none"/>
                      <w:lang w:val="en-US" w:eastAsia="zh-CN" w:bidi="ar"/>
                    </w:rPr>
                    <w:t>东南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46.9</w:t>
                  </w:r>
                </w:p>
                <w:p w14:paraId="7DE09927">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w:t>
                  </w:r>
                  <w:r>
                    <w:rPr>
                      <w:rFonts w:hint="eastAsia" w:ascii="Times New Roman" w:hAnsi="Times New Roman" w:eastAsia="宋体" w:cs="Times New Roman"/>
                      <w:color w:val="auto"/>
                      <w:kern w:val="0"/>
                      <w:sz w:val="18"/>
                      <w:szCs w:val="18"/>
                      <w:highlight w:val="none"/>
                      <w:lang w:val="en-US" w:eastAsia="zh-CN" w:bidi="ar"/>
                    </w:rPr>
                    <w:t>西</w:t>
                  </w:r>
                  <w:r>
                    <w:rPr>
                      <w:rFonts w:hint="eastAsia" w:cs="Times New Roman"/>
                      <w:color w:val="auto"/>
                      <w:kern w:val="0"/>
                      <w:sz w:val="18"/>
                      <w:szCs w:val="18"/>
                      <w:highlight w:val="none"/>
                      <w:lang w:val="en-US" w:eastAsia="zh-CN" w:bidi="ar"/>
                    </w:rPr>
                    <w:t>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44.2</w:t>
                  </w:r>
                </w:p>
                <w:p w14:paraId="136E97FD">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室内</w:t>
                  </w:r>
                  <w:r>
                    <w:rPr>
                      <w:rFonts w:hint="eastAsia" w:cs="Times New Roman"/>
                      <w:color w:val="auto"/>
                      <w:kern w:val="0"/>
                      <w:sz w:val="18"/>
                      <w:szCs w:val="18"/>
                      <w:highlight w:val="none"/>
                      <w:lang w:val="en-US" w:eastAsia="zh-CN" w:bidi="ar"/>
                    </w:rPr>
                    <w:t>西</w:t>
                  </w:r>
                  <w:r>
                    <w:rPr>
                      <w:rFonts w:hint="eastAsia" w:ascii="Times New Roman" w:hAnsi="Times New Roman" w:eastAsia="宋体"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57.0</w:t>
                  </w:r>
                </w:p>
              </w:tc>
              <w:tc>
                <w:tcPr>
                  <w:tcW w:w="1095" w:type="dxa"/>
                  <w:vAlign w:val="center"/>
                </w:tcPr>
                <w:p w14:paraId="057A5CE2">
                  <w:pPr>
                    <w:jc w:val="center"/>
                    <w:rPr>
                      <w:rFonts w:hint="eastAsia" w:ascii="Times New Roman" w:hAnsi="Times New Roman" w:eastAsia="宋体"/>
                      <w:color w:val="auto"/>
                      <w:szCs w:val="21"/>
                      <w:highlight w:val="none"/>
                      <w:lang w:val="en-US" w:eastAsia="zh-CN"/>
                    </w:rPr>
                  </w:pPr>
                  <w:r>
                    <w:rPr>
                      <w:rFonts w:hint="eastAsia" w:ascii="Times New Roman" w:hAnsi="Times New Roman" w:eastAsia="宋体"/>
                      <w:color w:val="auto"/>
                      <w:szCs w:val="21"/>
                      <w:highlight w:val="none"/>
                      <w:lang w:val="en-US" w:eastAsia="zh-CN"/>
                    </w:rPr>
                    <w:t>8:</w:t>
                  </w:r>
                  <w:r>
                    <w:rPr>
                      <w:rFonts w:hint="eastAsia"/>
                      <w:color w:val="auto"/>
                      <w:szCs w:val="21"/>
                      <w:highlight w:val="none"/>
                      <w:lang w:val="en-US" w:eastAsia="zh-CN"/>
                    </w:rPr>
                    <w:t>0</w:t>
                  </w:r>
                  <w:r>
                    <w:rPr>
                      <w:rFonts w:hint="eastAsia" w:ascii="Times New Roman" w:hAnsi="Times New Roman" w:eastAsia="宋体"/>
                      <w:color w:val="auto"/>
                      <w:szCs w:val="21"/>
                      <w:highlight w:val="none"/>
                      <w:lang w:val="en-US" w:eastAsia="zh-CN"/>
                    </w:rPr>
                    <w:t>0~</w:t>
                  </w:r>
                  <w:r>
                    <w:rPr>
                      <w:rFonts w:hint="eastAsia"/>
                      <w:color w:val="auto"/>
                      <w:szCs w:val="21"/>
                      <w:highlight w:val="none"/>
                      <w:lang w:val="en-US" w:eastAsia="zh-CN"/>
                    </w:rPr>
                    <w:t>20</w:t>
                  </w:r>
                  <w:r>
                    <w:rPr>
                      <w:rFonts w:hint="eastAsia" w:ascii="Times New Roman" w:hAnsi="Times New Roman" w:eastAsia="宋体"/>
                      <w:color w:val="auto"/>
                      <w:szCs w:val="21"/>
                      <w:highlight w:val="none"/>
                      <w:lang w:val="en-US" w:eastAsia="zh-CN"/>
                    </w:rPr>
                    <w:t>:</w:t>
                  </w:r>
                  <w:r>
                    <w:rPr>
                      <w:rFonts w:hint="eastAsia"/>
                      <w:color w:val="auto"/>
                      <w:szCs w:val="21"/>
                      <w:highlight w:val="none"/>
                      <w:lang w:val="en-US" w:eastAsia="zh-CN"/>
                    </w:rPr>
                    <w:t>0</w:t>
                  </w:r>
                  <w:r>
                    <w:rPr>
                      <w:rFonts w:hint="eastAsia" w:ascii="Times New Roman" w:hAnsi="Times New Roman" w:eastAsia="宋体"/>
                      <w:color w:val="auto"/>
                      <w:szCs w:val="21"/>
                      <w:highlight w:val="none"/>
                      <w:lang w:val="en-US" w:eastAsia="zh-CN"/>
                    </w:rPr>
                    <w:t>0</w:t>
                  </w:r>
                </w:p>
              </w:tc>
              <w:tc>
                <w:tcPr>
                  <w:tcW w:w="930" w:type="dxa"/>
                  <w:vAlign w:val="center"/>
                </w:tcPr>
                <w:p w14:paraId="429C612D">
                  <w:pPr>
                    <w:jc w:val="center"/>
                    <w:rPr>
                      <w:rFonts w:ascii="Times New Roman" w:hAnsi="Times New Roman" w:eastAsia="宋体"/>
                      <w:color w:val="auto"/>
                      <w:szCs w:val="21"/>
                      <w:highlight w:val="none"/>
                    </w:rPr>
                  </w:pPr>
                  <w:r>
                    <w:rPr>
                      <w:rFonts w:ascii="Times New Roman" w:hAnsi="Times New Roman" w:eastAsia="宋体"/>
                      <w:color w:val="auto"/>
                      <w:szCs w:val="21"/>
                      <w:highlight w:val="none"/>
                    </w:rPr>
                    <w:t>15</w:t>
                  </w:r>
                </w:p>
              </w:tc>
              <w:tc>
                <w:tcPr>
                  <w:tcW w:w="1440" w:type="dxa"/>
                  <w:vAlign w:val="center"/>
                </w:tcPr>
                <w:p w14:paraId="460C85E3">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w:t>
                  </w:r>
                  <w:r>
                    <w:rPr>
                      <w:rFonts w:hint="eastAsia" w:cs="Times New Roman"/>
                      <w:color w:val="auto"/>
                      <w:kern w:val="0"/>
                      <w:sz w:val="18"/>
                      <w:szCs w:val="18"/>
                      <w:highlight w:val="none"/>
                      <w:lang w:val="en-US" w:eastAsia="zh-CN" w:bidi="ar"/>
                    </w:rPr>
                    <w:t>外</w:t>
                  </w:r>
                  <w:r>
                    <w:rPr>
                      <w:rFonts w:hint="default" w:ascii="Times New Roman" w:hAnsi="Times New Roman" w:eastAsia="宋体" w:cs="Times New Roman"/>
                      <w:color w:val="auto"/>
                      <w:kern w:val="0"/>
                      <w:sz w:val="18"/>
                      <w:szCs w:val="18"/>
                      <w:highlight w:val="none"/>
                      <w:lang w:val="en-US" w:eastAsia="zh-CN" w:bidi="ar"/>
                    </w:rPr>
                    <w:t>东</w:t>
                  </w:r>
                  <w:r>
                    <w:rPr>
                      <w:rFonts w:hint="eastAsia"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56.0</w:t>
                  </w:r>
                </w:p>
                <w:p w14:paraId="3281E094">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w:t>
                  </w:r>
                  <w:r>
                    <w:rPr>
                      <w:rFonts w:hint="eastAsia" w:cs="Times New Roman"/>
                      <w:color w:val="auto"/>
                      <w:kern w:val="0"/>
                      <w:sz w:val="18"/>
                      <w:szCs w:val="18"/>
                      <w:highlight w:val="none"/>
                      <w:lang w:val="en-US" w:eastAsia="zh-CN" w:bidi="ar"/>
                    </w:rPr>
                    <w:t>外东南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31.9</w:t>
                  </w:r>
                </w:p>
                <w:p w14:paraId="04B1F298">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w:t>
                  </w:r>
                  <w:r>
                    <w:rPr>
                      <w:rFonts w:hint="eastAsia" w:cs="Times New Roman"/>
                      <w:color w:val="auto"/>
                      <w:kern w:val="0"/>
                      <w:sz w:val="18"/>
                      <w:szCs w:val="18"/>
                      <w:highlight w:val="none"/>
                      <w:lang w:val="en-US" w:eastAsia="zh-CN" w:bidi="ar"/>
                    </w:rPr>
                    <w:t>外</w:t>
                  </w:r>
                  <w:r>
                    <w:rPr>
                      <w:rFonts w:hint="eastAsia" w:ascii="Times New Roman" w:hAnsi="Times New Roman" w:eastAsia="宋体" w:cs="Times New Roman"/>
                      <w:color w:val="auto"/>
                      <w:kern w:val="0"/>
                      <w:sz w:val="18"/>
                      <w:szCs w:val="18"/>
                      <w:highlight w:val="none"/>
                      <w:lang w:val="en-US" w:eastAsia="zh-CN" w:bidi="ar"/>
                    </w:rPr>
                    <w:t>西</w:t>
                  </w:r>
                  <w:r>
                    <w:rPr>
                      <w:rFonts w:hint="eastAsia" w:cs="Times New Roman"/>
                      <w:color w:val="auto"/>
                      <w:kern w:val="0"/>
                      <w:sz w:val="18"/>
                      <w:szCs w:val="18"/>
                      <w:highlight w:val="none"/>
                      <w:lang w:val="en-US" w:eastAsia="zh-CN" w:bidi="ar"/>
                    </w:rPr>
                    <w:t>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29.2</w:t>
                  </w:r>
                </w:p>
                <w:p w14:paraId="48423977">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室</w:t>
                  </w:r>
                  <w:r>
                    <w:rPr>
                      <w:rFonts w:hint="eastAsia" w:cs="Times New Roman"/>
                      <w:color w:val="auto"/>
                      <w:kern w:val="0"/>
                      <w:sz w:val="18"/>
                      <w:szCs w:val="18"/>
                      <w:highlight w:val="none"/>
                      <w:lang w:val="en-US" w:eastAsia="zh-CN" w:bidi="ar"/>
                    </w:rPr>
                    <w:t>外西</w:t>
                  </w:r>
                  <w:r>
                    <w:rPr>
                      <w:rFonts w:hint="eastAsia" w:ascii="Times New Roman" w:hAnsi="Times New Roman" w:eastAsia="宋体" w:cs="Times New Roman"/>
                      <w:color w:val="auto"/>
                      <w:kern w:val="0"/>
                      <w:sz w:val="18"/>
                      <w:szCs w:val="18"/>
                      <w:highlight w:val="none"/>
                      <w:lang w:val="en-US" w:eastAsia="zh-CN" w:bidi="ar"/>
                    </w:rPr>
                    <w:t>北</w:t>
                  </w:r>
                  <w:r>
                    <w:rPr>
                      <w:rFonts w:hint="default" w:ascii="Times New Roman" w:hAnsi="Times New Roman" w:eastAsia="宋体" w:cs="Times New Roman"/>
                      <w:color w:val="auto"/>
                      <w:kern w:val="0"/>
                      <w:sz w:val="18"/>
                      <w:szCs w:val="18"/>
                      <w:highlight w:val="none"/>
                      <w:lang w:val="en-US" w:eastAsia="zh-CN" w:bidi="ar"/>
                    </w:rPr>
                    <w:t>面：</w:t>
                  </w:r>
                  <w:r>
                    <w:rPr>
                      <w:rFonts w:hint="eastAsia" w:cs="Times New Roman"/>
                      <w:color w:val="auto"/>
                      <w:kern w:val="0"/>
                      <w:sz w:val="18"/>
                      <w:szCs w:val="18"/>
                      <w:highlight w:val="none"/>
                      <w:lang w:val="en-US" w:eastAsia="zh-CN" w:bidi="ar"/>
                    </w:rPr>
                    <w:t>42.0</w:t>
                  </w:r>
                </w:p>
              </w:tc>
              <w:tc>
                <w:tcPr>
                  <w:tcW w:w="900" w:type="dxa"/>
                  <w:vAlign w:val="center"/>
                </w:tcPr>
                <w:p w14:paraId="30C1C719">
                  <w:pPr>
                    <w:jc w:val="center"/>
                    <w:rPr>
                      <w:rFonts w:hint="default" w:ascii="Times New Roman" w:hAnsi="Times New Roman" w:eastAsia="宋体"/>
                      <w:color w:val="auto"/>
                      <w:szCs w:val="21"/>
                      <w:highlight w:val="none"/>
                      <w:lang w:val="en-US" w:eastAsia="zh-CN"/>
                    </w:rPr>
                  </w:pPr>
                  <w:r>
                    <w:rPr>
                      <w:rFonts w:hint="eastAsia"/>
                      <w:color w:val="auto"/>
                      <w:szCs w:val="21"/>
                      <w:highlight w:val="none"/>
                      <w:lang w:val="en-US" w:eastAsia="zh-CN"/>
                    </w:rPr>
                    <w:t>1</w:t>
                  </w:r>
                </w:p>
              </w:tc>
            </w:tr>
            <w:tr w14:paraId="5422B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093" w:type="dxa"/>
                  <w:gridSpan w:val="2"/>
                  <w:tcMar>
                    <w:top w:w="0" w:type="dxa"/>
                    <w:left w:w="57" w:type="dxa"/>
                    <w:bottom w:w="0" w:type="dxa"/>
                    <w:right w:w="57" w:type="dxa"/>
                  </w:tcMar>
                  <w:vAlign w:val="center"/>
                </w:tcPr>
                <w:p w14:paraId="0B5E7060">
                  <w:pPr>
                    <w:jc w:val="center"/>
                    <w:textAlignment w:val="baseline"/>
                    <w:rPr>
                      <w:rFonts w:hint="eastAsia" w:ascii="Times New Roman" w:hAnsi="Times New Roman" w:eastAsia="宋体" w:cs="Times New Roman"/>
                      <w:color w:val="auto"/>
                      <w:szCs w:val="21"/>
                      <w:highlight w:val="none"/>
                      <w:lang w:eastAsia="zh-CN"/>
                    </w:rPr>
                  </w:pPr>
                  <w:r>
                    <w:rPr>
                      <w:rFonts w:hint="eastAsia" w:ascii="Times New Roman" w:hAnsi="Times New Roman" w:eastAsia="宋体" w:cs="Times New Roman"/>
                      <w:color w:val="auto"/>
                      <w:szCs w:val="21"/>
                      <w:highlight w:val="none"/>
                      <w:lang w:eastAsia="zh-CN"/>
                    </w:rPr>
                    <w:t>备注</w:t>
                  </w:r>
                </w:p>
              </w:tc>
              <w:tc>
                <w:tcPr>
                  <w:tcW w:w="12581" w:type="dxa"/>
                  <w:gridSpan w:val="14"/>
                  <w:tcMar>
                    <w:top w:w="0" w:type="dxa"/>
                    <w:left w:w="57" w:type="dxa"/>
                    <w:bottom w:w="0" w:type="dxa"/>
                    <w:right w:w="57" w:type="dxa"/>
                  </w:tcMar>
                  <w:vAlign w:val="center"/>
                </w:tcPr>
                <w:p w14:paraId="4003C53F">
                  <w:pPr>
                    <w:jc w:val="both"/>
                    <w:rPr>
                      <w:rFonts w:hint="eastAsia" w:ascii="Times New Roman" w:hAnsi="Times New Roman" w:eastAsia="宋体"/>
                      <w:color w:val="auto"/>
                      <w:szCs w:val="21"/>
                      <w:highlight w:val="none"/>
                      <w:lang w:val="en-US" w:eastAsia="zh-CN"/>
                    </w:rPr>
                  </w:pPr>
                  <w:r>
                    <w:rPr>
                      <w:rFonts w:hint="eastAsia" w:ascii="Times New Roman" w:hAnsi="Times New Roman" w:eastAsia="宋体"/>
                      <w:color w:val="auto"/>
                      <w:szCs w:val="21"/>
                      <w:highlight w:val="none"/>
                      <w:lang w:val="en-US" w:eastAsia="zh-CN"/>
                    </w:rPr>
                    <w:t>以厂界西南侧拐点为原点（北纬</w:t>
                  </w:r>
                  <w:r>
                    <w:rPr>
                      <w:rFonts w:hint="default" w:ascii="Times New Roman" w:hAnsi="Times New Roman" w:eastAsia="宋体" w:cs="Times New Roman"/>
                      <w:color w:val="auto"/>
                      <w:szCs w:val="21"/>
                      <w:highlight w:val="none"/>
                      <w:lang w:val="en-US" w:eastAsia="zh-CN"/>
                    </w:rPr>
                    <w:t>119°7′46.815″</w:t>
                  </w:r>
                  <w:r>
                    <w:rPr>
                      <w:rFonts w:hint="eastAsia" w:ascii="Times New Roman" w:hAnsi="Times New Roman" w:eastAsia="宋体" w:cs="Times New Roman"/>
                      <w:color w:val="auto"/>
                      <w:szCs w:val="21"/>
                      <w:highlight w:val="none"/>
                      <w:lang w:val="en-US" w:eastAsia="zh-CN"/>
                    </w:rPr>
                    <w:t>，东经</w:t>
                  </w:r>
                  <w:r>
                    <w:rPr>
                      <w:rFonts w:hint="default" w:ascii="Times New Roman" w:hAnsi="Times New Roman" w:eastAsia="宋体" w:cs="Times New Roman"/>
                      <w:color w:val="auto"/>
                      <w:szCs w:val="21"/>
                      <w:highlight w:val="none"/>
                      <w:lang w:val="en-US" w:eastAsia="zh-CN"/>
                    </w:rPr>
                    <w:t>26°6′47.750″</w:t>
                  </w:r>
                  <w:r>
                    <w:rPr>
                      <w:rFonts w:hint="eastAsia" w:ascii="Times New Roman" w:hAnsi="Times New Roman" w:eastAsia="宋体"/>
                      <w:color w:val="auto"/>
                      <w:szCs w:val="21"/>
                      <w:highlight w:val="none"/>
                      <w:lang w:val="en-US" w:eastAsia="zh-CN"/>
                    </w:rPr>
                    <w:t>），取东西向为X轴、取南北向为Y轴、取地面垂向为Z轴。</w:t>
                  </w:r>
                </w:p>
              </w:tc>
            </w:tr>
          </w:tbl>
          <w:p w14:paraId="4C8EAA2A">
            <w:pPr>
              <w:jc w:val="center"/>
              <w:rPr>
                <w:rFonts w:ascii="Times New Roman" w:hAnsi="Times New Roman" w:eastAsia="宋体"/>
                <w:color w:val="auto"/>
                <w:szCs w:val="21"/>
                <w:highlight w:val="none"/>
              </w:rPr>
            </w:pPr>
            <w:r>
              <w:rPr>
                <w:rFonts w:ascii="Times New Roman" w:hAnsi="Times New Roman" w:eastAsia="宋体"/>
                <w:color w:val="auto"/>
                <w:szCs w:val="21"/>
                <w:highlight w:val="none"/>
              </w:rPr>
              <w:t>表4</w:t>
            </w:r>
            <w:r>
              <w:rPr>
                <w:rFonts w:hint="eastAsia" w:ascii="Times New Roman" w:hAnsi="Times New Roman" w:eastAsia="宋体"/>
                <w:color w:val="auto"/>
                <w:szCs w:val="21"/>
                <w:highlight w:val="none"/>
                <w:lang w:val="en-US" w:eastAsia="zh-CN"/>
              </w:rPr>
              <w:t>.2</w:t>
            </w:r>
            <w:r>
              <w:rPr>
                <w:rFonts w:ascii="Times New Roman" w:hAnsi="Times New Roman" w:eastAsia="宋体"/>
                <w:color w:val="auto"/>
                <w:szCs w:val="21"/>
                <w:highlight w:val="none"/>
              </w:rPr>
              <w:t>-</w:t>
            </w:r>
            <w:r>
              <w:rPr>
                <w:rFonts w:hint="eastAsia" w:ascii="Times New Roman" w:hAnsi="Times New Roman" w:eastAsia="宋体"/>
                <w:color w:val="auto"/>
                <w:szCs w:val="21"/>
                <w:highlight w:val="none"/>
                <w:lang w:val="en-US" w:eastAsia="zh-CN"/>
              </w:rPr>
              <w:t>7</w:t>
            </w:r>
            <w:r>
              <w:rPr>
                <w:rFonts w:ascii="Times New Roman" w:hAnsi="Times New Roman" w:eastAsia="宋体"/>
                <w:color w:val="auto"/>
                <w:szCs w:val="21"/>
                <w:highlight w:val="none"/>
              </w:rPr>
              <w:t>工业企业噪声源强调查清单（</w:t>
            </w:r>
            <w:r>
              <w:rPr>
                <w:rFonts w:hint="eastAsia" w:ascii="Times New Roman" w:hAnsi="Times New Roman" w:eastAsia="宋体"/>
                <w:color w:val="auto"/>
                <w:szCs w:val="21"/>
                <w:highlight w:val="none"/>
                <w:lang w:eastAsia="zh-CN"/>
              </w:rPr>
              <w:t>室外</w:t>
            </w:r>
            <w:r>
              <w:rPr>
                <w:rFonts w:ascii="Times New Roman" w:hAnsi="Times New Roman" w:eastAsia="宋体"/>
                <w:color w:val="auto"/>
                <w:szCs w:val="21"/>
                <w:highlight w:val="none"/>
              </w:rPr>
              <w:t>声源）</w:t>
            </w:r>
          </w:p>
          <w:tbl>
            <w:tblPr>
              <w:tblStyle w:val="31"/>
              <w:tblW w:w="141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44"/>
              <w:gridCol w:w="1024"/>
              <w:gridCol w:w="1062"/>
              <w:gridCol w:w="1696"/>
              <w:gridCol w:w="1061"/>
              <w:gridCol w:w="1119"/>
              <w:gridCol w:w="681"/>
              <w:gridCol w:w="693"/>
              <w:gridCol w:w="669"/>
              <w:gridCol w:w="1361"/>
              <w:gridCol w:w="1258"/>
              <w:gridCol w:w="1815"/>
              <w:gridCol w:w="1110"/>
            </w:tblGrid>
            <w:tr w14:paraId="44CDB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8" w:hRule="atLeast"/>
                <w:jc w:val="center"/>
              </w:trPr>
              <w:tc>
                <w:tcPr>
                  <w:tcW w:w="644" w:type="dxa"/>
                  <w:vMerge w:val="restart"/>
                  <w:vAlign w:val="center"/>
                </w:tcPr>
                <w:p w14:paraId="019FF382">
                  <w:pPr>
                    <w:jc w:val="center"/>
                    <w:rPr>
                      <w:rFonts w:ascii="Times New Roman" w:hAnsi="Times New Roman" w:eastAsia="宋体"/>
                      <w:color w:val="auto"/>
                      <w:szCs w:val="21"/>
                      <w:highlight w:val="none"/>
                    </w:rPr>
                  </w:pPr>
                  <w:r>
                    <w:rPr>
                      <w:rFonts w:ascii="Times New Roman" w:hAnsi="Times New Roman" w:eastAsia="宋体"/>
                      <w:color w:val="auto"/>
                      <w:szCs w:val="21"/>
                      <w:highlight w:val="none"/>
                    </w:rPr>
                    <w:t>序号</w:t>
                  </w:r>
                </w:p>
              </w:tc>
              <w:tc>
                <w:tcPr>
                  <w:tcW w:w="1024" w:type="dxa"/>
                  <w:vMerge w:val="restart"/>
                  <w:vAlign w:val="center"/>
                </w:tcPr>
                <w:p w14:paraId="3D4D0838">
                  <w:pPr>
                    <w:jc w:val="center"/>
                    <w:rPr>
                      <w:rFonts w:ascii="Times New Roman" w:hAnsi="Times New Roman" w:eastAsia="宋体"/>
                      <w:color w:val="auto"/>
                      <w:szCs w:val="21"/>
                      <w:highlight w:val="none"/>
                    </w:rPr>
                  </w:pPr>
                  <w:r>
                    <w:rPr>
                      <w:rFonts w:ascii="Times New Roman" w:hAnsi="Times New Roman" w:eastAsia="宋体"/>
                      <w:color w:val="auto"/>
                      <w:szCs w:val="21"/>
                      <w:highlight w:val="none"/>
                    </w:rPr>
                    <w:t>声源名称</w:t>
                  </w:r>
                </w:p>
              </w:tc>
              <w:tc>
                <w:tcPr>
                  <w:tcW w:w="2758" w:type="dxa"/>
                  <w:gridSpan w:val="2"/>
                  <w:vAlign w:val="center"/>
                </w:tcPr>
                <w:p w14:paraId="19A86079">
                  <w:pPr>
                    <w:jc w:val="center"/>
                    <w:rPr>
                      <w:rFonts w:ascii="Times New Roman" w:hAnsi="Times New Roman" w:eastAsia="宋体"/>
                      <w:color w:val="auto"/>
                      <w:szCs w:val="21"/>
                      <w:highlight w:val="none"/>
                    </w:rPr>
                  </w:pPr>
                  <w:r>
                    <w:rPr>
                      <w:rFonts w:ascii="Times New Roman" w:hAnsi="Times New Roman" w:eastAsia="宋体"/>
                      <w:color w:val="auto"/>
                      <w:szCs w:val="21"/>
                      <w:highlight w:val="none"/>
                    </w:rPr>
                    <w:t>声源源强（任选一种）</w:t>
                  </w:r>
                </w:p>
              </w:tc>
              <w:tc>
                <w:tcPr>
                  <w:tcW w:w="1061" w:type="dxa"/>
                  <w:vMerge w:val="restart"/>
                  <w:vAlign w:val="center"/>
                </w:tcPr>
                <w:p w14:paraId="5C01AC5D">
                  <w:pPr>
                    <w:jc w:val="center"/>
                    <w:rPr>
                      <w:rFonts w:ascii="Times New Roman" w:hAnsi="Times New Roman" w:eastAsia="宋体"/>
                      <w:color w:val="auto"/>
                      <w:szCs w:val="21"/>
                      <w:highlight w:val="none"/>
                    </w:rPr>
                  </w:pPr>
                  <w:r>
                    <w:rPr>
                      <w:rFonts w:ascii="Times New Roman" w:hAnsi="Times New Roman" w:eastAsia="宋体"/>
                      <w:color w:val="auto"/>
                      <w:szCs w:val="21"/>
                      <w:highlight w:val="none"/>
                    </w:rPr>
                    <w:t>声源控制措施</w:t>
                  </w:r>
                </w:p>
              </w:tc>
              <w:tc>
                <w:tcPr>
                  <w:tcW w:w="1119" w:type="dxa"/>
                  <w:vMerge w:val="restart"/>
                  <w:vAlign w:val="center"/>
                </w:tcPr>
                <w:p w14:paraId="62258661">
                  <w:pPr>
                    <w:jc w:val="center"/>
                    <w:rPr>
                      <w:rFonts w:hint="eastAsia" w:ascii="Times New Roman" w:hAnsi="Times New Roman" w:eastAsia="宋体"/>
                      <w:color w:val="auto"/>
                      <w:szCs w:val="21"/>
                      <w:highlight w:val="none"/>
                      <w:lang w:eastAsia="zh-CN"/>
                    </w:rPr>
                  </w:pPr>
                  <w:r>
                    <w:rPr>
                      <w:rFonts w:hint="eastAsia" w:ascii="Times New Roman" w:hAnsi="Times New Roman" w:eastAsia="宋体"/>
                      <w:color w:val="auto"/>
                      <w:szCs w:val="21"/>
                      <w:highlight w:val="none"/>
                      <w:lang w:eastAsia="zh-CN"/>
                    </w:rPr>
                    <w:t>减震后源强</w:t>
                  </w:r>
                </w:p>
                <w:p w14:paraId="4F968E88">
                  <w:pPr>
                    <w:jc w:val="center"/>
                    <w:rPr>
                      <w:rFonts w:hint="eastAsia" w:ascii="Times New Roman" w:hAnsi="Times New Roman" w:eastAsia="宋体"/>
                      <w:color w:val="auto"/>
                      <w:szCs w:val="21"/>
                      <w:highlight w:val="none"/>
                      <w:lang w:eastAsia="zh-CN"/>
                    </w:rPr>
                  </w:pPr>
                  <w:r>
                    <w:rPr>
                      <w:rFonts w:ascii="Times New Roman" w:hAnsi="Times New Roman" w:eastAsia="宋体"/>
                      <w:color w:val="auto"/>
                      <w:szCs w:val="21"/>
                      <w:highlight w:val="none"/>
                    </w:rPr>
                    <w:t>dB(A</w:t>
                  </w:r>
                  <w:r>
                    <w:rPr>
                      <w:rFonts w:hint="eastAsia"/>
                      <w:color w:val="auto"/>
                      <w:szCs w:val="21"/>
                      <w:highlight w:val="none"/>
                      <w:lang w:val="en-US" w:eastAsia="zh-CN"/>
                    </w:rPr>
                    <w:t>)</w:t>
                  </w:r>
                </w:p>
              </w:tc>
              <w:tc>
                <w:tcPr>
                  <w:tcW w:w="2043" w:type="dxa"/>
                  <w:gridSpan w:val="3"/>
                  <w:vAlign w:val="center"/>
                </w:tcPr>
                <w:p w14:paraId="2241635A">
                  <w:pPr>
                    <w:jc w:val="center"/>
                    <w:rPr>
                      <w:rFonts w:ascii="Times New Roman" w:hAnsi="Times New Roman" w:eastAsia="宋体"/>
                      <w:color w:val="auto"/>
                      <w:szCs w:val="21"/>
                      <w:highlight w:val="none"/>
                    </w:rPr>
                  </w:pPr>
                  <w:r>
                    <w:rPr>
                      <w:rFonts w:ascii="Times New Roman" w:hAnsi="Times New Roman" w:eastAsia="宋体"/>
                      <w:color w:val="auto"/>
                      <w:szCs w:val="21"/>
                      <w:highlight w:val="none"/>
                    </w:rPr>
                    <w:t>空间相对位置/m</w:t>
                  </w:r>
                </w:p>
              </w:tc>
              <w:tc>
                <w:tcPr>
                  <w:tcW w:w="1361" w:type="dxa"/>
                  <w:vMerge w:val="restart"/>
                  <w:vAlign w:val="center"/>
                </w:tcPr>
                <w:p w14:paraId="6C4A4430">
                  <w:pPr>
                    <w:jc w:val="center"/>
                    <w:rPr>
                      <w:rFonts w:hint="default" w:ascii="Times New Roman" w:hAnsi="Times New Roman" w:eastAsia="宋体"/>
                      <w:color w:val="auto"/>
                      <w:szCs w:val="21"/>
                      <w:highlight w:val="none"/>
                      <w:lang w:val="en-US" w:eastAsia="zh-CN"/>
                    </w:rPr>
                  </w:pPr>
                  <w:r>
                    <w:rPr>
                      <w:rFonts w:hint="eastAsia" w:ascii="Times New Roman" w:hAnsi="Times New Roman" w:eastAsia="宋体"/>
                      <w:color w:val="auto"/>
                      <w:szCs w:val="21"/>
                      <w:highlight w:val="none"/>
                      <w:lang w:eastAsia="zh-CN"/>
                    </w:rPr>
                    <w:t>距离厂界边界水平距离</w:t>
                  </w:r>
                  <w:r>
                    <w:rPr>
                      <w:rFonts w:hint="eastAsia" w:ascii="Times New Roman" w:hAnsi="Times New Roman" w:eastAsia="宋体"/>
                      <w:color w:val="auto"/>
                      <w:szCs w:val="21"/>
                      <w:highlight w:val="none"/>
                      <w:lang w:val="en-US" w:eastAsia="zh-CN"/>
                    </w:rPr>
                    <w:t>/m</w:t>
                  </w:r>
                </w:p>
              </w:tc>
              <w:tc>
                <w:tcPr>
                  <w:tcW w:w="1258" w:type="dxa"/>
                  <w:vMerge w:val="restart"/>
                  <w:vAlign w:val="center"/>
                </w:tcPr>
                <w:p w14:paraId="3BB1FA3C">
                  <w:pPr>
                    <w:jc w:val="center"/>
                    <w:rPr>
                      <w:rFonts w:ascii="Times New Roman" w:hAnsi="Times New Roman" w:eastAsia="宋体"/>
                      <w:color w:val="auto"/>
                      <w:szCs w:val="21"/>
                      <w:highlight w:val="none"/>
                    </w:rPr>
                  </w:pPr>
                  <w:r>
                    <w:rPr>
                      <w:rFonts w:ascii="Times New Roman" w:hAnsi="Times New Roman" w:eastAsia="宋体"/>
                      <w:color w:val="auto"/>
                      <w:szCs w:val="21"/>
                      <w:highlight w:val="none"/>
                    </w:rPr>
                    <w:t>运行时段</w:t>
                  </w:r>
                </w:p>
              </w:tc>
              <w:tc>
                <w:tcPr>
                  <w:tcW w:w="2925" w:type="dxa"/>
                  <w:gridSpan w:val="2"/>
                  <w:vAlign w:val="center"/>
                </w:tcPr>
                <w:p w14:paraId="026AF975">
                  <w:pPr>
                    <w:jc w:val="center"/>
                    <w:rPr>
                      <w:rFonts w:ascii="Times New Roman" w:hAnsi="Times New Roman" w:eastAsia="宋体"/>
                      <w:color w:val="auto"/>
                      <w:szCs w:val="21"/>
                      <w:highlight w:val="none"/>
                    </w:rPr>
                  </w:pPr>
                  <w:r>
                    <w:rPr>
                      <w:rFonts w:hint="eastAsia"/>
                      <w:color w:val="auto"/>
                      <w:szCs w:val="21"/>
                      <w:highlight w:val="none"/>
                      <w:lang w:eastAsia="zh-CN"/>
                    </w:rPr>
                    <w:t>厂界</w:t>
                  </w:r>
                  <w:r>
                    <w:rPr>
                      <w:rFonts w:ascii="Times New Roman" w:hAnsi="Times New Roman" w:eastAsia="宋体"/>
                      <w:color w:val="auto"/>
                      <w:szCs w:val="21"/>
                      <w:highlight w:val="none"/>
                    </w:rPr>
                    <w:t>外噪声</w:t>
                  </w:r>
                </w:p>
              </w:tc>
            </w:tr>
            <w:tr w14:paraId="04A5B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jc w:val="center"/>
              </w:trPr>
              <w:tc>
                <w:tcPr>
                  <w:tcW w:w="644" w:type="dxa"/>
                  <w:vMerge w:val="continue"/>
                  <w:vAlign w:val="center"/>
                </w:tcPr>
                <w:p w14:paraId="532D6D6B">
                  <w:pPr>
                    <w:jc w:val="center"/>
                    <w:textAlignment w:val="baseline"/>
                    <w:rPr>
                      <w:rFonts w:ascii="Times New Roman" w:hAnsi="Times New Roman" w:eastAsia="宋体"/>
                      <w:color w:val="auto"/>
                      <w:szCs w:val="21"/>
                      <w:highlight w:val="none"/>
                    </w:rPr>
                  </w:pPr>
                </w:p>
              </w:tc>
              <w:tc>
                <w:tcPr>
                  <w:tcW w:w="1024" w:type="dxa"/>
                  <w:vMerge w:val="continue"/>
                  <w:vAlign w:val="center"/>
                </w:tcPr>
                <w:p w14:paraId="30BC587C">
                  <w:pPr>
                    <w:jc w:val="center"/>
                    <w:textAlignment w:val="baseline"/>
                    <w:rPr>
                      <w:rFonts w:ascii="Times New Roman" w:hAnsi="Times New Roman" w:eastAsia="宋体"/>
                      <w:color w:val="auto"/>
                      <w:szCs w:val="21"/>
                      <w:highlight w:val="none"/>
                    </w:rPr>
                  </w:pPr>
                </w:p>
              </w:tc>
              <w:tc>
                <w:tcPr>
                  <w:tcW w:w="1062" w:type="dxa"/>
                  <w:vAlign w:val="center"/>
                </w:tcPr>
                <w:p w14:paraId="57AA6EF0">
                  <w:pPr>
                    <w:jc w:val="center"/>
                    <w:rPr>
                      <w:rFonts w:hint="default" w:ascii="Times New Roman" w:hAnsi="Times New Roman" w:eastAsia="宋体"/>
                      <w:color w:val="auto"/>
                      <w:szCs w:val="21"/>
                      <w:highlight w:val="none"/>
                      <w:lang w:val="en-US" w:eastAsia="zh-CN"/>
                    </w:rPr>
                  </w:pPr>
                  <w:r>
                    <w:rPr>
                      <w:rFonts w:hint="eastAsia" w:ascii="Times New Roman" w:hAnsi="Times New Roman" w:eastAsia="宋体"/>
                      <w:color w:val="auto"/>
                      <w:szCs w:val="21"/>
                      <w:highlight w:val="none"/>
                      <w:lang w:val="en-US" w:eastAsia="zh-CN"/>
                    </w:rPr>
                    <w:t>核算方法</w:t>
                  </w:r>
                </w:p>
              </w:tc>
              <w:tc>
                <w:tcPr>
                  <w:tcW w:w="1696" w:type="dxa"/>
                  <w:vAlign w:val="center"/>
                </w:tcPr>
                <w:p w14:paraId="75176C4C">
                  <w:pPr>
                    <w:jc w:val="center"/>
                    <w:rPr>
                      <w:rFonts w:ascii="Times New Roman" w:hAnsi="Times New Roman" w:eastAsia="宋体"/>
                      <w:color w:val="auto"/>
                      <w:szCs w:val="21"/>
                      <w:highlight w:val="none"/>
                    </w:rPr>
                  </w:pPr>
                  <w:r>
                    <w:rPr>
                      <w:rFonts w:ascii="Times New Roman" w:hAnsi="Times New Roman" w:eastAsia="宋体"/>
                      <w:color w:val="auto"/>
                      <w:szCs w:val="21"/>
                      <w:highlight w:val="none"/>
                    </w:rPr>
                    <w:t>（声压级/距声源距离/（dB(A)/m）</w:t>
                  </w:r>
                </w:p>
              </w:tc>
              <w:tc>
                <w:tcPr>
                  <w:tcW w:w="1061" w:type="dxa"/>
                  <w:vMerge w:val="continue"/>
                  <w:vAlign w:val="center"/>
                </w:tcPr>
                <w:p w14:paraId="1C92B9F9">
                  <w:pPr>
                    <w:jc w:val="center"/>
                    <w:rPr>
                      <w:rFonts w:ascii="Times New Roman" w:hAnsi="Times New Roman" w:eastAsia="宋体"/>
                      <w:color w:val="auto"/>
                      <w:szCs w:val="21"/>
                      <w:highlight w:val="none"/>
                    </w:rPr>
                  </w:pPr>
                </w:p>
              </w:tc>
              <w:tc>
                <w:tcPr>
                  <w:tcW w:w="1119" w:type="dxa"/>
                  <w:vMerge w:val="continue"/>
                  <w:vAlign w:val="center"/>
                </w:tcPr>
                <w:p w14:paraId="68C9A740">
                  <w:pPr>
                    <w:jc w:val="center"/>
                    <w:rPr>
                      <w:rFonts w:ascii="Times New Roman" w:hAnsi="Times New Roman" w:eastAsia="宋体"/>
                      <w:color w:val="auto"/>
                      <w:szCs w:val="21"/>
                      <w:highlight w:val="none"/>
                    </w:rPr>
                  </w:pPr>
                </w:p>
              </w:tc>
              <w:tc>
                <w:tcPr>
                  <w:tcW w:w="681" w:type="dxa"/>
                  <w:vAlign w:val="center"/>
                </w:tcPr>
                <w:p w14:paraId="0A90D778">
                  <w:pPr>
                    <w:jc w:val="center"/>
                    <w:rPr>
                      <w:rFonts w:ascii="Times New Roman" w:hAnsi="Times New Roman" w:eastAsia="宋体"/>
                      <w:color w:val="auto"/>
                      <w:szCs w:val="21"/>
                      <w:highlight w:val="none"/>
                    </w:rPr>
                  </w:pPr>
                  <w:r>
                    <w:rPr>
                      <w:rFonts w:ascii="Times New Roman" w:hAnsi="Times New Roman" w:eastAsia="宋体"/>
                      <w:color w:val="auto"/>
                      <w:szCs w:val="21"/>
                      <w:highlight w:val="none"/>
                    </w:rPr>
                    <w:t>X</w:t>
                  </w:r>
                </w:p>
              </w:tc>
              <w:tc>
                <w:tcPr>
                  <w:tcW w:w="693" w:type="dxa"/>
                  <w:vAlign w:val="center"/>
                </w:tcPr>
                <w:p w14:paraId="58EA3F66">
                  <w:pPr>
                    <w:jc w:val="center"/>
                    <w:rPr>
                      <w:rFonts w:ascii="Times New Roman" w:hAnsi="Times New Roman" w:eastAsia="宋体"/>
                      <w:color w:val="auto"/>
                      <w:szCs w:val="21"/>
                      <w:highlight w:val="none"/>
                    </w:rPr>
                  </w:pPr>
                  <w:r>
                    <w:rPr>
                      <w:rFonts w:ascii="Times New Roman" w:hAnsi="Times New Roman" w:eastAsia="宋体"/>
                      <w:color w:val="auto"/>
                      <w:szCs w:val="21"/>
                      <w:highlight w:val="none"/>
                    </w:rPr>
                    <w:t>Y</w:t>
                  </w:r>
                </w:p>
              </w:tc>
              <w:tc>
                <w:tcPr>
                  <w:tcW w:w="669" w:type="dxa"/>
                  <w:vAlign w:val="center"/>
                </w:tcPr>
                <w:p w14:paraId="324C5B7C">
                  <w:pPr>
                    <w:jc w:val="center"/>
                    <w:rPr>
                      <w:rFonts w:ascii="Times New Roman" w:hAnsi="Times New Roman" w:eastAsia="宋体"/>
                      <w:color w:val="auto"/>
                      <w:szCs w:val="21"/>
                      <w:highlight w:val="none"/>
                    </w:rPr>
                  </w:pPr>
                  <w:r>
                    <w:rPr>
                      <w:rFonts w:ascii="Times New Roman" w:hAnsi="Times New Roman" w:eastAsia="宋体"/>
                      <w:color w:val="auto"/>
                      <w:szCs w:val="21"/>
                      <w:highlight w:val="none"/>
                    </w:rPr>
                    <w:t>Z</w:t>
                  </w:r>
                </w:p>
              </w:tc>
              <w:tc>
                <w:tcPr>
                  <w:tcW w:w="1361" w:type="dxa"/>
                  <w:vMerge w:val="continue"/>
                  <w:vAlign w:val="center"/>
                </w:tcPr>
                <w:p w14:paraId="18FC75EB">
                  <w:pPr>
                    <w:jc w:val="center"/>
                    <w:rPr>
                      <w:rFonts w:ascii="Times New Roman" w:hAnsi="Times New Roman" w:eastAsia="宋体"/>
                      <w:color w:val="auto"/>
                      <w:szCs w:val="21"/>
                      <w:highlight w:val="none"/>
                    </w:rPr>
                  </w:pPr>
                </w:p>
              </w:tc>
              <w:tc>
                <w:tcPr>
                  <w:tcW w:w="1258" w:type="dxa"/>
                  <w:vMerge w:val="continue"/>
                  <w:vAlign w:val="center"/>
                </w:tcPr>
                <w:p w14:paraId="58672EDD">
                  <w:pPr>
                    <w:jc w:val="center"/>
                    <w:rPr>
                      <w:rFonts w:ascii="Times New Roman" w:hAnsi="Times New Roman" w:eastAsia="宋体"/>
                      <w:color w:val="auto"/>
                      <w:szCs w:val="21"/>
                      <w:highlight w:val="none"/>
                    </w:rPr>
                  </w:pPr>
                </w:p>
              </w:tc>
              <w:tc>
                <w:tcPr>
                  <w:tcW w:w="1815" w:type="dxa"/>
                  <w:vAlign w:val="center"/>
                </w:tcPr>
                <w:p w14:paraId="11B79899">
                  <w:pPr>
                    <w:jc w:val="center"/>
                    <w:rPr>
                      <w:rFonts w:ascii="Times New Roman" w:hAnsi="Times New Roman" w:eastAsia="宋体"/>
                      <w:color w:val="auto"/>
                      <w:szCs w:val="21"/>
                      <w:highlight w:val="none"/>
                    </w:rPr>
                  </w:pPr>
                  <w:r>
                    <w:rPr>
                      <w:rFonts w:ascii="Times New Roman" w:hAnsi="Times New Roman" w:eastAsia="宋体"/>
                      <w:color w:val="auto"/>
                      <w:szCs w:val="21"/>
                      <w:highlight w:val="none"/>
                    </w:rPr>
                    <w:t>声压级/dB(A)</w:t>
                  </w:r>
                </w:p>
              </w:tc>
              <w:tc>
                <w:tcPr>
                  <w:tcW w:w="1110" w:type="dxa"/>
                  <w:vAlign w:val="center"/>
                </w:tcPr>
                <w:p w14:paraId="10B9974D">
                  <w:pPr>
                    <w:jc w:val="center"/>
                    <w:rPr>
                      <w:rFonts w:ascii="Times New Roman" w:hAnsi="Times New Roman" w:eastAsia="宋体"/>
                      <w:color w:val="auto"/>
                      <w:szCs w:val="21"/>
                      <w:highlight w:val="none"/>
                    </w:rPr>
                  </w:pPr>
                  <w:r>
                    <w:rPr>
                      <w:rFonts w:hint="eastAsia"/>
                      <w:color w:val="auto"/>
                      <w:szCs w:val="21"/>
                      <w:highlight w:val="none"/>
                      <w:lang w:eastAsia="zh-CN"/>
                    </w:rPr>
                    <w:t>厂界</w:t>
                  </w:r>
                  <w:r>
                    <w:rPr>
                      <w:rFonts w:ascii="Times New Roman" w:hAnsi="Times New Roman" w:eastAsia="宋体"/>
                      <w:color w:val="auto"/>
                      <w:szCs w:val="21"/>
                      <w:highlight w:val="none"/>
                    </w:rPr>
                    <w:t>外距离</w:t>
                  </w:r>
                  <w:r>
                    <w:rPr>
                      <w:rFonts w:hint="eastAsia" w:ascii="Times New Roman" w:hAnsi="Times New Roman" w:eastAsia="宋体"/>
                      <w:color w:val="auto"/>
                      <w:szCs w:val="21"/>
                      <w:highlight w:val="none"/>
                      <w:lang w:val="en-US" w:eastAsia="zh-CN"/>
                    </w:rPr>
                    <w:t>/m</w:t>
                  </w:r>
                </w:p>
              </w:tc>
            </w:tr>
            <w:tr w14:paraId="7DF03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4" w:hRule="atLeast"/>
                <w:jc w:val="center"/>
              </w:trPr>
              <w:tc>
                <w:tcPr>
                  <w:tcW w:w="644" w:type="dxa"/>
                  <w:vAlign w:val="center"/>
                </w:tcPr>
                <w:p w14:paraId="0730A280">
                  <w:pPr>
                    <w:jc w:val="center"/>
                    <w:textAlignment w:val="baseline"/>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w:t>
                  </w:r>
                </w:p>
              </w:tc>
              <w:tc>
                <w:tcPr>
                  <w:tcW w:w="1024" w:type="dxa"/>
                  <w:vAlign w:val="center"/>
                </w:tcPr>
                <w:p w14:paraId="6616BBEE">
                  <w:pPr>
                    <w:jc w:val="center"/>
                    <w:rPr>
                      <w:rFonts w:hint="default" w:ascii="Times New Roman" w:hAnsi="Times New Roman" w:eastAsia="宋体" w:cs="Times New Roman"/>
                      <w:color w:val="auto"/>
                      <w:sz w:val="21"/>
                      <w:szCs w:val="21"/>
                      <w:highlight w:val="none"/>
                    </w:rPr>
                  </w:pPr>
                  <w:r>
                    <w:rPr>
                      <w:rFonts w:hint="eastAsia" w:ascii="Times New Roman" w:hAnsi="Times New Roman" w:cs="Times New Roman"/>
                      <w:color w:val="auto"/>
                      <w:sz w:val="21"/>
                      <w:szCs w:val="21"/>
                      <w:vertAlign w:val="baseline"/>
                      <w:lang w:val="en-US" w:eastAsia="zh-CN"/>
                    </w:rPr>
                    <w:t>测试房废气风机</w:t>
                  </w:r>
                </w:p>
              </w:tc>
              <w:tc>
                <w:tcPr>
                  <w:tcW w:w="1062" w:type="dxa"/>
                  <w:vAlign w:val="center"/>
                </w:tcPr>
                <w:p w14:paraId="58FB0C6D">
                  <w:pPr>
                    <w:jc w:val="center"/>
                    <w:rPr>
                      <w:rFonts w:hint="eastAsia" w:ascii="Times New Roman" w:hAnsi="Times New Roman" w:eastAsia="宋体"/>
                      <w:color w:val="auto"/>
                      <w:szCs w:val="21"/>
                      <w:highlight w:val="none"/>
                      <w:lang w:eastAsia="zh-CN"/>
                    </w:rPr>
                  </w:pPr>
                  <w:r>
                    <w:rPr>
                      <w:rFonts w:hint="eastAsia" w:ascii="Times New Roman" w:hAnsi="Times New Roman" w:eastAsia="宋体"/>
                      <w:color w:val="auto"/>
                      <w:szCs w:val="21"/>
                      <w:highlight w:val="none"/>
                      <w:lang w:eastAsia="zh-CN"/>
                    </w:rPr>
                    <w:t>类比法</w:t>
                  </w:r>
                </w:p>
              </w:tc>
              <w:tc>
                <w:tcPr>
                  <w:tcW w:w="1696" w:type="dxa"/>
                  <w:vAlign w:val="center"/>
                </w:tcPr>
                <w:p w14:paraId="1466ADEB">
                  <w:pPr>
                    <w:adjustRightInd w:val="0"/>
                    <w:snapToGrid w:val="0"/>
                    <w:jc w:val="center"/>
                    <w:rPr>
                      <w:rFonts w:hint="default" w:ascii="Times New Roman" w:hAnsi="Times New Roman" w:eastAsia="宋体"/>
                      <w:color w:val="auto"/>
                      <w:szCs w:val="21"/>
                      <w:highlight w:val="none"/>
                      <w:lang w:val="en-US" w:eastAsia="zh-CN"/>
                    </w:rPr>
                  </w:pPr>
                  <w:r>
                    <w:rPr>
                      <w:rFonts w:hint="eastAsia" w:ascii="Times New Roman" w:hAnsi="Times New Roman" w:eastAsia="宋体"/>
                      <w:color w:val="auto"/>
                      <w:szCs w:val="21"/>
                      <w:highlight w:val="none"/>
                      <w:lang w:val="en-US" w:eastAsia="zh-CN"/>
                    </w:rPr>
                    <w:t>85/1</w:t>
                  </w:r>
                </w:p>
              </w:tc>
              <w:tc>
                <w:tcPr>
                  <w:tcW w:w="1061" w:type="dxa"/>
                  <w:vAlign w:val="center"/>
                </w:tcPr>
                <w:p w14:paraId="43187246">
                  <w:pPr>
                    <w:jc w:val="center"/>
                    <w:rPr>
                      <w:rFonts w:hint="default" w:ascii="Times New Roman" w:hAnsi="Times New Roman" w:eastAsia="宋体"/>
                      <w:color w:val="auto"/>
                      <w:szCs w:val="21"/>
                      <w:highlight w:val="none"/>
                      <w:lang w:val="en-US" w:eastAsia="zh-CN"/>
                    </w:rPr>
                  </w:pPr>
                  <w:r>
                    <w:rPr>
                      <w:rFonts w:hint="eastAsia" w:ascii="Times New Roman" w:hAnsi="Times New Roman" w:eastAsia="宋体"/>
                      <w:color w:val="auto"/>
                      <w:szCs w:val="21"/>
                      <w:highlight w:val="none"/>
                      <w:lang w:val="en-US" w:eastAsia="zh-CN"/>
                    </w:rPr>
                    <w:t>设备减震，距离衰减</w:t>
                  </w:r>
                </w:p>
              </w:tc>
              <w:tc>
                <w:tcPr>
                  <w:tcW w:w="1119" w:type="dxa"/>
                  <w:vAlign w:val="center"/>
                </w:tcPr>
                <w:p w14:paraId="376C610F">
                  <w:pPr>
                    <w:jc w:val="center"/>
                    <w:rPr>
                      <w:rFonts w:hint="default" w:ascii="Times New Roman" w:hAnsi="Times New Roman" w:eastAsia="宋体"/>
                      <w:color w:val="auto"/>
                      <w:szCs w:val="21"/>
                      <w:highlight w:val="none"/>
                      <w:lang w:val="en-US" w:eastAsia="zh-CN"/>
                    </w:rPr>
                  </w:pPr>
                  <w:r>
                    <w:rPr>
                      <w:rFonts w:hint="eastAsia" w:ascii="Times New Roman" w:hAnsi="Times New Roman" w:eastAsia="宋体"/>
                      <w:color w:val="auto"/>
                      <w:szCs w:val="21"/>
                      <w:highlight w:val="none"/>
                      <w:lang w:val="en-US" w:eastAsia="zh-CN"/>
                    </w:rPr>
                    <w:t>80</w:t>
                  </w:r>
                </w:p>
              </w:tc>
              <w:tc>
                <w:tcPr>
                  <w:tcW w:w="681" w:type="dxa"/>
                  <w:vAlign w:val="center"/>
                </w:tcPr>
                <w:p w14:paraId="29258D86">
                  <w:pPr>
                    <w:widowControl/>
                    <w:jc w:val="center"/>
                    <w:textAlignment w:val="center"/>
                    <w:rPr>
                      <w:rFonts w:hint="default" w:ascii="Times New Roman" w:hAnsi="Times New Roman" w:eastAsia="宋体"/>
                      <w:color w:val="auto"/>
                      <w:kern w:val="0"/>
                      <w:szCs w:val="21"/>
                      <w:highlight w:val="none"/>
                      <w:lang w:val="en-US" w:eastAsia="zh-CN" w:bidi="ar"/>
                    </w:rPr>
                  </w:pPr>
                  <w:r>
                    <w:rPr>
                      <w:rFonts w:hint="eastAsia" w:ascii="Times New Roman" w:hAnsi="Times New Roman" w:eastAsia="宋体"/>
                      <w:color w:val="auto"/>
                      <w:kern w:val="0"/>
                      <w:szCs w:val="21"/>
                      <w:highlight w:val="none"/>
                      <w:lang w:val="en-US" w:eastAsia="zh-CN" w:bidi="ar"/>
                    </w:rPr>
                    <w:t>187</w:t>
                  </w:r>
                </w:p>
              </w:tc>
              <w:tc>
                <w:tcPr>
                  <w:tcW w:w="693" w:type="dxa"/>
                  <w:vAlign w:val="center"/>
                </w:tcPr>
                <w:p w14:paraId="486D0492">
                  <w:pPr>
                    <w:widowControl/>
                    <w:jc w:val="center"/>
                    <w:textAlignment w:val="center"/>
                    <w:rPr>
                      <w:rFonts w:hint="default" w:ascii="Times New Roman" w:hAnsi="Times New Roman" w:eastAsia="宋体"/>
                      <w:color w:val="auto"/>
                      <w:kern w:val="0"/>
                      <w:szCs w:val="21"/>
                      <w:highlight w:val="none"/>
                      <w:lang w:val="en-US" w:eastAsia="zh-CN" w:bidi="ar"/>
                    </w:rPr>
                  </w:pPr>
                  <w:r>
                    <w:rPr>
                      <w:rFonts w:hint="eastAsia" w:ascii="Times New Roman" w:hAnsi="Times New Roman" w:eastAsia="宋体"/>
                      <w:color w:val="auto"/>
                      <w:kern w:val="0"/>
                      <w:szCs w:val="21"/>
                      <w:highlight w:val="none"/>
                      <w:lang w:val="en-US" w:eastAsia="zh-CN" w:bidi="ar"/>
                    </w:rPr>
                    <w:t>130</w:t>
                  </w:r>
                </w:p>
              </w:tc>
              <w:tc>
                <w:tcPr>
                  <w:tcW w:w="669" w:type="dxa"/>
                  <w:vAlign w:val="center"/>
                </w:tcPr>
                <w:p w14:paraId="0DAF108A">
                  <w:pPr>
                    <w:widowControl/>
                    <w:jc w:val="center"/>
                    <w:textAlignment w:val="center"/>
                    <w:rPr>
                      <w:rFonts w:hint="eastAsia" w:ascii="Times New Roman" w:hAnsi="Times New Roman" w:eastAsia="宋体"/>
                      <w:color w:val="auto"/>
                      <w:kern w:val="0"/>
                      <w:szCs w:val="21"/>
                      <w:highlight w:val="none"/>
                      <w:lang w:eastAsia="zh-CN" w:bidi="ar"/>
                    </w:rPr>
                  </w:pPr>
                  <w:r>
                    <w:rPr>
                      <w:rFonts w:hint="eastAsia" w:ascii="Times New Roman" w:hAnsi="Times New Roman" w:eastAsia="宋体"/>
                      <w:color w:val="auto"/>
                      <w:kern w:val="0"/>
                      <w:szCs w:val="21"/>
                      <w:highlight w:val="none"/>
                      <w:lang w:val="en-US" w:eastAsia="zh-CN" w:bidi="ar"/>
                    </w:rPr>
                    <w:t>1</w:t>
                  </w:r>
                </w:p>
              </w:tc>
              <w:tc>
                <w:tcPr>
                  <w:tcW w:w="1361" w:type="dxa"/>
                  <w:vAlign w:val="center"/>
                </w:tcPr>
                <w:p w14:paraId="642A1C98">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厂界北侧</w:t>
                  </w:r>
                  <w:r>
                    <w:rPr>
                      <w:rFonts w:hint="default" w:ascii="Times New Roman" w:hAnsi="Times New Roman" w:eastAsia="宋体" w:cs="Times New Roman"/>
                      <w:color w:val="auto"/>
                      <w:kern w:val="0"/>
                      <w:sz w:val="18"/>
                      <w:szCs w:val="18"/>
                      <w:highlight w:val="none"/>
                      <w:lang w:val="en-US" w:eastAsia="zh-CN" w:bidi="ar"/>
                    </w:rPr>
                    <w:t>：</w:t>
                  </w:r>
                  <w:r>
                    <w:rPr>
                      <w:rFonts w:hint="eastAsia" w:ascii="Times New Roman" w:hAnsi="Times New Roman" w:eastAsia="宋体" w:cs="Times New Roman"/>
                      <w:color w:val="auto"/>
                      <w:kern w:val="0"/>
                      <w:sz w:val="18"/>
                      <w:szCs w:val="18"/>
                      <w:highlight w:val="none"/>
                      <w:lang w:val="en-US" w:eastAsia="zh-CN" w:bidi="ar"/>
                    </w:rPr>
                    <w:t>2</w:t>
                  </w:r>
                  <w:r>
                    <w:rPr>
                      <w:rFonts w:hint="eastAsia" w:cs="Times New Roman"/>
                      <w:color w:val="auto"/>
                      <w:kern w:val="0"/>
                      <w:sz w:val="18"/>
                      <w:szCs w:val="18"/>
                      <w:highlight w:val="none"/>
                      <w:lang w:val="en-US" w:eastAsia="zh-CN" w:bidi="ar"/>
                    </w:rPr>
                    <w:t>6</w:t>
                  </w:r>
                </w:p>
                <w:p w14:paraId="15BE75EC">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厂界东北侧</w:t>
                  </w:r>
                  <w:r>
                    <w:rPr>
                      <w:rFonts w:hint="default" w:ascii="Times New Roman" w:hAnsi="Times New Roman" w:eastAsia="宋体" w:cs="Times New Roman"/>
                      <w:color w:val="auto"/>
                      <w:kern w:val="0"/>
                      <w:sz w:val="18"/>
                      <w:szCs w:val="18"/>
                      <w:highlight w:val="none"/>
                      <w:lang w:val="en-US" w:eastAsia="zh-CN" w:bidi="ar"/>
                    </w:rPr>
                    <w:t>：</w:t>
                  </w:r>
                  <w:r>
                    <w:rPr>
                      <w:rFonts w:hint="eastAsia" w:ascii="Times New Roman" w:hAnsi="Times New Roman" w:eastAsia="宋体" w:cs="Times New Roman"/>
                      <w:color w:val="auto"/>
                      <w:kern w:val="0"/>
                      <w:sz w:val="18"/>
                      <w:szCs w:val="18"/>
                      <w:highlight w:val="none"/>
                      <w:lang w:val="en-US" w:eastAsia="zh-CN" w:bidi="ar"/>
                    </w:rPr>
                    <w:t>125</w:t>
                  </w:r>
                </w:p>
                <w:p w14:paraId="591EF3AC">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厂界东侧</w:t>
                  </w:r>
                  <w:r>
                    <w:rPr>
                      <w:rFonts w:hint="default" w:ascii="Times New Roman" w:hAnsi="Times New Roman" w:eastAsia="宋体" w:cs="Times New Roman"/>
                      <w:color w:val="auto"/>
                      <w:kern w:val="0"/>
                      <w:sz w:val="18"/>
                      <w:szCs w:val="18"/>
                      <w:highlight w:val="none"/>
                      <w:lang w:val="en-US" w:eastAsia="zh-CN" w:bidi="ar"/>
                    </w:rPr>
                    <w:t>：</w:t>
                  </w:r>
                  <w:r>
                    <w:rPr>
                      <w:rFonts w:hint="eastAsia" w:ascii="Times New Roman" w:hAnsi="Times New Roman" w:eastAsia="宋体" w:cs="Times New Roman"/>
                      <w:color w:val="auto"/>
                      <w:kern w:val="0"/>
                      <w:sz w:val="18"/>
                      <w:szCs w:val="18"/>
                      <w:highlight w:val="none"/>
                      <w:lang w:val="en-US" w:eastAsia="zh-CN" w:bidi="ar"/>
                    </w:rPr>
                    <w:t>1</w:t>
                  </w:r>
                  <w:r>
                    <w:rPr>
                      <w:rFonts w:hint="eastAsia" w:cs="Times New Roman"/>
                      <w:color w:val="auto"/>
                      <w:kern w:val="0"/>
                      <w:sz w:val="18"/>
                      <w:szCs w:val="18"/>
                      <w:highlight w:val="none"/>
                      <w:lang w:val="en-US" w:eastAsia="zh-CN" w:bidi="ar"/>
                    </w:rPr>
                    <w:t>2</w:t>
                  </w:r>
                  <w:r>
                    <w:rPr>
                      <w:rFonts w:hint="eastAsia" w:ascii="Times New Roman" w:hAnsi="Times New Roman" w:eastAsia="宋体" w:cs="Times New Roman"/>
                      <w:color w:val="auto"/>
                      <w:kern w:val="0"/>
                      <w:sz w:val="18"/>
                      <w:szCs w:val="18"/>
                      <w:highlight w:val="none"/>
                      <w:lang w:val="en-US" w:eastAsia="zh-CN" w:bidi="ar"/>
                    </w:rPr>
                    <w:t>5</w:t>
                  </w:r>
                </w:p>
                <w:p w14:paraId="5BD1987B">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厂界</w:t>
                  </w:r>
                  <w:r>
                    <w:rPr>
                      <w:rFonts w:hint="eastAsia" w:cs="Times New Roman"/>
                      <w:color w:val="auto"/>
                      <w:kern w:val="0"/>
                      <w:sz w:val="18"/>
                      <w:szCs w:val="18"/>
                      <w:highlight w:val="none"/>
                      <w:lang w:val="en-US" w:eastAsia="zh-CN" w:bidi="ar"/>
                    </w:rPr>
                    <w:t>东</w:t>
                  </w:r>
                  <w:r>
                    <w:rPr>
                      <w:rFonts w:hint="eastAsia" w:ascii="Times New Roman" w:hAnsi="Times New Roman" w:eastAsia="宋体" w:cs="Times New Roman"/>
                      <w:color w:val="auto"/>
                      <w:kern w:val="0"/>
                      <w:sz w:val="18"/>
                      <w:szCs w:val="18"/>
                      <w:highlight w:val="none"/>
                      <w:lang w:val="en-US" w:eastAsia="zh-CN" w:bidi="ar"/>
                    </w:rPr>
                    <w:t>南侧</w:t>
                  </w:r>
                  <w:r>
                    <w:rPr>
                      <w:rFonts w:hint="default" w:ascii="Times New Roman" w:hAnsi="Times New Roman" w:eastAsia="宋体" w:cs="Times New Roman"/>
                      <w:color w:val="auto"/>
                      <w:kern w:val="0"/>
                      <w:sz w:val="18"/>
                      <w:szCs w:val="18"/>
                      <w:highlight w:val="none"/>
                      <w:lang w:val="en-US" w:eastAsia="zh-CN" w:bidi="ar"/>
                    </w:rPr>
                    <w:t>：</w:t>
                  </w:r>
                  <w:r>
                    <w:rPr>
                      <w:rFonts w:hint="eastAsia" w:ascii="Times New Roman" w:hAnsi="Times New Roman" w:eastAsia="宋体" w:cs="Times New Roman"/>
                      <w:color w:val="auto"/>
                      <w:kern w:val="0"/>
                      <w:sz w:val="18"/>
                      <w:szCs w:val="18"/>
                      <w:highlight w:val="none"/>
                      <w:lang w:val="en-US" w:eastAsia="zh-CN" w:bidi="ar"/>
                    </w:rPr>
                    <w:t>111</w:t>
                  </w:r>
                </w:p>
                <w:p w14:paraId="14BCD6D7">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厂界南侧</w:t>
                  </w:r>
                  <w:r>
                    <w:rPr>
                      <w:rFonts w:hint="default" w:ascii="Times New Roman" w:hAnsi="Times New Roman" w:eastAsia="宋体" w:cs="Times New Roman"/>
                      <w:color w:val="auto"/>
                      <w:kern w:val="0"/>
                      <w:sz w:val="18"/>
                      <w:szCs w:val="18"/>
                      <w:highlight w:val="none"/>
                      <w:lang w:val="en-US" w:eastAsia="zh-CN" w:bidi="ar"/>
                    </w:rPr>
                    <w:t>：</w:t>
                  </w:r>
                  <w:r>
                    <w:rPr>
                      <w:rFonts w:hint="eastAsia" w:ascii="Times New Roman" w:hAnsi="Times New Roman" w:eastAsia="宋体" w:cs="Times New Roman"/>
                      <w:color w:val="auto"/>
                      <w:kern w:val="0"/>
                      <w:sz w:val="18"/>
                      <w:szCs w:val="18"/>
                      <w:highlight w:val="none"/>
                      <w:lang w:val="en-US" w:eastAsia="zh-CN" w:bidi="ar"/>
                    </w:rPr>
                    <w:t>14</w:t>
                  </w:r>
                  <w:r>
                    <w:rPr>
                      <w:rFonts w:hint="eastAsia" w:cs="Times New Roman"/>
                      <w:color w:val="auto"/>
                      <w:kern w:val="0"/>
                      <w:sz w:val="18"/>
                      <w:szCs w:val="18"/>
                      <w:highlight w:val="none"/>
                      <w:lang w:val="en-US" w:eastAsia="zh-CN" w:bidi="ar"/>
                    </w:rPr>
                    <w:t>7</w:t>
                  </w:r>
                </w:p>
                <w:p w14:paraId="05B83729">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厂界西北侧</w:t>
                  </w:r>
                  <w:r>
                    <w:rPr>
                      <w:rFonts w:hint="default" w:ascii="Times New Roman" w:hAnsi="Times New Roman" w:eastAsia="宋体" w:cs="Times New Roman"/>
                      <w:color w:val="auto"/>
                      <w:kern w:val="0"/>
                      <w:sz w:val="18"/>
                      <w:szCs w:val="18"/>
                      <w:highlight w:val="none"/>
                      <w:lang w:val="en-US" w:eastAsia="zh-CN" w:bidi="ar"/>
                    </w:rPr>
                    <w:t>：</w:t>
                  </w:r>
                  <w:r>
                    <w:rPr>
                      <w:rFonts w:hint="eastAsia" w:ascii="Times New Roman" w:hAnsi="Times New Roman" w:eastAsia="宋体" w:cs="Times New Roman"/>
                      <w:color w:val="auto"/>
                      <w:kern w:val="0"/>
                      <w:sz w:val="18"/>
                      <w:szCs w:val="18"/>
                      <w:highlight w:val="none"/>
                      <w:lang w:val="en-US" w:eastAsia="zh-CN" w:bidi="ar"/>
                    </w:rPr>
                    <w:t>89</w:t>
                  </w:r>
                </w:p>
              </w:tc>
              <w:tc>
                <w:tcPr>
                  <w:tcW w:w="1258" w:type="dxa"/>
                  <w:vAlign w:val="center"/>
                </w:tcPr>
                <w:p w14:paraId="7D32966C">
                  <w:pPr>
                    <w:jc w:val="center"/>
                    <w:rPr>
                      <w:rFonts w:hint="default" w:ascii="Times New Roman" w:hAnsi="Times New Roman" w:eastAsia="宋体"/>
                      <w:color w:val="auto"/>
                      <w:szCs w:val="21"/>
                      <w:highlight w:val="none"/>
                      <w:lang w:val="en-US" w:eastAsia="zh-CN"/>
                    </w:rPr>
                  </w:pPr>
                  <w:r>
                    <w:rPr>
                      <w:rFonts w:hint="eastAsia" w:ascii="Times New Roman" w:hAnsi="Times New Roman" w:eastAsia="宋体"/>
                      <w:color w:val="auto"/>
                      <w:szCs w:val="21"/>
                      <w:highlight w:val="none"/>
                      <w:lang w:val="en-US" w:eastAsia="zh-CN"/>
                    </w:rPr>
                    <w:t>8:</w:t>
                  </w:r>
                  <w:r>
                    <w:rPr>
                      <w:rFonts w:hint="eastAsia"/>
                      <w:color w:val="auto"/>
                      <w:szCs w:val="21"/>
                      <w:highlight w:val="none"/>
                      <w:lang w:val="en-US" w:eastAsia="zh-CN"/>
                    </w:rPr>
                    <w:t>0</w:t>
                  </w:r>
                  <w:r>
                    <w:rPr>
                      <w:rFonts w:hint="eastAsia" w:ascii="Times New Roman" w:hAnsi="Times New Roman" w:eastAsia="宋体"/>
                      <w:color w:val="auto"/>
                      <w:szCs w:val="21"/>
                      <w:highlight w:val="none"/>
                      <w:lang w:val="en-US" w:eastAsia="zh-CN"/>
                    </w:rPr>
                    <w:t>0~</w:t>
                  </w:r>
                  <w:r>
                    <w:rPr>
                      <w:rFonts w:hint="eastAsia"/>
                      <w:color w:val="auto"/>
                      <w:szCs w:val="21"/>
                      <w:highlight w:val="none"/>
                      <w:lang w:val="en-US" w:eastAsia="zh-CN"/>
                    </w:rPr>
                    <w:t>20</w:t>
                  </w:r>
                  <w:r>
                    <w:rPr>
                      <w:rFonts w:hint="eastAsia" w:ascii="Times New Roman" w:hAnsi="Times New Roman" w:eastAsia="宋体"/>
                      <w:color w:val="auto"/>
                      <w:szCs w:val="21"/>
                      <w:highlight w:val="none"/>
                      <w:lang w:val="en-US" w:eastAsia="zh-CN"/>
                    </w:rPr>
                    <w:t>:</w:t>
                  </w:r>
                  <w:r>
                    <w:rPr>
                      <w:rFonts w:hint="eastAsia"/>
                      <w:color w:val="auto"/>
                      <w:szCs w:val="21"/>
                      <w:highlight w:val="none"/>
                      <w:lang w:val="en-US" w:eastAsia="zh-CN"/>
                    </w:rPr>
                    <w:t>0</w:t>
                  </w:r>
                  <w:r>
                    <w:rPr>
                      <w:rFonts w:hint="eastAsia" w:ascii="Times New Roman" w:hAnsi="Times New Roman" w:eastAsia="宋体"/>
                      <w:color w:val="auto"/>
                      <w:szCs w:val="21"/>
                      <w:highlight w:val="none"/>
                      <w:lang w:val="en-US" w:eastAsia="zh-CN"/>
                    </w:rPr>
                    <w:t>0</w:t>
                  </w:r>
                </w:p>
              </w:tc>
              <w:tc>
                <w:tcPr>
                  <w:tcW w:w="1815" w:type="dxa"/>
                  <w:vAlign w:val="center"/>
                </w:tcPr>
                <w:p w14:paraId="725A9D63">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厂界北侧：</w:t>
                  </w:r>
                  <w:r>
                    <w:rPr>
                      <w:rFonts w:hint="default" w:ascii="Times New Roman" w:hAnsi="Times New Roman" w:eastAsia="宋体" w:cs="Times New Roman"/>
                      <w:color w:val="auto"/>
                      <w:sz w:val="21"/>
                      <w:szCs w:val="21"/>
                      <w:highlight w:val="none"/>
                      <w:lang w:val="en-US" w:eastAsia="zh-CN"/>
                    </w:rPr>
                    <w:t>5</w:t>
                  </w:r>
                  <w:r>
                    <w:rPr>
                      <w:rFonts w:hint="eastAsia"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val="en-US" w:eastAsia="zh-CN"/>
                    </w:rPr>
                    <w:t>.7</w:t>
                  </w:r>
                </w:p>
                <w:p w14:paraId="7F3045BB">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厂界东北侧：</w:t>
                  </w:r>
                  <w:r>
                    <w:rPr>
                      <w:rFonts w:hint="default" w:ascii="Times New Roman" w:hAnsi="Times New Roman" w:eastAsia="宋体" w:cs="Times New Roman"/>
                      <w:color w:val="auto"/>
                      <w:sz w:val="21"/>
                      <w:szCs w:val="21"/>
                      <w:highlight w:val="none"/>
                      <w:lang w:val="en-US" w:eastAsia="zh-CN"/>
                    </w:rPr>
                    <w:t>38</w:t>
                  </w:r>
                  <w:r>
                    <w:rPr>
                      <w:rFonts w:hint="eastAsia" w:cs="Times New Roman"/>
                      <w:color w:val="auto"/>
                      <w:sz w:val="21"/>
                      <w:szCs w:val="21"/>
                      <w:highlight w:val="none"/>
                      <w:lang w:val="en-US" w:eastAsia="zh-CN"/>
                    </w:rPr>
                    <w:t>.1</w:t>
                  </w:r>
                </w:p>
                <w:p w14:paraId="366FB74E">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厂界东侧：</w:t>
                  </w:r>
                  <w:r>
                    <w:rPr>
                      <w:rFonts w:hint="eastAsia" w:cs="Times New Roman"/>
                      <w:color w:val="auto"/>
                      <w:sz w:val="21"/>
                      <w:szCs w:val="21"/>
                      <w:highlight w:val="none"/>
                      <w:lang w:val="en-US" w:eastAsia="zh-CN"/>
                    </w:rPr>
                    <w:t>38.1</w:t>
                  </w:r>
                </w:p>
                <w:p w14:paraId="27E59C91">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厂界</w:t>
                  </w:r>
                  <w:r>
                    <w:rPr>
                      <w:rFonts w:hint="eastAsia" w:cs="Times New Roman"/>
                      <w:color w:val="auto"/>
                      <w:kern w:val="0"/>
                      <w:sz w:val="21"/>
                      <w:szCs w:val="21"/>
                      <w:highlight w:val="none"/>
                      <w:lang w:val="en-US" w:eastAsia="zh-CN" w:bidi="ar"/>
                    </w:rPr>
                    <w:t>东</w:t>
                  </w:r>
                  <w:r>
                    <w:rPr>
                      <w:rFonts w:hint="default" w:ascii="Times New Roman" w:hAnsi="Times New Roman" w:eastAsia="宋体" w:cs="Times New Roman"/>
                      <w:color w:val="auto"/>
                      <w:kern w:val="0"/>
                      <w:sz w:val="21"/>
                      <w:szCs w:val="21"/>
                      <w:highlight w:val="none"/>
                      <w:lang w:val="en-US" w:eastAsia="zh-CN" w:bidi="ar"/>
                    </w:rPr>
                    <w:t>南侧：</w:t>
                  </w:r>
                  <w:r>
                    <w:rPr>
                      <w:rFonts w:hint="default" w:ascii="Times New Roman" w:hAnsi="Times New Roman" w:eastAsia="宋体" w:cs="Times New Roman"/>
                      <w:color w:val="auto"/>
                      <w:sz w:val="21"/>
                      <w:szCs w:val="21"/>
                      <w:highlight w:val="none"/>
                      <w:lang w:val="en-US" w:eastAsia="zh-CN"/>
                    </w:rPr>
                    <w:t>39.</w:t>
                  </w:r>
                  <w:r>
                    <w:rPr>
                      <w:rFonts w:hint="eastAsia" w:cs="Times New Roman"/>
                      <w:color w:val="auto"/>
                      <w:sz w:val="21"/>
                      <w:szCs w:val="21"/>
                      <w:highlight w:val="none"/>
                      <w:lang w:val="en-US" w:eastAsia="zh-CN"/>
                    </w:rPr>
                    <w:t>1</w:t>
                  </w:r>
                </w:p>
                <w:p w14:paraId="750B8873">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厂界南侧：</w:t>
                  </w:r>
                  <w:r>
                    <w:rPr>
                      <w:rFonts w:hint="default" w:ascii="Times New Roman" w:hAnsi="Times New Roman" w:eastAsia="宋体" w:cs="Times New Roman"/>
                      <w:color w:val="auto"/>
                      <w:sz w:val="21"/>
                      <w:szCs w:val="21"/>
                      <w:highlight w:val="none"/>
                      <w:lang w:val="en-US" w:eastAsia="zh-CN"/>
                    </w:rPr>
                    <w:t>36.</w:t>
                  </w:r>
                  <w:r>
                    <w:rPr>
                      <w:rFonts w:hint="eastAsia" w:cs="Times New Roman"/>
                      <w:color w:val="auto"/>
                      <w:sz w:val="21"/>
                      <w:szCs w:val="21"/>
                      <w:highlight w:val="none"/>
                      <w:lang w:val="en-US" w:eastAsia="zh-CN"/>
                    </w:rPr>
                    <w:t>7</w:t>
                  </w:r>
                </w:p>
                <w:p w14:paraId="1F423F2E">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厂界西北侧：</w:t>
                  </w:r>
                  <w:r>
                    <w:rPr>
                      <w:rFonts w:hint="default" w:ascii="Times New Roman" w:hAnsi="Times New Roman" w:eastAsia="宋体" w:cs="Times New Roman"/>
                      <w:color w:val="auto"/>
                      <w:sz w:val="21"/>
                      <w:szCs w:val="21"/>
                      <w:highlight w:val="none"/>
                      <w:lang w:val="en-US" w:eastAsia="zh-CN"/>
                    </w:rPr>
                    <w:t>41.0</w:t>
                  </w:r>
                </w:p>
              </w:tc>
              <w:tc>
                <w:tcPr>
                  <w:tcW w:w="1110" w:type="dxa"/>
                  <w:vAlign w:val="center"/>
                </w:tcPr>
                <w:p w14:paraId="1360430C">
                  <w:pPr>
                    <w:jc w:val="center"/>
                    <w:rPr>
                      <w:rFonts w:hint="default" w:ascii="Times New Roman" w:hAnsi="Times New Roman" w:eastAsia="宋体"/>
                      <w:color w:val="auto"/>
                      <w:szCs w:val="21"/>
                      <w:highlight w:val="none"/>
                      <w:lang w:val="en-US" w:eastAsia="zh-CN"/>
                    </w:rPr>
                  </w:pPr>
                  <w:r>
                    <w:rPr>
                      <w:rFonts w:hint="eastAsia"/>
                      <w:color w:val="auto"/>
                      <w:szCs w:val="21"/>
                      <w:highlight w:val="none"/>
                      <w:lang w:val="en-US" w:eastAsia="zh-CN"/>
                    </w:rPr>
                    <w:t>1</w:t>
                  </w:r>
                </w:p>
              </w:tc>
            </w:tr>
            <w:tr w14:paraId="4F74B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4" w:hRule="atLeast"/>
                <w:jc w:val="center"/>
              </w:trPr>
              <w:tc>
                <w:tcPr>
                  <w:tcW w:w="644" w:type="dxa"/>
                  <w:vAlign w:val="center"/>
                </w:tcPr>
                <w:p w14:paraId="5A10B302">
                  <w:pPr>
                    <w:jc w:val="center"/>
                    <w:textAlignment w:val="baseline"/>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2</w:t>
                  </w:r>
                </w:p>
              </w:tc>
              <w:tc>
                <w:tcPr>
                  <w:tcW w:w="1024" w:type="dxa"/>
                  <w:vAlign w:val="center"/>
                </w:tcPr>
                <w:p w14:paraId="2E12B6F8">
                  <w:pPr>
                    <w:jc w:val="center"/>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激光切割废气风机</w:t>
                  </w:r>
                </w:p>
              </w:tc>
              <w:tc>
                <w:tcPr>
                  <w:tcW w:w="1062" w:type="dxa"/>
                  <w:vAlign w:val="center"/>
                </w:tcPr>
                <w:p w14:paraId="1EE69118">
                  <w:pPr>
                    <w:jc w:val="center"/>
                    <w:rPr>
                      <w:rFonts w:hint="eastAsia" w:ascii="Times New Roman" w:hAnsi="Times New Roman" w:eastAsia="宋体"/>
                      <w:color w:val="auto"/>
                      <w:szCs w:val="21"/>
                      <w:highlight w:val="none"/>
                      <w:lang w:eastAsia="zh-CN"/>
                    </w:rPr>
                  </w:pPr>
                  <w:r>
                    <w:rPr>
                      <w:rFonts w:hint="eastAsia" w:ascii="Times New Roman" w:hAnsi="Times New Roman" w:eastAsia="宋体"/>
                      <w:color w:val="auto"/>
                      <w:szCs w:val="21"/>
                      <w:highlight w:val="none"/>
                      <w:lang w:eastAsia="zh-CN"/>
                    </w:rPr>
                    <w:t>类比法</w:t>
                  </w:r>
                </w:p>
              </w:tc>
              <w:tc>
                <w:tcPr>
                  <w:tcW w:w="1696" w:type="dxa"/>
                  <w:vAlign w:val="center"/>
                </w:tcPr>
                <w:p w14:paraId="472179D0">
                  <w:pPr>
                    <w:adjustRightInd w:val="0"/>
                    <w:snapToGrid w:val="0"/>
                    <w:jc w:val="center"/>
                    <w:rPr>
                      <w:rFonts w:hint="eastAsia" w:ascii="Times New Roman" w:hAnsi="Times New Roman" w:eastAsia="宋体"/>
                      <w:color w:val="auto"/>
                      <w:szCs w:val="21"/>
                      <w:highlight w:val="none"/>
                      <w:lang w:val="en-US" w:eastAsia="zh-CN"/>
                    </w:rPr>
                  </w:pPr>
                  <w:r>
                    <w:rPr>
                      <w:rFonts w:hint="eastAsia" w:ascii="Times New Roman" w:hAnsi="Times New Roman" w:eastAsia="宋体"/>
                      <w:color w:val="auto"/>
                      <w:szCs w:val="21"/>
                      <w:highlight w:val="none"/>
                      <w:lang w:val="en-US" w:eastAsia="zh-CN"/>
                    </w:rPr>
                    <w:t>85/1</w:t>
                  </w:r>
                </w:p>
              </w:tc>
              <w:tc>
                <w:tcPr>
                  <w:tcW w:w="1061" w:type="dxa"/>
                  <w:vAlign w:val="center"/>
                </w:tcPr>
                <w:p w14:paraId="721D6746">
                  <w:pPr>
                    <w:jc w:val="center"/>
                    <w:rPr>
                      <w:rFonts w:hint="eastAsia" w:ascii="Times New Roman" w:hAnsi="Times New Roman" w:eastAsia="宋体"/>
                      <w:color w:val="auto"/>
                      <w:szCs w:val="21"/>
                      <w:highlight w:val="none"/>
                      <w:lang w:val="en-US" w:eastAsia="zh-CN"/>
                    </w:rPr>
                  </w:pPr>
                  <w:r>
                    <w:rPr>
                      <w:rFonts w:hint="eastAsia" w:ascii="Times New Roman" w:hAnsi="Times New Roman" w:eastAsia="宋体"/>
                      <w:color w:val="auto"/>
                      <w:szCs w:val="21"/>
                      <w:highlight w:val="none"/>
                      <w:lang w:val="en-US" w:eastAsia="zh-CN"/>
                    </w:rPr>
                    <w:t>设备减震，距离衰减</w:t>
                  </w:r>
                </w:p>
              </w:tc>
              <w:tc>
                <w:tcPr>
                  <w:tcW w:w="1119" w:type="dxa"/>
                  <w:vAlign w:val="center"/>
                </w:tcPr>
                <w:p w14:paraId="07776A6B">
                  <w:pPr>
                    <w:jc w:val="center"/>
                    <w:rPr>
                      <w:rFonts w:hint="default" w:ascii="Times New Roman" w:hAnsi="Times New Roman" w:eastAsia="宋体"/>
                      <w:color w:val="auto"/>
                      <w:szCs w:val="21"/>
                      <w:highlight w:val="none"/>
                      <w:lang w:val="en-US" w:eastAsia="zh-CN"/>
                    </w:rPr>
                  </w:pPr>
                  <w:r>
                    <w:rPr>
                      <w:rFonts w:hint="eastAsia" w:ascii="Times New Roman" w:hAnsi="Times New Roman" w:eastAsia="宋体"/>
                      <w:color w:val="auto"/>
                      <w:szCs w:val="21"/>
                      <w:highlight w:val="none"/>
                      <w:lang w:val="en-US" w:eastAsia="zh-CN"/>
                    </w:rPr>
                    <w:t>80</w:t>
                  </w:r>
                </w:p>
              </w:tc>
              <w:tc>
                <w:tcPr>
                  <w:tcW w:w="681" w:type="dxa"/>
                  <w:vAlign w:val="center"/>
                </w:tcPr>
                <w:p w14:paraId="2002F550">
                  <w:pPr>
                    <w:widowControl/>
                    <w:jc w:val="center"/>
                    <w:textAlignment w:val="center"/>
                    <w:rPr>
                      <w:rFonts w:hint="default" w:ascii="Times New Roman" w:hAnsi="Times New Roman" w:eastAsia="宋体"/>
                      <w:color w:val="auto"/>
                      <w:kern w:val="0"/>
                      <w:szCs w:val="21"/>
                      <w:highlight w:val="none"/>
                      <w:lang w:val="en-US" w:eastAsia="zh-CN" w:bidi="ar"/>
                    </w:rPr>
                  </w:pPr>
                  <w:r>
                    <w:rPr>
                      <w:rFonts w:hint="eastAsia"/>
                      <w:color w:val="auto"/>
                      <w:kern w:val="0"/>
                      <w:szCs w:val="21"/>
                      <w:highlight w:val="none"/>
                      <w:lang w:val="en-US" w:eastAsia="zh-CN" w:bidi="ar"/>
                    </w:rPr>
                    <w:t>29</w:t>
                  </w:r>
                  <w:r>
                    <w:rPr>
                      <w:rFonts w:hint="eastAsia" w:ascii="Times New Roman" w:hAnsi="Times New Roman" w:eastAsia="宋体"/>
                      <w:color w:val="auto"/>
                      <w:kern w:val="0"/>
                      <w:szCs w:val="21"/>
                      <w:highlight w:val="none"/>
                      <w:lang w:val="en-US" w:eastAsia="zh-CN" w:bidi="ar"/>
                    </w:rPr>
                    <w:t>0</w:t>
                  </w:r>
                </w:p>
              </w:tc>
              <w:tc>
                <w:tcPr>
                  <w:tcW w:w="693" w:type="dxa"/>
                  <w:vAlign w:val="center"/>
                </w:tcPr>
                <w:p w14:paraId="440FF252">
                  <w:pPr>
                    <w:widowControl/>
                    <w:jc w:val="center"/>
                    <w:textAlignment w:val="center"/>
                    <w:rPr>
                      <w:rFonts w:hint="default" w:ascii="Times New Roman" w:hAnsi="Times New Roman" w:eastAsia="宋体"/>
                      <w:color w:val="auto"/>
                      <w:kern w:val="0"/>
                      <w:szCs w:val="21"/>
                      <w:highlight w:val="none"/>
                      <w:lang w:val="en-US" w:eastAsia="zh-CN" w:bidi="ar"/>
                    </w:rPr>
                  </w:pPr>
                  <w:r>
                    <w:rPr>
                      <w:rFonts w:hint="eastAsia"/>
                      <w:color w:val="auto"/>
                      <w:kern w:val="0"/>
                      <w:szCs w:val="21"/>
                      <w:highlight w:val="none"/>
                      <w:lang w:val="en-US" w:eastAsia="zh-CN" w:bidi="ar"/>
                    </w:rPr>
                    <w:t>183</w:t>
                  </w:r>
                </w:p>
              </w:tc>
              <w:tc>
                <w:tcPr>
                  <w:tcW w:w="669" w:type="dxa"/>
                  <w:vAlign w:val="center"/>
                </w:tcPr>
                <w:p w14:paraId="4A8B8A4D">
                  <w:pPr>
                    <w:widowControl/>
                    <w:jc w:val="center"/>
                    <w:textAlignment w:val="center"/>
                    <w:rPr>
                      <w:rFonts w:hint="default" w:ascii="Times New Roman" w:hAnsi="Times New Roman" w:eastAsia="宋体"/>
                      <w:color w:val="auto"/>
                      <w:kern w:val="0"/>
                      <w:szCs w:val="21"/>
                      <w:highlight w:val="none"/>
                      <w:lang w:val="en-US" w:eastAsia="zh-CN" w:bidi="ar"/>
                    </w:rPr>
                  </w:pPr>
                  <w:r>
                    <w:rPr>
                      <w:rFonts w:hint="eastAsia" w:ascii="Times New Roman" w:hAnsi="Times New Roman" w:eastAsia="宋体"/>
                      <w:color w:val="auto"/>
                      <w:kern w:val="0"/>
                      <w:szCs w:val="21"/>
                      <w:highlight w:val="none"/>
                      <w:lang w:val="en-US" w:eastAsia="zh-CN" w:bidi="ar"/>
                    </w:rPr>
                    <w:t>1</w:t>
                  </w:r>
                </w:p>
              </w:tc>
              <w:tc>
                <w:tcPr>
                  <w:tcW w:w="1361" w:type="dxa"/>
                  <w:vAlign w:val="center"/>
                </w:tcPr>
                <w:p w14:paraId="32472167">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厂界北侧</w:t>
                  </w:r>
                  <w:r>
                    <w:rPr>
                      <w:rFonts w:hint="default" w:ascii="Times New Roman" w:hAnsi="Times New Roman" w:eastAsia="宋体" w:cs="Times New Roman"/>
                      <w:color w:val="auto"/>
                      <w:kern w:val="0"/>
                      <w:sz w:val="18"/>
                      <w:szCs w:val="18"/>
                      <w:highlight w:val="none"/>
                      <w:lang w:val="en-US" w:eastAsia="zh-CN" w:bidi="ar"/>
                    </w:rPr>
                    <w:t>：</w:t>
                  </w:r>
                  <w:r>
                    <w:rPr>
                      <w:rFonts w:hint="eastAsia" w:cs="Times New Roman"/>
                      <w:color w:val="auto"/>
                      <w:kern w:val="0"/>
                      <w:sz w:val="18"/>
                      <w:szCs w:val="18"/>
                      <w:highlight w:val="none"/>
                      <w:lang w:val="en-US" w:eastAsia="zh-CN" w:bidi="ar"/>
                    </w:rPr>
                    <w:t>112</w:t>
                  </w:r>
                </w:p>
                <w:p w14:paraId="5B130DD8">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厂界东北侧</w:t>
                  </w:r>
                  <w:r>
                    <w:rPr>
                      <w:rFonts w:hint="default" w:ascii="Times New Roman" w:hAnsi="Times New Roman" w:eastAsia="宋体" w:cs="Times New Roman"/>
                      <w:color w:val="auto"/>
                      <w:kern w:val="0"/>
                      <w:sz w:val="18"/>
                      <w:szCs w:val="18"/>
                      <w:highlight w:val="none"/>
                      <w:lang w:val="en-US" w:eastAsia="zh-CN" w:bidi="ar"/>
                    </w:rPr>
                    <w:t>：</w:t>
                  </w:r>
                  <w:r>
                    <w:rPr>
                      <w:rFonts w:hint="eastAsia" w:cs="Times New Roman"/>
                      <w:color w:val="auto"/>
                      <w:kern w:val="0"/>
                      <w:sz w:val="18"/>
                      <w:szCs w:val="18"/>
                      <w:highlight w:val="none"/>
                      <w:lang w:val="en-US" w:eastAsia="zh-CN" w:bidi="ar"/>
                    </w:rPr>
                    <w:t>31</w:t>
                  </w:r>
                </w:p>
                <w:p w14:paraId="7AE04373">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厂界东侧</w:t>
                  </w:r>
                  <w:r>
                    <w:rPr>
                      <w:rFonts w:hint="default" w:ascii="Times New Roman" w:hAnsi="Times New Roman" w:eastAsia="宋体" w:cs="Times New Roman"/>
                      <w:color w:val="auto"/>
                      <w:kern w:val="0"/>
                      <w:sz w:val="18"/>
                      <w:szCs w:val="18"/>
                      <w:highlight w:val="none"/>
                      <w:lang w:val="en-US" w:eastAsia="zh-CN" w:bidi="ar"/>
                    </w:rPr>
                    <w:t>：</w:t>
                  </w:r>
                  <w:r>
                    <w:rPr>
                      <w:rFonts w:hint="eastAsia" w:cs="Times New Roman"/>
                      <w:color w:val="auto"/>
                      <w:kern w:val="0"/>
                      <w:sz w:val="18"/>
                      <w:szCs w:val="18"/>
                      <w:highlight w:val="none"/>
                      <w:lang w:val="en-US" w:eastAsia="zh-CN" w:bidi="ar"/>
                    </w:rPr>
                    <w:t>14</w:t>
                  </w:r>
                </w:p>
                <w:p w14:paraId="426D36DD">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厂界</w:t>
                  </w:r>
                  <w:r>
                    <w:rPr>
                      <w:rFonts w:hint="eastAsia" w:cs="Times New Roman"/>
                      <w:color w:val="auto"/>
                      <w:kern w:val="0"/>
                      <w:sz w:val="18"/>
                      <w:szCs w:val="18"/>
                      <w:highlight w:val="none"/>
                      <w:lang w:val="en-US" w:eastAsia="zh-CN" w:bidi="ar"/>
                    </w:rPr>
                    <w:t>东</w:t>
                  </w:r>
                  <w:r>
                    <w:rPr>
                      <w:rFonts w:hint="eastAsia" w:ascii="Times New Roman" w:hAnsi="Times New Roman" w:eastAsia="宋体" w:cs="Times New Roman"/>
                      <w:color w:val="auto"/>
                      <w:kern w:val="0"/>
                      <w:sz w:val="18"/>
                      <w:szCs w:val="18"/>
                      <w:highlight w:val="none"/>
                      <w:lang w:val="en-US" w:eastAsia="zh-CN" w:bidi="ar"/>
                    </w:rPr>
                    <w:t>南侧</w:t>
                  </w:r>
                  <w:r>
                    <w:rPr>
                      <w:rFonts w:hint="default" w:ascii="Times New Roman" w:hAnsi="Times New Roman" w:eastAsia="宋体" w:cs="Times New Roman"/>
                      <w:color w:val="auto"/>
                      <w:kern w:val="0"/>
                      <w:sz w:val="18"/>
                      <w:szCs w:val="18"/>
                      <w:highlight w:val="none"/>
                      <w:lang w:val="en-US" w:eastAsia="zh-CN" w:bidi="ar"/>
                    </w:rPr>
                    <w:t>：</w:t>
                  </w:r>
                  <w:r>
                    <w:rPr>
                      <w:rFonts w:hint="eastAsia" w:cs="Times New Roman"/>
                      <w:color w:val="auto"/>
                      <w:kern w:val="0"/>
                      <w:sz w:val="18"/>
                      <w:szCs w:val="18"/>
                      <w:highlight w:val="none"/>
                      <w:lang w:val="en-US" w:eastAsia="zh-CN" w:bidi="ar"/>
                    </w:rPr>
                    <w:t>125</w:t>
                  </w:r>
                </w:p>
                <w:p w14:paraId="02C4329B">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厂界南侧</w:t>
                  </w:r>
                  <w:r>
                    <w:rPr>
                      <w:rFonts w:hint="default" w:ascii="Times New Roman" w:hAnsi="Times New Roman" w:eastAsia="宋体" w:cs="Times New Roman"/>
                      <w:color w:val="auto"/>
                      <w:kern w:val="0"/>
                      <w:sz w:val="18"/>
                      <w:szCs w:val="18"/>
                      <w:highlight w:val="none"/>
                      <w:lang w:val="en-US" w:eastAsia="zh-CN" w:bidi="ar"/>
                    </w:rPr>
                    <w:t>：</w:t>
                  </w:r>
                  <w:r>
                    <w:rPr>
                      <w:rFonts w:hint="eastAsia" w:ascii="Times New Roman" w:hAnsi="Times New Roman" w:eastAsia="宋体" w:cs="Times New Roman"/>
                      <w:color w:val="auto"/>
                      <w:kern w:val="0"/>
                      <w:sz w:val="18"/>
                      <w:szCs w:val="18"/>
                      <w:highlight w:val="none"/>
                      <w:lang w:val="en-US" w:eastAsia="zh-CN" w:bidi="ar"/>
                    </w:rPr>
                    <w:t>2</w:t>
                  </w:r>
                  <w:r>
                    <w:rPr>
                      <w:rFonts w:hint="eastAsia" w:cs="Times New Roman"/>
                      <w:color w:val="auto"/>
                      <w:kern w:val="0"/>
                      <w:sz w:val="18"/>
                      <w:szCs w:val="18"/>
                      <w:highlight w:val="none"/>
                      <w:lang w:val="en-US" w:eastAsia="zh-CN" w:bidi="ar"/>
                    </w:rPr>
                    <w:t>35</w:t>
                  </w:r>
                </w:p>
                <w:p w14:paraId="6360D6AA">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olor w:val="auto"/>
                      <w:kern w:val="0"/>
                      <w:szCs w:val="21"/>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厂界西北侧</w:t>
                  </w:r>
                  <w:r>
                    <w:rPr>
                      <w:rFonts w:hint="default" w:ascii="Times New Roman" w:hAnsi="Times New Roman" w:eastAsia="宋体" w:cs="Times New Roman"/>
                      <w:color w:val="auto"/>
                      <w:kern w:val="0"/>
                      <w:sz w:val="18"/>
                      <w:szCs w:val="18"/>
                      <w:highlight w:val="none"/>
                      <w:lang w:val="en-US" w:eastAsia="zh-CN" w:bidi="ar"/>
                    </w:rPr>
                    <w:t>：</w:t>
                  </w:r>
                  <w:r>
                    <w:rPr>
                      <w:rFonts w:hint="eastAsia" w:cs="Times New Roman"/>
                      <w:color w:val="auto"/>
                      <w:kern w:val="0"/>
                      <w:sz w:val="18"/>
                      <w:szCs w:val="18"/>
                      <w:highlight w:val="none"/>
                      <w:lang w:val="en-US" w:eastAsia="zh-CN" w:bidi="ar"/>
                    </w:rPr>
                    <w:t>166</w:t>
                  </w:r>
                </w:p>
              </w:tc>
              <w:tc>
                <w:tcPr>
                  <w:tcW w:w="1258" w:type="dxa"/>
                  <w:vAlign w:val="center"/>
                </w:tcPr>
                <w:p w14:paraId="7A558049">
                  <w:pPr>
                    <w:jc w:val="center"/>
                    <w:rPr>
                      <w:rFonts w:hint="eastAsia" w:ascii="Times New Roman" w:hAnsi="Times New Roman" w:eastAsia="宋体"/>
                      <w:color w:val="auto"/>
                      <w:szCs w:val="21"/>
                      <w:highlight w:val="none"/>
                      <w:lang w:val="en-US" w:eastAsia="zh-CN"/>
                    </w:rPr>
                  </w:pPr>
                  <w:r>
                    <w:rPr>
                      <w:rFonts w:hint="eastAsia" w:ascii="Times New Roman" w:hAnsi="Times New Roman" w:eastAsia="宋体"/>
                      <w:color w:val="auto"/>
                      <w:szCs w:val="21"/>
                      <w:highlight w:val="none"/>
                      <w:lang w:val="en-US" w:eastAsia="zh-CN"/>
                    </w:rPr>
                    <w:t>8:</w:t>
                  </w:r>
                  <w:r>
                    <w:rPr>
                      <w:rFonts w:hint="eastAsia"/>
                      <w:color w:val="auto"/>
                      <w:szCs w:val="21"/>
                      <w:highlight w:val="none"/>
                      <w:lang w:val="en-US" w:eastAsia="zh-CN"/>
                    </w:rPr>
                    <w:t>0</w:t>
                  </w:r>
                  <w:r>
                    <w:rPr>
                      <w:rFonts w:hint="eastAsia" w:ascii="Times New Roman" w:hAnsi="Times New Roman" w:eastAsia="宋体"/>
                      <w:color w:val="auto"/>
                      <w:szCs w:val="21"/>
                      <w:highlight w:val="none"/>
                      <w:lang w:val="en-US" w:eastAsia="zh-CN"/>
                    </w:rPr>
                    <w:t>0~</w:t>
                  </w:r>
                  <w:r>
                    <w:rPr>
                      <w:rFonts w:hint="eastAsia"/>
                      <w:color w:val="auto"/>
                      <w:szCs w:val="21"/>
                      <w:highlight w:val="none"/>
                      <w:lang w:val="en-US" w:eastAsia="zh-CN"/>
                    </w:rPr>
                    <w:t>20</w:t>
                  </w:r>
                  <w:r>
                    <w:rPr>
                      <w:rFonts w:hint="eastAsia" w:ascii="Times New Roman" w:hAnsi="Times New Roman" w:eastAsia="宋体"/>
                      <w:color w:val="auto"/>
                      <w:szCs w:val="21"/>
                      <w:highlight w:val="none"/>
                      <w:lang w:val="en-US" w:eastAsia="zh-CN"/>
                    </w:rPr>
                    <w:t>:</w:t>
                  </w:r>
                  <w:r>
                    <w:rPr>
                      <w:rFonts w:hint="eastAsia"/>
                      <w:color w:val="auto"/>
                      <w:szCs w:val="21"/>
                      <w:highlight w:val="none"/>
                      <w:lang w:val="en-US" w:eastAsia="zh-CN"/>
                    </w:rPr>
                    <w:t>0</w:t>
                  </w:r>
                  <w:r>
                    <w:rPr>
                      <w:rFonts w:hint="eastAsia" w:ascii="Times New Roman" w:hAnsi="Times New Roman" w:eastAsia="宋体"/>
                      <w:color w:val="auto"/>
                      <w:szCs w:val="21"/>
                      <w:highlight w:val="none"/>
                      <w:lang w:val="en-US" w:eastAsia="zh-CN"/>
                    </w:rPr>
                    <w:t>0</w:t>
                  </w:r>
                </w:p>
              </w:tc>
              <w:tc>
                <w:tcPr>
                  <w:tcW w:w="1815" w:type="dxa"/>
                  <w:vAlign w:val="center"/>
                </w:tcPr>
                <w:p w14:paraId="7CD0CCA0">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厂界北侧：</w:t>
                  </w:r>
                  <w:r>
                    <w:rPr>
                      <w:rFonts w:hint="default" w:ascii="Times New Roman" w:hAnsi="Times New Roman" w:eastAsia="宋体" w:cs="Times New Roman"/>
                      <w:color w:val="auto"/>
                      <w:sz w:val="21"/>
                      <w:szCs w:val="21"/>
                      <w:highlight w:val="none"/>
                      <w:lang w:val="en-US" w:eastAsia="zh-CN"/>
                    </w:rPr>
                    <w:t>3</w:t>
                  </w:r>
                  <w:r>
                    <w:rPr>
                      <w:rFonts w:hint="eastAsia" w:cs="Times New Roman"/>
                      <w:color w:val="auto"/>
                      <w:sz w:val="21"/>
                      <w:szCs w:val="21"/>
                      <w:highlight w:val="none"/>
                      <w:lang w:val="en-US" w:eastAsia="zh-CN"/>
                    </w:rPr>
                    <w:t>9.0</w:t>
                  </w:r>
                </w:p>
                <w:p w14:paraId="6D3BF17E">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厂界东北侧：</w:t>
                  </w:r>
                  <w:r>
                    <w:rPr>
                      <w:rFonts w:hint="default" w:ascii="Times New Roman" w:hAnsi="Times New Roman" w:eastAsia="宋体" w:cs="Times New Roman"/>
                      <w:color w:val="auto"/>
                      <w:sz w:val="21"/>
                      <w:szCs w:val="21"/>
                      <w:highlight w:val="none"/>
                      <w:lang w:val="en-US" w:eastAsia="zh-CN"/>
                    </w:rPr>
                    <w:t>5</w:t>
                  </w:r>
                  <w:r>
                    <w:rPr>
                      <w:rFonts w:hint="eastAsia" w:cs="Times New Roman"/>
                      <w:color w:val="auto"/>
                      <w:sz w:val="21"/>
                      <w:szCs w:val="21"/>
                      <w:highlight w:val="none"/>
                      <w:lang w:val="en-US" w:eastAsia="zh-CN"/>
                    </w:rPr>
                    <w:t>0.2</w:t>
                  </w:r>
                </w:p>
                <w:p w14:paraId="3EEA0E97">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厂界东侧：</w:t>
                  </w:r>
                  <w:r>
                    <w:rPr>
                      <w:rFonts w:hint="eastAsia" w:cs="Times New Roman"/>
                      <w:color w:val="auto"/>
                      <w:sz w:val="21"/>
                      <w:szCs w:val="21"/>
                      <w:highlight w:val="none"/>
                      <w:lang w:val="en-US" w:eastAsia="zh-CN"/>
                    </w:rPr>
                    <w:t>57.1</w:t>
                  </w:r>
                </w:p>
                <w:p w14:paraId="4229D456">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厂界</w:t>
                  </w:r>
                  <w:r>
                    <w:rPr>
                      <w:rFonts w:hint="eastAsia" w:cs="Times New Roman"/>
                      <w:color w:val="auto"/>
                      <w:kern w:val="0"/>
                      <w:sz w:val="21"/>
                      <w:szCs w:val="21"/>
                      <w:highlight w:val="none"/>
                      <w:lang w:val="en-US" w:eastAsia="zh-CN" w:bidi="ar"/>
                    </w:rPr>
                    <w:t>东</w:t>
                  </w:r>
                  <w:r>
                    <w:rPr>
                      <w:rFonts w:hint="default" w:ascii="Times New Roman" w:hAnsi="Times New Roman" w:eastAsia="宋体" w:cs="Times New Roman"/>
                      <w:color w:val="auto"/>
                      <w:kern w:val="0"/>
                      <w:sz w:val="21"/>
                      <w:szCs w:val="21"/>
                      <w:highlight w:val="none"/>
                      <w:lang w:val="en-US" w:eastAsia="zh-CN" w:bidi="ar"/>
                    </w:rPr>
                    <w:t>南侧：</w:t>
                  </w:r>
                  <w:r>
                    <w:rPr>
                      <w:rFonts w:hint="eastAsia" w:cs="Times New Roman"/>
                      <w:color w:val="auto"/>
                      <w:sz w:val="21"/>
                      <w:szCs w:val="21"/>
                      <w:highlight w:val="none"/>
                      <w:lang w:val="en-US" w:eastAsia="zh-CN"/>
                    </w:rPr>
                    <w:t>38.1</w:t>
                  </w:r>
                </w:p>
                <w:p w14:paraId="72F95FAB">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厂界南侧：</w:t>
                  </w:r>
                  <w:r>
                    <w:rPr>
                      <w:rFonts w:hint="default" w:ascii="Times New Roman" w:hAnsi="Times New Roman" w:eastAsia="宋体" w:cs="Times New Roman"/>
                      <w:color w:val="auto"/>
                      <w:sz w:val="21"/>
                      <w:szCs w:val="21"/>
                      <w:highlight w:val="none"/>
                      <w:lang w:val="en-US" w:eastAsia="zh-CN"/>
                    </w:rPr>
                    <w:t>32.6</w:t>
                  </w:r>
                </w:p>
                <w:p w14:paraId="1350548F">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厂界西北侧：</w:t>
                  </w:r>
                  <w:r>
                    <w:rPr>
                      <w:rFonts w:hint="default" w:ascii="Times New Roman" w:hAnsi="Times New Roman" w:eastAsia="宋体" w:cs="Times New Roman"/>
                      <w:color w:val="auto"/>
                      <w:sz w:val="21"/>
                      <w:szCs w:val="21"/>
                      <w:highlight w:val="none"/>
                      <w:lang w:val="en-US" w:eastAsia="zh-CN"/>
                    </w:rPr>
                    <w:t>3</w:t>
                  </w:r>
                  <w:r>
                    <w:rPr>
                      <w:rFonts w:hint="eastAsia" w:cs="Times New Roman"/>
                      <w:color w:val="auto"/>
                      <w:sz w:val="21"/>
                      <w:szCs w:val="21"/>
                      <w:highlight w:val="none"/>
                      <w:lang w:val="en-US" w:eastAsia="zh-CN"/>
                    </w:rPr>
                    <w:t>5.6</w:t>
                  </w:r>
                </w:p>
              </w:tc>
              <w:tc>
                <w:tcPr>
                  <w:tcW w:w="1110" w:type="dxa"/>
                  <w:vAlign w:val="center"/>
                </w:tcPr>
                <w:p w14:paraId="1F4F0089">
                  <w:pPr>
                    <w:jc w:val="center"/>
                    <w:rPr>
                      <w:rFonts w:hint="default" w:ascii="Times New Roman" w:hAnsi="Times New Roman" w:eastAsia="宋体"/>
                      <w:color w:val="auto"/>
                      <w:szCs w:val="21"/>
                      <w:highlight w:val="none"/>
                      <w:lang w:val="en-US" w:eastAsia="zh-CN"/>
                    </w:rPr>
                  </w:pPr>
                  <w:r>
                    <w:rPr>
                      <w:rFonts w:hint="eastAsia"/>
                      <w:color w:val="auto"/>
                      <w:szCs w:val="21"/>
                      <w:highlight w:val="none"/>
                      <w:lang w:val="en-US" w:eastAsia="zh-CN"/>
                    </w:rPr>
                    <w:t>1</w:t>
                  </w:r>
                </w:p>
              </w:tc>
            </w:tr>
            <w:tr w14:paraId="075CE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4" w:hRule="atLeast"/>
                <w:jc w:val="center"/>
              </w:trPr>
              <w:tc>
                <w:tcPr>
                  <w:tcW w:w="644" w:type="dxa"/>
                  <w:vAlign w:val="center"/>
                </w:tcPr>
                <w:p w14:paraId="6DD6C227">
                  <w:pPr>
                    <w:jc w:val="center"/>
                    <w:textAlignment w:val="baseline"/>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3</w:t>
                  </w:r>
                </w:p>
              </w:tc>
              <w:tc>
                <w:tcPr>
                  <w:tcW w:w="1024" w:type="dxa"/>
                  <w:vAlign w:val="center"/>
                </w:tcPr>
                <w:p w14:paraId="09B1A779">
                  <w:pPr>
                    <w:jc w:val="center"/>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抛丸、喷砂废气风机</w:t>
                  </w:r>
                </w:p>
              </w:tc>
              <w:tc>
                <w:tcPr>
                  <w:tcW w:w="1062" w:type="dxa"/>
                  <w:vAlign w:val="center"/>
                </w:tcPr>
                <w:p w14:paraId="0EF1DD1E">
                  <w:pPr>
                    <w:jc w:val="center"/>
                    <w:rPr>
                      <w:rFonts w:hint="eastAsia" w:ascii="Times New Roman" w:hAnsi="Times New Roman" w:eastAsia="宋体"/>
                      <w:color w:val="auto"/>
                      <w:szCs w:val="21"/>
                      <w:highlight w:val="none"/>
                      <w:lang w:eastAsia="zh-CN"/>
                    </w:rPr>
                  </w:pPr>
                  <w:r>
                    <w:rPr>
                      <w:rFonts w:hint="eastAsia" w:ascii="Times New Roman" w:hAnsi="Times New Roman" w:eastAsia="宋体"/>
                      <w:color w:val="auto"/>
                      <w:szCs w:val="21"/>
                      <w:highlight w:val="none"/>
                      <w:lang w:eastAsia="zh-CN"/>
                    </w:rPr>
                    <w:t>类比法</w:t>
                  </w:r>
                </w:p>
              </w:tc>
              <w:tc>
                <w:tcPr>
                  <w:tcW w:w="1696" w:type="dxa"/>
                  <w:vAlign w:val="center"/>
                </w:tcPr>
                <w:p w14:paraId="34598CF0">
                  <w:pPr>
                    <w:adjustRightInd w:val="0"/>
                    <w:snapToGrid w:val="0"/>
                    <w:jc w:val="center"/>
                    <w:rPr>
                      <w:rFonts w:hint="eastAsia" w:ascii="Times New Roman" w:hAnsi="Times New Roman" w:eastAsia="宋体"/>
                      <w:color w:val="auto"/>
                      <w:szCs w:val="21"/>
                      <w:highlight w:val="none"/>
                      <w:lang w:val="en-US" w:eastAsia="zh-CN"/>
                    </w:rPr>
                  </w:pPr>
                  <w:r>
                    <w:rPr>
                      <w:rFonts w:hint="eastAsia" w:ascii="Times New Roman" w:hAnsi="Times New Roman" w:eastAsia="宋体"/>
                      <w:color w:val="auto"/>
                      <w:szCs w:val="21"/>
                      <w:highlight w:val="none"/>
                      <w:lang w:val="en-US" w:eastAsia="zh-CN"/>
                    </w:rPr>
                    <w:t>85/1</w:t>
                  </w:r>
                </w:p>
              </w:tc>
              <w:tc>
                <w:tcPr>
                  <w:tcW w:w="1061" w:type="dxa"/>
                  <w:vAlign w:val="center"/>
                </w:tcPr>
                <w:p w14:paraId="1E324965">
                  <w:pPr>
                    <w:jc w:val="center"/>
                    <w:rPr>
                      <w:rFonts w:hint="eastAsia" w:ascii="Times New Roman" w:hAnsi="Times New Roman" w:eastAsia="宋体"/>
                      <w:color w:val="auto"/>
                      <w:szCs w:val="21"/>
                      <w:highlight w:val="none"/>
                      <w:lang w:val="en-US" w:eastAsia="zh-CN"/>
                    </w:rPr>
                  </w:pPr>
                  <w:r>
                    <w:rPr>
                      <w:rFonts w:hint="eastAsia" w:ascii="Times New Roman" w:hAnsi="Times New Roman" w:eastAsia="宋体"/>
                      <w:color w:val="auto"/>
                      <w:szCs w:val="21"/>
                      <w:highlight w:val="none"/>
                      <w:lang w:val="en-US" w:eastAsia="zh-CN"/>
                    </w:rPr>
                    <w:t>设备减震，距离衰减</w:t>
                  </w:r>
                </w:p>
              </w:tc>
              <w:tc>
                <w:tcPr>
                  <w:tcW w:w="1119" w:type="dxa"/>
                  <w:vAlign w:val="center"/>
                </w:tcPr>
                <w:p w14:paraId="43E53359">
                  <w:pPr>
                    <w:jc w:val="center"/>
                    <w:rPr>
                      <w:rFonts w:hint="default" w:ascii="Times New Roman" w:hAnsi="Times New Roman" w:eastAsia="宋体"/>
                      <w:color w:val="auto"/>
                      <w:szCs w:val="21"/>
                      <w:highlight w:val="none"/>
                      <w:lang w:val="en-US" w:eastAsia="zh-CN"/>
                    </w:rPr>
                  </w:pPr>
                  <w:r>
                    <w:rPr>
                      <w:rFonts w:hint="eastAsia" w:ascii="Times New Roman" w:hAnsi="Times New Roman" w:eastAsia="宋体"/>
                      <w:color w:val="auto"/>
                      <w:szCs w:val="21"/>
                      <w:highlight w:val="none"/>
                      <w:lang w:val="en-US" w:eastAsia="zh-CN"/>
                    </w:rPr>
                    <w:t>80</w:t>
                  </w:r>
                </w:p>
              </w:tc>
              <w:tc>
                <w:tcPr>
                  <w:tcW w:w="681" w:type="dxa"/>
                  <w:vAlign w:val="center"/>
                </w:tcPr>
                <w:p w14:paraId="60A45701">
                  <w:pPr>
                    <w:widowControl/>
                    <w:jc w:val="center"/>
                    <w:textAlignment w:val="center"/>
                    <w:rPr>
                      <w:rFonts w:hint="default" w:ascii="Times New Roman" w:hAnsi="Times New Roman" w:eastAsia="宋体"/>
                      <w:color w:val="auto"/>
                      <w:kern w:val="0"/>
                      <w:szCs w:val="21"/>
                      <w:highlight w:val="none"/>
                      <w:lang w:val="en-US" w:eastAsia="zh-CN" w:bidi="ar"/>
                    </w:rPr>
                  </w:pPr>
                  <w:r>
                    <w:rPr>
                      <w:rFonts w:hint="eastAsia" w:ascii="Times New Roman" w:hAnsi="Times New Roman" w:eastAsia="宋体"/>
                      <w:color w:val="auto"/>
                      <w:kern w:val="0"/>
                      <w:szCs w:val="21"/>
                      <w:highlight w:val="none"/>
                      <w:lang w:val="en-US" w:eastAsia="zh-CN" w:bidi="ar"/>
                    </w:rPr>
                    <w:t>230</w:t>
                  </w:r>
                </w:p>
              </w:tc>
              <w:tc>
                <w:tcPr>
                  <w:tcW w:w="693" w:type="dxa"/>
                  <w:vAlign w:val="center"/>
                </w:tcPr>
                <w:p w14:paraId="418F2FA6">
                  <w:pPr>
                    <w:widowControl/>
                    <w:jc w:val="center"/>
                    <w:textAlignment w:val="center"/>
                    <w:rPr>
                      <w:rFonts w:hint="default" w:ascii="Times New Roman" w:hAnsi="Times New Roman" w:eastAsia="宋体"/>
                      <w:color w:val="auto"/>
                      <w:kern w:val="0"/>
                      <w:szCs w:val="21"/>
                      <w:highlight w:val="none"/>
                      <w:lang w:val="en-US" w:eastAsia="zh-CN" w:bidi="ar"/>
                    </w:rPr>
                  </w:pPr>
                  <w:r>
                    <w:rPr>
                      <w:rFonts w:hint="eastAsia" w:ascii="Times New Roman" w:hAnsi="Times New Roman" w:eastAsia="宋体"/>
                      <w:color w:val="auto"/>
                      <w:kern w:val="0"/>
                      <w:szCs w:val="21"/>
                      <w:highlight w:val="none"/>
                      <w:lang w:val="en-US" w:eastAsia="zh-CN" w:bidi="ar"/>
                    </w:rPr>
                    <w:t>75</w:t>
                  </w:r>
                </w:p>
              </w:tc>
              <w:tc>
                <w:tcPr>
                  <w:tcW w:w="669" w:type="dxa"/>
                  <w:vAlign w:val="center"/>
                </w:tcPr>
                <w:p w14:paraId="3B7641C1">
                  <w:pPr>
                    <w:widowControl/>
                    <w:jc w:val="center"/>
                    <w:textAlignment w:val="center"/>
                    <w:rPr>
                      <w:rFonts w:hint="default" w:ascii="Times New Roman" w:hAnsi="Times New Roman" w:eastAsia="宋体"/>
                      <w:color w:val="auto"/>
                      <w:kern w:val="0"/>
                      <w:szCs w:val="21"/>
                      <w:highlight w:val="none"/>
                      <w:lang w:val="en-US" w:eastAsia="zh-CN" w:bidi="ar"/>
                    </w:rPr>
                  </w:pPr>
                  <w:r>
                    <w:rPr>
                      <w:rFonts w:hint="eastAsia" w:ascii="Times New Roman" w:hAnsi="Times New Roman" w:eastAsia="宋体"/>
                      <w:color w:val="auto"/>
                      <w:kern w:val="0"/>
                      <w:szCs w:val="21"/>
                      <w:highlight w:val="none"/>
                      <w:lang w:val="en-US" w:eastAsia="zh-CN" w:bidi="ar"/>
                    </w:rPr>
                    <w:t>1</w:t>
                  </w:r>
                </w:p>
              </w:tc>
              <w:tc>
                <w:tcPr>
                  <w:tcW w:w="1361" w:type="dxa"/>
                  <w:vAlign w:val="center"/>
                </w:tcPr>
                <w:p w14:paraId="10443EE5">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厂界北侧</w:t>
                  </w:r>
                  <w:r>
                    <w:rPr>
                      <w:rFonts w:hint="default" w:ascii="Times New Roman" w:hAnsi="Times New Roman" w:eastAsia="宋体" w:cs="Times New Roman"/>
                      <w:color w:val="auto"/>
                      <w:kern w:val="0"/>
                      <w:sz w:val="18"/>
                      <w:szCs w:val="18"/>
                      <w:highlight w:val="none"/>
                      <w:lang w:val="en-US" w:eastAsia="zh-CN" w:bidi="ar"/>
                    </w:rPr>
                    <w:t>：</w:t>
                  </w:r>
                  <w:r>
                    <w:rPr>
                      <w:rFonts w:hint="eastAsia" w:cs="Times New Roman"/>
                      <w:color w:val="auto"/>
                      <w:kern w:val="0"/>
                      <w:sz w:val="18"/>
                      <w:szCs w:val="18"/>
                      <w:highlight w:val="none"/>
                      <w:lang w:val="en-US" w:eastAsia="zh-CN" w:bidi="ar"/>
                    </w:rPr>
                    <w:t>93</w:t>
                  </w:r>
                </w:p>
                <w:p w14:paraId="58BEF539">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厂界东北侧</w:t>
                  </w:r>
                  <w:r>
                    <w:rPr>
                      <w:rFonts w:hint="default" w:ascii="Times New Roman" w:hAnsi="Times New Roman" w:eastAsia="宋体" w:cs="Times New Roman"/>
                      <w:color w:val="auto"/>
                      <w:kern w:val="0"/>
                      <w:sz w:val="18"/>
                      <w:szCs w:val="18"/>
                      <w:highlight w:val="none"/>
                      <w:lang w:val="en-US" w:eastAsia="zh-CN" w:bidi="ar"/>
                    </w:rPr>
                    <w:t>：</w:t>
                  </w:r>
                  <w:r>
                    <w:rPr>
                      <w:rFonts w:hint="eastAsia" w:cs="Times New Roman"/>
                      <w:color w:val="auto"/>
                      <w:kern w:val="0"/>
                      <w:sz w:val="18"/>
                      <w:szCs w:val="18"/>
                      <w:highlight w:val="none"/>
                      <w:lang w:val="en-US" w:eastAsia="zh-CN" w:bidi="ar"/>
                    </w:rPr>
                    <w:t>150</w:t>
                  </w:r>
                </w:p>
                <w:p w14:paraId="645F0F20">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厂界</w:t>
                  </w:r>
                  <w:r>
                    <w:rPr>
                      <w:rFonts w:hint="eastAsia" w:cs="Times New Roman"/>
                      <w:color w:val="auto"/>
                      <w:kern w:val="0"/>
                      <w:sz w:val="18"/>
                      <w:szCs w:val="18"/>
                      <w:highlight w:val="none"/>
                      <w:lang w:val="en-US" w:eastAsia="zh-CN" w:bidi="ar"/>
                    </w:rPr>
                    <w:t>东</w:t>
                  </w:r>
                  <w:r>
                    <w:rPr>
                      <w:rFonts w:hint="eastAsia" w:ascii="Times New Roman" w:hAnsi="Times New Roman" w:eastAsia="宋体" w:cs="Times New Roman"/>
                      <w:color w:val="auto"/>
                      <w:kern w:val="0"/>
                      <w:sz w:val="18"/>
                      <w:szCs w:val="18"/>
                      <w:highlight w:val="none"/>
                      <w:lang w:val="en-US" w:eastAsia="zh-CN" w:bidi="ar"/>
                    </w:rPr>
                    <w:t>侧</w:t>
                  </w:r>
                  <w:r>
                    <w:rPr>
                      <w:rFonts w:hint="default" w:ascii="Times New Roman" w:hAnsi="Times New Roman" w:eastAsia="宋体" w:cs="Times New Roman"/>
                      <w:color w:val="auto"/>
                      <w:kern w:val="0"/>
                      <w:sz w:val="18"/>
                      <w:szCs w:val="18"/>
                      <w:highlight w:val="none"/>
                      <w:lang w:val="en-US" w:eastAsia="zh-CN" w:bidi="ar"/>
                    </w:rPr>
                    <w:t>：</w:t>
                  </w:r>
                  <w:r>
                    <w:rPr>
                      <w:rFonts w:hint="eastAsia" w:cs="Times New Roman"/>
                      <w:color w:val="auto"/>
                      <w:kern w:val="0"/>
                      <w:sz w:val="18"/>
                      <w:szCs w:val="18"/>
                      <w:highlight w:val="none"/>
                      <w:lang w:val="en-US" w:eastAsia="zh-CN" w:bidi="ar"/>
                    </w:rPr>
                    <w:t>105</w:t>
                  </w:r>
                </w:p>
                <w:p w14:paraId="30C68BEE">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厂界东南侧</w:t>
                  </w:r>
                  <w:r>
                    <w:rPr>
                      <w:rFonts w:hint="default" w:ascii="Times New Roman" w:hAnsi="Times New Roman" w:eastAsia="宋体" w:cs="Times New Roman"/>
                      <w:color w:val="auto"/>
                      <w:kern w:val="0"/>
                      <w:sz w:val="18"/>
                      <w:szCs w:val="18"/>
                      <w:highlight w:val="none"/>
                      <w:lang w:val="en-US" w:eastAsia="zh-CN" w:bidi="ar"/>
                    </w:rPr>
                    <w:t>：</w:t>
                  </w:r>
                  <w:r>
                    <w:rPr>
                      <w:rFonts w:hint="eastAsia" w:cs="Times New Roman"/>
                      <w:color w:val="auto"/>
                      <w:kern w:val="0"/>
                      <w:sz w:val="18"/>
                      <w:szCs w:val="18"/>
                      <w:highlight w:val="none"/>
                      <w:lang w:val="en-US" w:eastAsia="zh-CN" w:bidi="ar"/>
                    </w:rPr>
                    <w:t>45</w:t>
                  </w:r>
                </w:p>
                <w:p w14:paraId="4D33108E">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厂界南侧</w:t>
                  </w:r>
                  <w:r>
                    <w:rPr>
                      <w:rFonts w:hint="default" w:ascii="Times New Roman" w:hAnsi="Times New Roman" w:eastAsia="宋体" w:cs="Times New Roman"/>
                      <w:color w:val="auto"/>
                      <w:kern w:val="0"/>
                      <w:sz w:val="18"/>
                      <w:szCs w:val="18"/>
                      <w:highlight w:val="none"/>
                      <w:lang w:val="en-US" w:eastAsia="zh-CN" w:bidi="ar"/>
                    </w:rPr>
                    <w:t>：</w:t>
                  </w:r>
                  <w:r>
                    <w:rPr>
                      <w:rFonts w:hint="eastAsia" w:ascii="Times New Roman" w:hAnsi="Times New Roman" w:eastAsia="宋体" w:cs="Times New Roman"/>
                      <w:color w:val="auto"/>
                      <w:kern w:val="0"/>
                      <w:sz w:val="18"/>
                      <w:szCs w:val="18"/>
                      <w:highlight w:val="none"/>
                      <w:lang w:val="en-US" w:eastAsia="zh-CN" w:bidi="ar"/>
                    </w:rPr>
                    <w:t>1</w:t>
                  </w:r>
                  <w:r>
                    <w:rPr>
                      <w:rFonts w:hint="eastAsia" w:cs="Times New Roman"/>
                      <w:color w:val="auto"/>
                      <w:kern w:val="0"/>
                      <w:sz w:val="18"/>
                      <w:szCs w:val="18"/>
                      <w:highlight w:val="none"/>
                      <w:lang w:val="en-US" w:eastAsia="zh-CN" w:bidi="ar"/>
                    </w:rPr>
                    <w:t>15</w:t>
                  </w:r>
                </w:p>
                <w:p w14:paraId="3BDCD196">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olor w:val="auto"/>
                      <w:kern w:val="0"/>
                      <w:szCs w:val="21"/>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厂界西北侧</w:t>
                  </w:r>
                  <w:r>
                    <w:rPr>
                      <w:rFonts w:hint="default" w:ascii="Times New Roman" w:hAnsi="Times New Roman" w:eastAsia="宋体" w:cs="Times New Roman"/>
                      <w:color w:val="auto"/>
                      <w:kern w:val="0"/>
                      <w:sz w:val="18"/>
                      <w:szCs w:val="18"/>
                      <w:highlight w:val="none"/>
                      <w:lang w:val="en-US" w:eastAsia="zh-CN" w:bidi="ar"/>
                    </w:rPr>
                    <w:t>：</w:t>
                  </w:r>
                  <w:r>
                    <w:rPr>
                      <w:rFonts w:hint="eastAsia" w:ascii="Times New Roman" w:hAnsi="Times New Roman" w:eastAsia="宋体" w:cs="Times New Roman"/>
                      <w:color w:val="auto"/>
                      <w:kern w:val="0"/>
                      <w:sz w:val="18"/>
                      <w:szCs w:val="18"/>
                      <w:highlight w:val="none"/>
                      <w:lang w:val="en-US" w:eastAsia="zh-CN" w:bidi="ar"/>
                    </w:rPr>
                    <w:t>1</w:t>
                  </w:r>
                  <w:r>
                    <w:rPr>
                      <w:rFonts w:hint="eastAsia" w:cs="Times New Roman"/>
                      <w:color w:val="auto"/>
                      <w:kern w:val="0"/>
                      <w:sz w:val="18"/>
                      <w:szCs w:val="18"/>
                      <w:highlight w:val="none"/>
                      <w:lang w:val="en-US" w:eastAsia="zh-CN" w:bidi="ar"/>
                    </w:rPr>
                    <w:t>53</w:t>
                  </w:r>
                </w:p>
              </w:tc>
              <w:tc>
                <w:tcPr>
                  <w:tcW w:w="1258" w:type="dxa"/>
                  <w:vAlign w:val="center"/>
                </w:tcPr>
                <w:p w14:paraId="56D7365C">
                  <w:pPr>
                    <w:jc w:val="center"/>
                    <w:rPr>
                      <w:rFonts w:hint="eastAsia" w:ascii="Times New Roman" w:hAnsi="Times New Roman" w:eastAsia="宋体"/>
                      <w:color w:val="auto"/>
                      <w:szCs w:val="21"/>
                      <w:highlight w:val="none"/>
                      <w:lang w:val="en-US" w:eastAsia="zh-CN"/>
                    </w:rPr>
                  </w:pPr>
                  <w:r>
                    <w:rPr>
                      <w:rFonts w:hint="eastAsia" w:ascii="Times New Roman" w:hAnsi="Times New Roman" w:eastAsia="宋体"/>
                      <w:color w:val="auto"/>
                      <w:szCs w:val="21"/>
                      <w:highlight w:val="none"/>
                      <w:lang w:val="en-US" w:eastAsia="zh-CN"/>
                    </w:rPr>
                    <w:t>8:</w:t>
                  </w:r>
                  <w:r>
                    <w:rPr>
                      <w:rFonts w:hint="eastAsia"/>
                      <w:color w:val="auto"/>
                      <w:szCs w:val="21"/>
                      <w:highlight w:val="none"/>
                      <w:lang w:val="en-US" w:eastAsia="zh-CN"/>
                    </w:rPr>
                    <w:t>0</w:t>
                  </w:r>
                  <w:r>
                    <w:rPr>
                      <w:rFonts w:hint="eastAsia" w:ascii="Times New Roman" w:hAnsi="Times New Roman" w:eastAsia="宋体"/>
                      <w:color w:val="auto"/>
                      <w:szCs w:val="21"/>
                      <w:highlight w:val="none"/>
                      <w:lang w:val="en-US" w:eastAsia="zh-CN"/>
                    </w:rPr>
                    <w:t>0~</w:t>
                  </w:r>
                  <w:r>
                    <w:rPr>
                      <w:rFonts w:hint="eastAsia"/>
                      <w:color w:val="auto"/>
                      <w:szCs w:val="21"/>
                      <w:highlight w:val="none"/>
                      <w:lang w:val="en-US" w:eastAsia="zh-CN"/>
                    </w:rPr>
                    <w:t>20</w:t>
                  </w:r>
                  <w:r>
                    <w:rPr>
                      <w:rFonts w:hint="eastAsia" w:ascii="Times New Roman" w:hAnsi="Times New Roman" w:eastAsia="宋体"/>
                      <w:color w:val="auto"/>
                      <w:szCs w:val="21"/>
                      <w:highlight w:val="none"/>
                      <w:lang w:val="en-US" w:eastAsia="zh-CN"/>
                    </w:rPr>
                    <w:t>:</w:t>
                  </w:r>
                  <w:r>
                    <w:rPr>
                      <w:rFonts w:hint="eastAsia"/>
                      <w:color w:val="auto"/>
                      <w:szCs w:val="21"/>
                      <w:highlight w:val="none"/>
                      <w:lang w:val="en-US" w:eastAsia="zh-CN"/>
                    </w:rPr>
                    <w:t>0</w:t>
                  </w:r>
                  <w:r>
                    <w:rPr>
                      <w:rFonts w:hint="eastAsia" w:ascii="Times New Roman" w:hAnsi="Times New Roman" w:eastAsia="宋体"/>
                      <w:color w:val="auto"/>
                      <w:szCs w:val="21"/>
                      <w:highlight w:val="none"/>
                      <w:lang w:val="en-US" w:eastAsia="zh-CN"/>
                    </w:rPr>
                    <w:t>0</w:t>
                  </w:r>
                </w:p>
              </w:tc>
              <w:tc>
                <w:tcPr>
                  <w:tcW w:w="1815" w:type="dxa"/>
                  <w:vAlign w:val="center"/>
                </w:tcPr>
                <w:p w14:paraId="6F723766">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厂界北侧</w:t>
                  </w:r>
                  <w:r>
                    <w:rPr>
                      <w:rFonts w:hint="default" w:ascii="Times New Roman" w:hAnsi="Times New Roman" w:cs="Times New Roman"/>
                      <w:color w:val="auto"/>
                      <w:kern w:val="0"/>
                      <w:sz w:val="21"/>
                      <w:szCs w:val="21"/>
                      <w:highlight w:val="none"/>
                      <w:lang w:val="en-US" w:eastAsia="zh-CN" w:bidi="ar"/>
                    </w:rPr>
                    <w:t>：</w:t>
                  </w:r>
                  <w:r>
                    <w:rPr>
                      <w:rFonts w:hint="default" w:ascii="Times New Roman" w:hAnsi="Times New Roman" w:eastAsia="宋体" w:cs="Times New Roman"/>
                      <w:color w:val="auto"/>
                      <w:kern w:val="0"/>
                      <w:sz w:val="21"/>
                      <w:szCs w:val="21"/>
                      <w:highlight w:val="none"/>
                      <w:lang w:val="en-US" w:eastAsia="zh-CN" w:bidi="ar"/>
                    </w:rPr>
                    <w:t>40.</w:t>
                  </w:r>
                  <w:r>
                    <w:rPr>
                      <w:rFonts w:hint="eastAsia" w:cs="Times New Roman"/>
                      <w:color w:val="auto"/>
                      <w:kern w:val="0"/>
                      <w:sz w:val="21"/>
                      <w:szCs w:val="21"/>
                      <w:highlight w:val="none"/>
                      <w:lang w:val="en-US" w:eastAsia="zh-CN" w:bidi="ar"/>
                    </w:rPr>
                    <w:t>6</w:t>
                  </w:r>
                </w:p>
                <w:p w14:paraId="632B0A9F">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厂界东北侧：</w:t>
                  </w:r>
                  <w:r>
                    <w:rPr>
                      <w:rFonts w:hint="default" w:ascii="Times New Roman" w:hAnsi="Times New Roman" w:eastAsia="宋体" w:cs="Times New Roman"/>
                      <w:color w:val="auto"/>
                      <w:sz w:val="21"/>
                      <w:szCs w:val="21"/>
                      <w:highlight w:val="none"/>
                      <w:lang w:val="en-US" w:eastAsia="zh-CN"/>
                    </w:rPr>
                    <w:t>3</w:t>
                  </w:r>
                  <w:r>
                    <w:rPr>
                      <w:rFonts w:hint="eastAsia" w:cs="Times New Roman"/>
                      <w:color w:val="auto"/>
                      <w:sz w:val="21"/>
                      <w:szCs w:val="21"/>
                      <w:highlight w:val="none"/>
                      <w:lang w:val="en-US" w:eastAsia="zh-CN"/>
                    </w:rPr>
                    <w:t>6</w:t>
                  </w:r>
                  <w:r>
                    <w:rPr>
                      <w:rFonts w:hint="default" w:ascii="Times New Roman" w:hAnsi="Times New Roman" w:eastAsia="宋体" w:cs="Times New Roman"/>
                      <w:color w:val="auto"/>
                      <w:sz w:val="21"/>
                      <w:szCs w:val="21"/>
                      <w:highlight w:val="none"/>
                      <w:lang w:val="en-US" w:eastAsia="zh-CN"/>
                    </w:rPr>
                    <w:t>.5</w:t>
                  </w:r>
                </w:p>
                <w:p w14:paraId="0A615A88">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厂界东侧：</w:t>
                  </w:r>
                  <w:r>
                    <w:rPr>
                      <w:rFonts w:hint="default" w:ascii="Times New Roman" w:hAnsi="Times New Roman" w:eastAsia="宋体" w:cs="Times New Roman"/>
                      <w:color w:val="auto"/>
                      <w:sz w:val="21"/>
                      <w:szCs w:val="21"/>
                      <w:highlight w:val="none"/>
                      <w:lang w:val="en-US" w:eastAsia="zh-CN"/>
                    </w:rPr>
                    <w:t>3</w:t>
                  </w:r>
                  <w:r>
                    <w:rPr>
                      <w:rFonts w:hint="eastAsia" w:cs="Times New Roman"/>
                      <w:color w:val="auto"/>
                      <w:sz w:val="21"/>
                      <w:szCs w:val="21"/>
                      <w:highlight w:val="none"/>
                      <w:lang w:val="en-US" w:eastAsia="zh-CN"/>
                    </w:rPr>
                    <w:t>9</w:t>
                  </w:r>
                  <w:r>
                    <w:rPr>
                      <w:rFonts w:hint="default" w:ascii="Times New Roman" w:hAnsi="Times New Roman" w:eastAsia="宋体" w:cs="Times New Roman"/>
                      <w:color w:val="auto"/>
                      <w:sz w:val="21"/>
                      <w:szCs w:val="21"/>
                      <w:highlight w:val="none"/>
                      <w:lang w:val="en-US" w:eastAsia="zh-CN"/>
                    </w:rPr>
                    <w:t>.6</w:t>
                  </w:r>
                </w:p>
                <w:p w14:paraId="2A580001">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厂界</w:t>
                  </w:r>
                  <w:r>
                    <w:rPr>
                      <w:rFonts w:hint="eastAsia" w:cs="Times New Roman"/>
                      <w:color w:val="auto"/>
                      <w:kern w:val="0"/>
                      <w:sz w:val="21"/>
                      <w:szCs w:val="21"/>
                      <w:highlight w:val="none"/>
                      <w:lang w:val="en-US" w:eastAsia="zh-CN" w:bidi="ar"/>
                    </w:rPr>
                    <w:t>东</w:t>
                  </w:r>
                  <w:r>
                    <w:rPr>
                      <w:rFonts w:hint="default" w:ascii="Times New Roman" w:hAnsi="Times New Roman" w:eastAsia="宋体" w:cs="Times New Roman"/>
                      <w:color w:val="auto"/>
                      <w:kern w:val="0"/>
                      <w:sz w:val="21"/>
                      <w:szCs w:val="21"/>
                      <w:highlight w:val="none"/>
                      <w:lang w:val="en-US" w:eastAsia="zh-CN" w:bidi="ar"/>
                    </w:rPr>
                    <w:t>南侧：</w:t>
                  </w:r>
                  <w:r>
                    <w:rPr>
                      <w:rFonts w:hint="default" w:ascii="Times New Roman" w:hAnsi="Times New Roman" w:eastAsia="宋体" w:cs="Times New Roman"/>
                      <w:color w:val="auto"/>
                      <w:sz w:val="21"/>
                      <w:szCs w:val="21"/>
                      <w:highlight w:val="none"/>
                      <w:lang w:val="en-US" w:eastAsia="zh-CN"/>
                    </w:rPr>
                    <w:t>4</w:t>
                  </w:r>
                  <w:r>
                    <w:rPr>
                      <w:rFonts w:hint="eastAsia" w:cs="Times New Roman"/>
                      <w:color w:val="auto"/>
                      <w:sz w:val="21"/>
                      <w:szCs w:val="21"/>
                      <w:highlight w:val="none"/>
                      <w:lang w:val="en-US" w:eastAsia="zh-CN"/>
                    </w:rPr>
                    <w:t>6.9</w:t>
                  </w:r>
                </w:p>
                <w:p w14:paraId="5123ACCC">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厂界南侧：</w:t>
                  </w:r>
                  <w:r>
                    <w:rPr>
                      <w:rFonts w:hint="default" w:ascii="Times New Roman" w:hAnsi="Times New Roman" w:eastAsia="宋体" w:cs="Times New Roman"/>
                      <w:color w:val="auto"/>
                      <w:sz w:val="21"/>
                      <w:szCs w:val="21"/>
                      <w:highlight w:val="none"/>
                      <w:lang w:val="en-US" w:eastAsia="zh-CN"/>
                    </w:rPr>
                    <w:t>38.</w:t>
                  </w:r>
                  <w:r>
                    <w:rPr>
                      <w:rFonts w:hint="eastAsia" w:cs="Times New Roman"/>
                      <w:color w:val="auto"/>
                      <w:sz w:val="21"/>
                      <w:szCs w:val="21"/>
                      <w:highlight w:val="none"/>
                      <w:lang w:val="en-US" w:eastAsia="zh-CN"/>
                    </w:rPr>
                    <w:t>8</w:t>
                  </w:r>
                </w:p>
                <w:p w14:paraId="3F52B76C">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厂界西北侧：</w:t>
                  </w:r>
                  <w:r>
                    <w:rPr>
                      <w:rFonts w:hint="default" w:ascii="Times New Roman" w:hAnsi="Times New Roman" w:eastAsia="宋体" w:cs="Times New Roman"/>
                      <w:color w:val="auto"/>
                      <w:sz w:val="21"/>
                      <w:szCs w:val="21"/>
                      <w:highlight w:val="none"/>
                      <w:lang w:val="en-US" w:eastAsia="zh-CN"/>
                    </w:rPr>
                    <w:t>36.</w:t>
                  </w:r>
                  <w:r>
                    <w:rPr>
                      <w:rFonts w:hint="eastAsia" w:cs="Times New Roman"/>
                      <w:color w:val="auto"/>
                      <w:sz w:val="21"/>
                      <w:szCs w:val="21"/>
                      <w:highlight w:val="none"/>
                      <w:lang w:val="en-US" w:eastAsia="zh-CN"/>
                    </w:rPr>
                    <w:t>3</w:t>
                  </w:r>
                </w:p>
              </w:tc>
              <w:tc>
                <w:tcPr>
                  <w:tcW w:w="1110" w:type="dxa"/>
                  <w:vAlign w:val="center"/>
                </w:tcPr>
                <w:p w14:paraId="5EE97CFA">
                  <w:pPr>
                    <w:jc w:val="center"/>
                    <w:rPr>
                      <w:rFonts w:hint="default" w:ascii="Times New Roman" w:hAnsi="Times New Roman" w:eastAsia="宋体"/>
                      <w:color w:val="auto"/>
                      <w:szCs w:val="21"/>
                      <w:highlight w:val="none"/>
                      <w:lang w:val="en-US" w:eastAsia="zh-CN"/>
                    </w:rPr>
                  </w:pPr>
                  <w:r>
                    <w:rPr>
                      <w:rFonts w:hint="eastAsia"/>
                      <w:color w:val="auto"/>
                      <w:szCs w:val="21"/>
                      <w:highlight w:val="none"/>
                      <w:lang w:val="en-US" w:eastAsia="zh-CN"/>
                    </w:rPr>
                    <w:t>1</w:t>
                  </w:r>
                </w:p>
              </w:tc>
            </w:tr>
            <w:tr w14:paraId="25F25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4" w:hRule="atLeast"/>
                <w:jc w:val="center"/>
              </w:trPr>
              <w:tc>
                <w:tcPr>
                  <w:tcW w:w="644" w:type="dxa"/>
                  <w:vAlign w:val="center"/>
                </w:tcPr>
                <w:p w14:paraId="54DDB17A">
                  <w:pPr>
                    <w:jc w:val="center"/>
                    <w:textAlignment w:val="baseline"/>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4</w:t>
                  </w:r>
                </w:p>
              </w:tc>
              <w:tc>
                <w:tcPr>
                  <w:tcW w:w="1024" w:type="dxa"/>
                  <w:vAlign w:val="center"/>
                </w:tcPr>
                <w:p w14:paraId="696FE910">
                  <w:pPr>
                    <w:jc w:val="center"/>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打磨废气风机</w:t>
                  </w:r>
                </w:p>
              </w:tc>
              <w:tc>
                <w:tcPr>
                  <w:tcW w:w="1062" w:type="dxa"/>
                  <w:vAlign w:val="center"/>
                </w:tcPr>
                <w:p w14:paraId="344E237D">
                  <w:pPr>
                    <w:jc w:val="center"/>
                    <w:rPr>
                      <w:rFonts w:hint="eastAsia" w:ascii="Times New Roman" w:hAnsi="Times New Roman" w:eastAsia="宋体"/>
                      <w:color w:val="auto"/>
                      <w:szCs w:val="21"/>
                      <w:highlight w:val="none"/>
                      <w:lang w:eastAsia="zh-CN"/>
                    </w:rPr>
                  </w:pPr>
                  <w:r>
                    <w:rPr>
                      <w:rFonts w:hint="eastAsia" w:ascii="Times New Roman" w:hAnsi="Times New Roman" w:eastAsia="宋体"/>
                      <w:color w:val="auto"/>
                      <w:szCs w:val="21"/>
                      <w:highlight w:val="none"/>
                      <w:lang w:eastAsia="zh-CN"/>
                    </w:rPr>
                    <w:t>类比法</w:t>
                  </w:r>
                </w:p>
              </w:tc>
              <w:tc>
                <w:tcPr>
                  <w:tcW w:w="1696" w:type="dxa"/>
                  <w:vAlign w:val="center"/>
                </w:tcPr>
                <w:p w14:paraId="50BF4EE0">
                  <w:pPr>
                    <w:adjustRightInd w:val="0"/>
                    <w:snapToGrid w:val="0"/>
                    <w:jc w:val="center"/>
                    <w:rPr>
                      <w:rFonts w:hint="eastAsia" w:ascii="Times New Roman" w:hAnsi="Times New Roman" w:eastAsia="宋体"/>
                      <w:color w:val="auto"/>
                      <w:szCs w:val="21"/>
                      <w:highlight w:val="none"/>
                      <w:lang w:val="en-US" w:eastAsia="zh-CN"/>
                    </w:rPr>
                  </w:pPr>
                  <w:r>
                    <w:rPr>
                      <w:rFonts w:hint="eastAsia" w:ascii="Times New Roman" w:hAnsi="Times New Roman" w:eastAsia="宋体"/>
                      <w:color w:val="auto"/>
                      <w:szCs w:val="21"/>
                      <w:highlight w:val="none"/>
                      <w:lang w:val="en-US" w:eastAsia="zh-CN"/>
                    </w:rPr>
                    <w:t>85/1</w:t>
                  </w:r>
                </w:p>
              </w:tc>
              <w:tc>
                <w:tcPr>
                  <w:tcW w:w="1061" w:type="dxa"/>
                  <w:vAlign w:val="center"/>
                </w:tcPr>
                <w:p w14:paraId="010CDDFB">
                  <w:pPr>
                    <w:jc w:val="center"/>
                    <w:rPr>
                      <w:rFonts w:hint="eastAsia" w:ascii="Times New Roman" w:hAnsi="Times New Roman" w:eastAsia="宋体"/>
                      <w:color w:val="auto"/>
                      <w:szCs w:val="21"/>
                      <w:highlight w:val="none"/>
                      <w:lang w:val="en-US" w:eastAsia="zh-CN"/>
                    </w:rPr>
                  </w:pPr>
                  <w:r>
                    <w:rPr>
                      <w:rFonts w:hint="eastAsia" w:ascii="Times New Roman" w:hAnsi="Times New Roman" w:eastAsia="宋体"/>
                      <w:color w:val="auto"/>
                      <w:szCs w:val="21"/>
                      <w:highlight w:val="none"/>
                      <w:lang w:val="en-US" w:eastAsia="zh-CN"/>
                    </w:rPr>
                    <w:t>设备减震，距离衰减</w:t>
                  </w:r>
                </w:p>
              </w:tc>
              <w:tc>
                <w:tcPr>
                  <w:tcW w:w="1119" w:type="dxa"/>
                  <w:vAlign w:val="center"/>
                </w:tcPr>
                <w:p w14:paraId="1FB361AA">
                  <w:pPr>
                    <w:jc w:val="center"/>
                    <w:rPr>
                      <w:rFonts w:hint="default" w:ascii="Times New Roman" w:hAnsi="Times New Roman" w:eastAsia="宋体"/>
                      <w:color w:val="auto"/>
                      <w:szCs w:val="21"/>
                      <w:highlight w:val="none"/>
                      <w:lang w:val="en-US" w:eastAsia="zh-CN"/>
                    </w:rPr>
                  </w:pPr>
                  <w:r>
                    <w:rPr>
                      <w:rFonts w:hint="eastAsia" w:ascii="Times New Roman" w:hAnsi="Times New Roman" w:eastAsia="宋体"/>
                      <w:color w:val="auto"/>
                      <w:szCs w:val="21"/>
                      <w:highlight w:val="none"/>
                      <w:lang w:val="en-US" w:eastAsia="zh-CN"/>
                    </w:rPr>
                    <w:t>80</w:t>
                  </w:r>
                </w:p>
              </w:tc>
              <w:tc>
                <w:tcPr>
                  <w:tcW w:w="681" w:type="dxa"/>
                  <w:vAlign w:val="center"/>
                </w:tcPr>
                <w:p w14:paraId="331840AD">
                  <w:pPr>
                    <w:widowControl/>
                    <w:jc w:val="center"/>
                    <w:textAlignment w:val="center"/>
                    <w:rPr>
                      <w:rFonts w:hint="default" w:ascii="Times New Roman" w:hAnsi="Times New Roman" w:eastAsia="宋体"/>
                      <w:color w:val="auto"/>
                      <w:kern w:val="0"/>
                      <w:szCs w:val="21"/>
                      <w:highlight w:val="none"/>
                      <w:lang w:val="en-US" w:eastAsia="zh-CN" w:bidi="ar"/>
                    </w:rPr>
                  </w:pPr>
                  <w:r>
                    <w:rPr>
                      <w:rFonts w:hint="eastAsia" w:ascii="Times New Roman" w:hAnsi="Times New Roman" w:eastAsia="宋体"/>
                      <w:color w:val="auto"/>
                      <w:kern w:val="0"/>
                      <w:szCs w:val="21"/>
                      <w:highlight w:val="none"/>
                      <w:lang w:val="en-US" w:eastAsia="zh-CN" w:bidi="ar"/>
                    </w:rPr>
                    <w:t>234</w:t>
                  </w:r>
                </w:p>
              </w:tc>
              <w:tc>
                <w:tcPr>
                  <w:tcW w:w="693" w:type="dxa"/>
                  <w:vAlign w:val="center"/>
                </w:tcPr>
                <w:p w14:paraId="4F0C040E">
                  <w:pPr>
                    <w:widowControl/>
                    <w:jc w:val="center"/>
                    <w:textAlignment w:val="center"/>
                    <w:rPr>
                      <w:rFonts w:hint="default" w:ascii="Times New Roman" w:hAnsi="Times New Roman" w:eastAsia="宋体"/>
                      <w:color w:val="auto"/>
                      <w:kern w:val="0"/>
                      <w:szCs w:val="21"/>
                      <w:highlight w:val="none"/>
                      <w:lang w:val="en-US" w:eastAsia="zh-CN" w:bidi="ar"/>
                    </w:rPr>
                  </w:pPr>
                  <w:r>
                    <w:rPr>
                      <w:rFonts w:hint="eastAsia" w:ascii="Times New Roman" w:hAnsi="Times New Roman" w:eastAsia="宋体"/>
                      <w:color w:val="auto"/>
                      <w:kern w:val="0"/>
                      <w:szCs w:val="21"/>
                      <w:highlight w:val="none"/>
                      <w:lang w:val="en-US" w:eastAsia="zh-CN" w:bidi="ar"/>
                    </w:rPr>
                    <w:t>71</w:t>
                  </w:r>
                </w:p>
              </w:tc>
              <w:tc>
                <w:tcPr>
                  <w:tcW w:w="669" w:type="dxa"/>
                  <w:vAlign w:val="center"/>
                </w:tcPr>
                <w:p w14:paraId="506FCC0B">
                  <w:pPr>
                    <w:widowControl/>
                    <w:jc w:val="center"/>
                    <w:textAlignment w:val="center"/>
                    <w:rPr>
                      <w:rFonts w:hint="eastAsia" w:ascii="Times New Roman" w:hAnsi="Times New Roman" w:eastAsia="宋体"/>
                      <w:color w:val="auto"/>
                      <w:kern w:val="0"/>
                      <w:szCs w:val="21"/>
                      <w:highlight w:val="none"/>
                      <w:lang w:val="en-US" w:eastAsia="zh-CN" w:bidi="ar"/>
                    </w:rPr>
                  </w:pPr>
                  <w:r>
                    <w:rPr>
                      <w:rFonts w:hint="eastAsia" w:ascii="Times New Roman" w:hAnsi="Times New Roman" w:eastAsia="宋体"/>
                      <w:color w:val="auto"/>
                      <w:kern w:val="0"/>
                      <w:szCs w:val="21"/>
                      <w:highlight w:val="none"/>
                      <w:lang w:val="en-US" w:eastAsia="zh-CN" w:bidi="ar"/>
                    </w:rPr>
                    <w:t>1</w:t>
                  </w:r>
                </w:p>
              </w:tc>
              <w:tc>
                <w:tcPr>
                  <w:tcW w:w="1361" w:type="dxa"/>
                  <w:vAlign w:val="center"/>
                </w:tcPr>
                <w:p w14:paraId="1486A5DD">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厂界北侧</w:t>
                  </w:r>
                  <w:r>
                    <w:rPr>
                      <w:rFonts w:hint="default" w:ascii="Times New Roman" w:hAnsi="Times New Roman" w:eastAsia="宋体" w:cs="Times New Roman"/>
                      <w:color w:val="auto"/>
                      <w:kern w:val="0"/>
                      <w:sz w:val="18"/>
                      <w:szCs w:val="18"/>
                      <w:highlight w:val="none"/>
                      <w:lang w:val="en-US" w:eastAsia="zh-CN" w:bidi="ar"/>
                    </w:rPr>
                    <w:t>：</w:t>
                  </w:r>
                  <w:r>
                    <w:rPr>
                      <w:rFonts w:hint="eastAsia" w:cs="Times New Roman"/>
                      <w:color w:val="auto"/>
                      <w:kern w:val="0"/>
                      <w:sz w:val="18"/>
                      <w:szCs w:val="18"/>
                      <w:highlight w:val="none"/>
                      <w:lang w:val="en-US" w:eastAsia="zh-CN" w:bidi="ar"/>
                    </w:rPr>
                    <w:t>100</w:t>
                  </w:r>
                </w:p>
                <w:p w14:paraId="378A63D4">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厂界东北侧</w:t>
                  </w:r>
                  <w:r>
                    <w:rPr>
                      <w:rFonts w:hint="default" w:ascii="Times New Roman" w:hAnsi="Times New Roman" w:eastAsia="宋体" w:cs="Times New Roman"/>
                      <w:color w:val="auto"/>
                      <w:kern w:val="0"/>
                      <w:sz w:val="18"/>
                      <w:szCs w:val="18"/>
                      <w:highlight w:val="none"/>
                      <w:lang w:val="en-US" w:eastAsia="zh-CN" w:bidi="ar"/>
                    </w:rPr>
                    <w:t>：</w:t>
                  </w:r>
                  <w:r>
                    <w:rPr>
                      <w:rFonts w:hint="eastAsia" w:ascii="Times New Roman" w:hAnsi="Times New Roman" w:eastAsia="宋体" w:cs="Times New Roman"/>
                      <w:color w:val="auto"/>
                      <w:kern w:val="0"/>
                      <w:sz w:val="18"/>
                      <w:szCs w:val="18"/>
                      <w:highlight w:val="none"/>
                      <w:lang w:val="en-US" w:eastAsia="zh-CN" w:bidi="ar"/>
                    </w:rPr>
                    <w:t>1</w:t>
                  </w:r>
                  <w:r>
                    <w:rPr>
                      <w:rFonts w:hint="eastAsia" w:cs="Times New Roman"/>
                      <w:color w:val="auto"/>
                      <w:kern w:val="0"/>
                      <w:sz w:val="18"/>
                      <w:szCs w:val="18"/>
                      <w:highlight w:val="none"/>
                      <w:lang w:val="en-US" w:eastAsia="zh-CN" w:bidi="ar"/>
                    </w:rPr>
                    <w:t>50</w:t>
                  </w:r>
                </w:p>
                <w:p w14:paraId="07838F45">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厂界东侧</w:t>
                  </w:r>
                  <w:r>
                    <w:rPr>
                      <w:rFonts w:hint="default" w:ascii="Times New Roman" w:hAnsi="Times New Roman" w:eastAsia="宋体" w:cs="Times New Roman"/>
                      <w:color w:val="auto"/>
                      <w:kern w:val="0"/>
                      <w:sz w:val="18"/>
                      <w:szCs w:val="18"/>
                      <w:highlight w:val="none"/>
                      <w:lang w:val="en-US" w:eastAsia="zh-CN" w:bidi="ar"/>
                    </w:rPr>
                    <w:t>：</w:t>
                  </w:r>
                  <w:r>
                    <w:rPr>
                      <w:rFonts w:hint="eastAsia" w:cs="Times New Roman"/>
                      <w:color w:val="auto"/>
                      <w:kern w:val="0"/>
                      <w:sz w:val="18"/>
                      <w:szCs w:val="18"/>
                      <w:highlight w:val="none"/>
                      <w:lang w:val="en-US" w:eastAsia="zh-CN" w:bidi="ar"/>
                    </w:rPr>
                    <w:t>98</w:t>
                  </w:r>
                </w:p>
                <w:p w14:paraId="286DFCB0">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厂界</w:t>
                  </w:r>
                  <w:r>
                    <w:rPr>
                      <w:rFonts w:hint="eastAsia" w:cs="Times New Roman"/>
                      <w:color w:val="auto"/>
                      <w:kern w:val="0"/>
                      <w:sz w:val="18"/>
                      <w:szCs w:val="18"/>
                      <w:highlight w:val="none"/>
                      <w:lang w:val="en-US" w:eastAsia="zh-CN" w:bidi="ar"/>
                    </w:rPr>
                    <w:t>东</w:t>
                  </w:r>
                  <w:r>
                    <w:rPr>
                      <w:rFonts w:hint="eastAsia" w:ascii="Times New Roman" w:hAnsi="Times New Roman" w:eastAsia="宋体" w:cs="Times New Roman"/>
                      <w:color w:val="auto"/>
                      <w:kern w:val="0"/>
                      <w:sz w:val="18"/>
                      <w:szCs w:val="18"/>
                      <w:highlight w:val="none"/>
                      <w:lang w:val="en-US" w:eastAsia="zh-CN" w:bidi="ar"/>
                    </w:rPr>
                    <w:t>南侧</w:t>
                  </w:r>
                  <w:r>
                    <w:rPr>
                      <w:rFonts w:hint="default" w:ascii="Times New Roman" w:hAnsi="Times New Roman" w:eastAsia="宋体" w:cs="Times New Roman"/>
                      <w:color w:val="auto"/>
                      <w:kern w:val="0"/>
                      <w:sz w:val="18"/>
                      <w:szCs w:val="18"/>
                      <w:highlight w:val="none"/>
                      <w:lang w:val="en-US" w:eastAsia="zh-CN" w:bidi="ar"/>
                    </w:rPr>
                    <w:t>：</w:t>
                  </w:r>
                  <w:r>
                    <w:rPr>
                      <w:rFonts w:hint="eastAsia" w:cs="Times New Roman"/>
                      <w:color w:val="auto"/>
                      <w:kern w:val="0"/>
                      <w:sz w:val="18"/>
                      <w:szCs w:val="18"/>
                      <w:highlight w:val="none"/>
                      <w:lang w:val="en-US" w:eastAsia="zh-CN" w:bidi="ar"/>
                    </w:rPr>
                    <w:t>40</w:t>
                  </w:r>
                </w:p>
                <w:p w14:paraId="4D880D5F">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厂界南侧</w:t>
                  </w:r>
                  <w:r>
                    <w:rPr>
                      <w:rFonts w:hint="default" w:ascii="Times New Roman" w:hAnsi="Times New Roman" w:eastAsia="宋体" w:cs="Times New Roman"/>
                      <w:color w:val="auto"/>
                      <w:kern w:val="0"/>
                      <w:sz w:val="18"/>
                      <w:szCs w:val="18"/>
                      <w:highlight w:val="none"/>
                      <w:lang w:val="en-US" w:eastAsia="zh-CN" w:bidi="ar"/>
                    </w:rPr>
                    <w:t>：</w:t>
                  </w:r>
                  <w:r>
                    <w:rPr>
                      <w:rFonts w:hint="eastAsia" w:ascii="Times New Roman" w:hAnsi="Times New Roman" w:eastAsia="宋体" w:cs="Times New Roman"/>
                      <w:color w:val="auto"/>
                      <w:kern w:val="0"/>
                      <w:sz w:val="18"/>
                      <w:szCs w:val="18"/>
                      <w:highlight w:val="none"/>
                      <w:lang w:val="en-US" w:eastAsia="zh-CN" w:bidi="ar"/>
                    </w:rPr>
                    <w:t>114</w:t>
                  </w:r>
                </w:p>
                <w:p w14:paraId="7636B20F">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olor w:val="auto"/>
                      <w:kern w:val="0"/>
                      <w:szCs w:val="21"/>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厂界西北侧</w:t>
                  </w:r>
                  <w:r>
                    <w:rPr>
                      <w:rFonts w:hint="default" w:ascii="Times New Roman" w:hAnsi="Times New Roman" w:eastAsia="宋体" w:cs="Times New Roman"/>
                      <w:color w:val="auto"/>
                      <w:kern w:val="0"/>
                      <w:sz w:val="18"/>
                      <w:szCs w:val="18"/>
                      <w:highlight w:val="none"/>
                      <w:lang w:val="en-US" w:eastAsia="zh-CN" w:bidi="ar"/>
                    </w:rPr>
                    <w:t>：</w:t>
                  </w:r>
                  <w:r>
                    <w:rPr>
                      <w:rFonts w:hint="eastAsia" w:ascii="Times New Roman" w:hAnsi="Times New Roman" w:eastAsia="宋体" w:cs="Times New Roman"/>
                      <w:color w:val="auto"/>
                      <w:kern w:val="0"/>
                      <w:sz w:val="18"/>
                      <w:szCs w:val="18"/>
                      <w:highlight w:val="none"/>
                      <w:lang w:val="en-US" w:eastAsia="zh-CN" w:bidi="ar"/>
                    </w:rPr>
                    <w:t>16</w:t>
                  </w:r>
                  <w:r>
                    <w:rPr>
                      <w:rFonts w:hint="eastAsia" w:cs="Times New Roman"/>
                      <w:color w:val="auto"/>
                      <w:kern w:val="0"/>
                      <w:sz w:val="18"/>
                      <w:szCs w:val="18"/>
                      <w:highlight w:val="none"/>
                      <w:lang w:val="en-US" w:eastAsia="zh-CN" w:bidi="ar"/>
                    </w:rPr>
                    <w:t>1</w:t>
                  </w:r>
                </w:p>
              </w:tc>
              <w:tc>
                <w:tcPr>
                  <w:tcW w:w="1258" w:type="dxa"/>
                  <w:vAlign w:val="center"/>
                </w:tcPr>
                <w:p w14:paraId="514E6E13">
                  <w:pPr>
                    <w:jc w:val="center"/>
                    <w:rPr>
                      <w:rFonts w:hint="eastAsia" w:ascii="Times New Roman" w:hAnsi="Times New Roman" w:eastAsia="宋体"/>
                      <w:color w:val="auto"/>
                      <w:szCs w:val="21"/>
                      <w:highlight w:val="none"/>
                      <w:lang w:val="en-US" w:eastAsia="zh-CN"/>
                    </w:rPr>
                  </w:pPr>
                  <w:r>
                    <w:rPr>
                      <w:rFonts w:hint="eastAsia" w:ascii="Times New Roman" w:hAnsi="Times New Roman" w:eastAsia="宋体"/>
                      <w:color w:val="auto"/>
                      <w:szCs w:val="21"/>
                      <w:highlight w:val="none"/>
                      <w:lang w:val="en-US" w:eastAsia="zh-CN"/>
                    </w:rPr>
                    <w:t>8:</w:t>
                  </w:r>
                  <w:r>
                    <w:rPr>
                      <w:rFonts w:hint="eastAsia"/>
                      <w:color w:val="auto"/>
                      <w:szCs w:val="21"/>
                      <w:highlight w:val="none"/>
                      <w:lang w:val="en-US" w:eastAsia="zh-CN"/>
                    </w:rPr>
                    <w:t>0</w:t>
                  </w:r>
                  <w:r>
                    <w:rPr>
                      <w:rFonts w:hint="eastAsia" w:ascii="Times New Roman" w:hAnsi="Times New Roman" w:eastAsia="宋体"/>
                      <w:color w:val="auto"/>
                      <w:szCs w:val="21"/>
                      <w:highlight w:val="none"/>
                      <w:lang w:val="en-US" w:eastAsia="zh-CN"/>
                    </w:rPr>
                    <w:t>0~</w:t>
                  </w:r>
                  <w:r>
                    <w:rPr>
                      <w:rFonts w:hint="eastAsia"/>
                      <w:color w:val="auto"/>
                      <w:szCs w:val="21"/>
                      <w:highlight w:val="none"/>
                      <w:lang w:val="en-US" w:eastAsia="zh-CN"/>
                    </w:rPr>
                    <w:t>20</w:t>
                  </w:r>
                  <w:r>
                    <w:rPr>
                      <w:rFonts w:hint="eastAsia" w:ascii="Times New Roman" w:hAnsi="Times New Roman" w:eastAsia="宋体"/>
                      <w:color w:val="auto"/>
                      <w:szCs w:val="21"/>
                      <w:highlight w:val="none"/>
                      <w:lang w:val="en-US" w:eastAsia="zh-CN"/>
                    </w:rPr>
                    <w:t>:</w:t>
                  </w:r>
                  <w:r>
                    <w:rPr>
                      <w:rFonts w:hint="eastAsia"/>
                      <w:color w:val="auto"/>
                      <w:szCs w:val="21"/>
                      <w:highlight w:val="none"/>
                      <w:lang w:val="en-US" w:eastAsia="zh-CN"/>
                    </w:rPr>
                    <w:t>0</w:t>
                  </w:r>
                  <w:r>
                    <w:rPr>
                      <w:rFonts w:hint="eastAsia" w:ascii="Times New Roman" w:hAnsi="Times New Roman" w:eastAsia="宋体"/>
                      <w:color w:val="auto"/>
                      <w:szCs w:val="21"/>
                      <w:highlight w:val="none"/>
                      <w:lang w:val="en-US" w:eastAsia="zh-CN"/>
                    </w:rPr>
                    <w:t>0</w:t>
                  </w:r>
                </w:p>
              </w:tc>
              <w:tc>
                <w:tcPr>
                  <w:tcW w:w="1815" w:type="dxa"/>
                  <w:vAlign w:val="center"/>
                </w:tcPr>
                <w:p w14:paraId="2D27782A">
                  <w:pPr>
                    <w:jc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厂界北侧：</w:t>
                  </w:r>
                  <w:r>
                    <w:rPr>
                      <w:rFonts w:hint="eastAsia" w:cs="Times New Roman"/>
                      <w:color w:val="auto"/>
                      <w:sz w:val="21"/>
                      <w:szCs w:val="21"/>
                      <w:highlight w:val="none"/>
                      <w:lang w:val="en-US" w:eastAsia="zh-CN"/>
                    </w:rPr>
                    <w:t>40.0</w:t>
                  </w:r>
                </w:p>
                <w:p w14:paraId="357AE287">
                  <w:pPr>
                    <w:jc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厂界东北侧：</w:t>
                  </w:r>
                  <w:r>
                    <w:rPr>
                      <w:rFonts w:hint="eastAsia" w:cs="Times New Roman"/>
                      <w:color w:val="auto"/>
                      <w:sz w:val="21"/>
                      <w:szCs w:val="21"/>
                      <w:highlight w:val="none"/>
                      <w:lang w:val="en-US" w:eastAsia="zh-CN"/>
                    </w:rPr>
                    <w:t>36.5</w:t>
                  </w:r>
                </w:p>
                <w:p w14:paraId="5D3C4571">
                  <w:pPr>
                    <w:jc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厂界东侧：</w:t>
                  </w:r>
                  <w:r>
                    <w:rPr>
                      <w:rFonts w:hint="eastAsia" w:cs="Times New Roman"/>
                      <w:color w:val="auto"/>
                      <w:sz w:val="21"/>
                      <w:szCs w:val="21"/>
                      <w:highlight w:val="none"/>
                      <w:lang w:val="en-US" w:eastAsia="zh-CN"/>
                    </w:rPr>
                    <w:t>40.2</w:t>
                  </w:r>
                </w:p>
                <w:p w14:paraId="77329EE0">
                  <w:pPr>
                    <w:jc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厂界</w:t>
                  </w:r>
                  <w:r>
                    <w:rPr>
                      <w:rFonts w:hint="eastAsia" w:cs="Times New Roman"/>
                      <w:color w:val="auto"/>
                      <w:kern w:val="0"/>
                      <w:sz w:val="21"/>
                      <w:szCs w:val="21"/>
                      <w:highlight w:val="none"/>
                      <w:lang w:val="en-US" w:eastAsia="zh-CN" w:bidi="ar"/>
                    </w:rPr>
                    <w:t>东</w:t>
                  </w:r>
                  <w:r>
                    <w:rPr>
                      <w:rFonts w:hint="default" w:ascii="Times New Roman" w:hAnsi="Times New Roman" w:eastAsia="宋体" w:cs="Times New Roman"/>
                      <w:color w:val="auto"/>
                      <w:kern w:val="0"/>
                      <w:sz w:val="21"/>
                      <w:szCs w:val="21"/>
                      <w:highlight w:val="none"/>
                      <w:lang w:val="en-US" w:eastAsia="zh-CN" w:bidi="ar"/>
                    </w:rPr>
                    <w:t>南侧：</w:t>
                  </w:r>
                  <w:r>
                    <w:rPr>
                      <w:rFonts w:hint="default" w:ascii="Times New Roman" w:hAnsi="Times New Roman" w:eastAsia="宋体" w:cs="Times New Roman"/>
                      <w:color w:val="auto"/>
                      <w:sz w:val="21"/>
                      <w:szCs w:val="21"/>
                      <w:highlight w:val="none"/>
                      <w:lang w:val="en-US" w:eastAsia="zh-CN"/>
                    </w:rPr>
                    <w:t>48.0</w:t>
                  </w:r>
                </w:p>
                <w:p w14:paraId="37A363F4">
                  <w:pPr>
                    <w:jc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厂界南侧：</w:t>
                  </w:r>
                  <w:r>
                    <w:rPr>
                      <w:rFonts w:hint="default" w:ascii="Times New Roman" w:hAnsi="Times New Roman" w:eastAsia="宋体" w:cs="Times New Roman"/>
                      <w:color w:val="auto"/>
                      <w:sz w:val="21"/>
                      <w:szCs w:val="21"/>
                      <w:highlight w:val="none"/>
                      <w:lang w:val="en-US" w:eastAsia="zh-CN"/>
                    </w:rPr>
                    <w:t>38.</w:t>
                  </w:r>
                  <w:r>
                    <w:rPr>
                      <w:rFonts w:hint="eastAsia" w:cs="Times New Roman"/>
                      <w:color w:val="auto"/>
                      <w:sz w:val="21"/>
                      <w:szCs w:val="21"/>
                      <w:highlight w:val="none"/>
                      <w:lang w:val="en-US" w:eastAsia="zh-CN"/>
                    </w:rPr>
                    <w:t>9</w:t>
                  </w:r>
                </w:p>
                <w:p w14:paraId="3F00E8A6">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厂界西北侧：</w:t>
                  </w:r>
                  <w:r>
                    <w:rPr>
                      <w:rFonts w:hint="default" w:ascii="Times New Roman" w:hAnsi="Times New Roman" w:eastAsia="宋体" w:cs="Times New Roman"/>
                      <w:color w:val="auto"/>
                      <w:sz w:val="21"/>
                      <w:szCs w:val="21"/>
                      <w:highlight w:val="none"/>
                      <w:lang w:val="en-US" w:eastAsia="zh-CN"/>
                    </w:rPr>
                    <w:t>35.</w:t>
                  </w:r>
                  <w:r>
                    <w:rPr>
                      <w:rFonts w:hint="eastAsia" w:cs="Times New Roman"/>
                      <w:color w:val="auto"/>
                      <w:sz w:val="21"/>
                      <w:szCs w:val="21"/>
                      <w:highlight w:val="none"/>
                      <w:lang w:val="en-US" w:eastAsia="zh-CN"/>
                    </w:rPr>
                    <w:t>9</w:t>
                  </w:r>
                </w:p>
              </w:tc>
              <w:tc>
                <w:tcPr>
                  <w:tcW w:w="1110" w:type="dxa"/>
                  <w:vAlign w:val="center"/>
                </w:tcPr>
                <w:p w14:paraId="3BCBBE5C">
                  <w:pPr>
                    <w:jc w:val="center"/>
                    <w:rPr>
                      <w:rFonts w:hint="default" w:ascii="Times New Roman" w:hAnsi="Times New Roman" w:eastAsia="宋体"/>
                      <w:color w:val="auto"/>
                      <w:szCs w:val="21"/>
                      <w:highlight w:val="none"/>
                      <w:lang w:val="en-US" w:eastAsia="zh-CN"/>
                    </w:rPr>
                  </w:pPr>
                  <w:r>
                    <w:rPr>
                      <w:rFonts w:hint="eastAsia"/>
                      <w:color w:val="auto"/>
                      <w:szCs w:val="21"/>
                      <w:highlight w:val="none"/>
                      <w:lang w:val="en-US" w:eastAsia="zh-CN"/>
                    </w:rPr>
                    <w:t>1</w:t>
                  </w:r>
                </w:p>
              </w:tc>
            </w:tr>
          </w:tbl>
          <w:p w14:paraId="37D1E931">
            <w:pPr>
              <w:spacing w:before="120" w:beforeLines="50" w:line="360" w:lineRule="auto"/>
              <w:rPr>
                <w:rFonts w:ascii="Times New Roman" w:hAnsi="Times New Roman" w:eastAsia="宋体"/>
                <w:color w:val="auto"/>
              </w:rPr>
            </w:pPr>
          </w:p>
        </w:tc>
      </w:tr>
    </w:tbl>
    <w:p w14:paraId="34F5D6C5">
      <w:pPr>
        <w:adjustRightInd w:val="0"/>
        <w:snapToGrid w:val="0"/>
        <w:spacing w:line="360" w:lineRule="auto"/>
        <w:jc w:val="center"/>
        <w:rPr>
          <w:rFonts w:ascii="宋体" w:cs="宋体"/>
          <w:b/>
          <w:color w:val="auto"/>
          <w:kern w:val="0"/>
          <w:sz w:val="28"/>
          <w:szCs w:val="28"/>
        </w:rPr>
        <w:sectPr>
          <w:pgSz w:w="16840" w:h="11907" w:orient="landscape"/>
          <w:pgMar w:top="1134" w:right="1531" w:bottom="1134" w:left="1531"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31"/>
        <w:tblW w:w="898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67"/>
        <w:gridCol w:w="8314"/>
      </w:tblGrid>
      <w:tr w14:paraId="3D7C28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48" w:hRule="atLeast"/>
          <w:jc w:val="center"/>
        </w:trPr>
        <w:tc>
          <w:tcPr>
            <w:tcW w:w="667" w:type="dxa"/>
            <w:tcMar>
              <w:left w:w="28" w:type="dxa"/>
              <w:right w:w="28" w:type="dxa"/>
            </w:tcMar>
            <w:vAlign w:val="center"/>
          </w:tcPr>
          <w:p w14:paraId="61597CB2">
            <w:pPr>
              <w:adjustRightInd w:val="0"/>
              <w:snapToGrid w:val="0"/>
              <w:jc w:val="center"/>
              <w:rPr>
                <w:rFonts w:hint="eastAsia" w:ascii="宋体" w:hAnsi="宋体" w:cs="宋体"/>
                <w:bCs/>
                <w:color w:val="auto"/>
                <w:sz w:val="24"/>
              </w:rPr>
            </w:pPr>
            <w:r>
              <w:rPr>
                <w:rFonts w:hint="eastAsia" w:ascii="宋体" w:hAnsi="宋体" w:cs="宋体"/>
                <w:bCs/>
                <w:color w:val="auto"/>
                <w:sz w:val="24"/>
              </w:rPr>
              <w:t>运营</w:t>
            </w:r>
          </w:p>
          <w:p w14:paraId="31B84AAA">
            <w:pPr>
              <w:adjustRightInd w:val="0"/>
              <w:snapToGrid w:val="0"/>
              <w:jc w:val="center"/>
              <w:rPr>
                <w:rFonts w:hint="eastAsia" w:ascii="宋体" w:hAnsi="宋体" w:cs="宋体"/>
                <w:bCs/>
                <w:color w:val="auto"/>
                <w:sz w:val="24"/>
              </w:rPr>
            </w:pPr>
            <w:r>
              <w:rPr>
                <w:rFonts w:hint="eastAsia" w:ascii="宋体" w:hAnsi="宋体" w:cs="宋体"/>
                <w:bCs/>
                <w:color w:val="auto"/>
                <w:sz w:val="24"/>
              </w:rPr>
              <w:t>期环</w:t>
            </w:r>
          </w:p>
          <w:p w14:paraId="62B25F66">
            <w:pPr>
              <w:adjustRightInd w:val="0"/>
              <w:snapToGrid w:val="0"/>
              <w:jc w:val="center"/>
              <w:rPr>
                <w:rFonts w:hint="eastAsia" w:ascii="宋体" w:hAnsi="宋体" w:cs="宋体"/>
                <w:bCs/>
                <w:color w:val="auto"/>
                <w:sz w:val="24"/>
              </w:rPr>
            </w:pPr>
            <w:r>
              <w:rPr>
                <w:rFonts w:hint="eastAsia" w:ascii="宋体" w:hAnsi="宋体" w:cs="宋体"/>
                <w:bCs/>
                <w:color w:val="auto"/>
                <w:sz w:val="24"/>
              </w:rPr>
              <w:t>境影</w:t>
            </w:r>
          </w:p>
          <w:p w14:paraId="48C65B63">
            <w:pPr>
              <w:adjustRightInd w:val="0"/>
              <w:snapToGrid w:val="0"/>
              <w:jc w:val="center"/>
              <w:rPr>
                <w:rFonts w:hint="eastAsia" w:ascii="宋体" w:hAnsi="宋体" w:cs="宋体"/>
                <w:bCs/>
                <w:color w:val="auto"/>
                <w:sz w:val="24"/>
              </w:rPr>
            </w:pPr>
            <w:r>
              <w:rPr>
                <w:rFonts w:hint="eastAsia" w:ascii="宋体" w:hAnsi="宋体" w:cs="宋体"/>
                <w:bCs/>
                <w:color w:val="auto"/>
                <w:sz w:val="24"/>
              </w:rPr>
              <w:t>响和</w:t>
            </w:r>
          </w:p>
          <w:p w14:paraId="15F7D2E9">
            <w:pPr>
              <w:adjustRightInd w:val="0"/>
              <w:snapToGrid w:val="0"/>
              <w:jc w:val="center"/>
              <w:rPr>
                <w:rFonts w:hint="eastAsia" w:ascii="宋体" w:hAnsi="宋体" w:cs="宋体"/>
                <w:bCs/>
                <w:color w:val="auto"/>
                <w:sz w:val="24"/>
              </w:rPr>
            </w:pPr>
            <w:r>
              <w:rPr>
                <w:rFonts w:hint="eastAsia" w:ascii="宋体" w:hAnsi="宋体" w:cs="宋体"/>
                <w:bCs/>
                <w:color w:val="auto"/>
                <w:sz w:val="24"/>
              </w:rPr>
              <w:t>保护</w:t>
            </w:r>
          </w:p>
          <w:p w14:paraId="031E7070">
            <w:pPr>
              <w:adjustRightInd w:val="0"/>
              <w:snapToGrid w:val="0"/>
              <w:jc w:val="center"/>
              <w:rPr>
                <w:rFonts w:hint="eastAsia" w:ascii="宋体" w:hAnsi="宋体" w:cs="宋体"/>
                <w:bCs/>
                <w:color w:val="auto"/>
                <w:sz w:val="24"/>
              </w:rPr>
            </w:pPr>
            <w:r>
              <w:rPr>
                <w:rFonts w:hint="eastAsia" w:ascii="宋体" w:hAnsi="宋体" w:cs="宋体"/>
                <w:bCs/>
                <w:color w:val="auto"/>
                <w:sz w:val="24"/>
              </w:rPr>
              <w:t>措施</w:t>
            </w:r>
          </w:p>
        </w:tc>
        <w:tc>
          <w:tcPr>
            <w:tcW w:w="8314" w:type="dxa"/>
            <w:vAlign w:val="center"/>
          </w:tcPr>
          <w:p w14:paraId="58383C6D">
            <w:pPr>
              <w:pStyle w:val="83"/>
              <w:keepNext w:val="0"/>
              <w:keepLines w:val="0"/>
              <w:pageBreakBefore w:val="0"/>
              <w:widowControl w:val="0"/>
              <w:kinsoku/>
              <w:wordWrap/>
              <w:overflowPunct/>
              <w:topLinePunct w:val="0"/>
              <w:autoSpaceDE/>
              <w:autoSpaceDN/>
              <w:bidi w:val="0"/>
              <w:adjustRightInd/>
              <w:snapToGrid/>
              <w:spacing w:before="120" w:beforeLines="50"/>
              <w:ind w:firstLine="241" w:firstLineChars="100"/>
              <w:textAlignment w:val="auto"/>
              <w:rPr>
                <w:b/>
                <w:bCs/>
                <w:color w:val="auto"/>
              </w:rPr>
            </w:pPr>
            <w:r>
              <w:rPr>
                <w:rFonts w:hint="eastAsia"/>
                <w:b/>
                <w:bCs/>
                <w:color w:val="auto"/>
              </w:rPr>
              <w:t>4.</w:t>
            </w:r>
            <w:r>
              <w:rPr>
                <w:rFonts w:hint="eastAsia"/>
                <w:b/>
                <w:bCs/>
                <w:color w:val="auto"/>
                <w:lang w:val="en-US" w:eastAsia="zh-CN"/>
              </w:rPr>
              <w:t>2.3</w:t>
            </w:r>
            <w:r>
              <w:rPr>
                <w:rFonts w:hint="eastAsia"/>
                <w:b/>
                <w:bCs/>
                <w:color w:val="auto"/>
              </w:rPr>
              <w:t>.2声环境影响分析</w:t>
            </w:r>
          </w:p>
          <w:p w14:paraId="67820082">
            <w:pPr>
              <w:pStyle w:val="9"/>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（1）声源简化</w:t>
            </w:r>
          </w:p>
          <w:p w14:paraId="041D2395">
            <w:pPr>
              <w:pStyle w:val="9"/>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根据《环境影响评价技术导则 声环境》（HJ2.4-2021）推荐的计算方法，并结合噪声源的空间分布形式以及预测点的位置，本次评价将各声源分别简化为若干点声源处理，室内源可采用等效室外声源声功率级法进行计算，预测室外源衰减至厂界处的噪声值。</w:t>
            </w:r>
          </w:p>
          <w:p w14:paraId="092B3B98">
            <w:pPr>
              <w:spacing w:line="360" w:lineRule="auto"/>
              <w:ind w:firstLine="480" w:firstLineChars="200"/>
              <w:rPr>
                <w:color w:val="auto"/>
                <w:sz w:val="24"/>
              </w:rPr>
            </w:pPr>
            <w:r>
              <w:rPr>
                <w:color w:val="auto"/>
                <w:sz w:val="24"/>
              </w:rPr>
              <w:t>（2）预测模式</w:t>
            </w:r>
          </w:p>
          <w:p w14:paraId="248E2549">
            <w:pPr>
              <w:spacing w:line="360" w:lineRule="auto"/>
              <w:ind w:firstLine="482" w:firstLineChars="200"/>
              <w:rPr>
                <w:b/>
                <w:bCs/>
                <w:color w:val="auto"/>
                <w:sz w:val="24"/>
              </w:rPr>
            </w:pPr>
            <w:r>
              <w:rPr>
                <w:b/>
                <w:bCs/>
                <w:color w:val="auto"/>
                <w:sz w:val="24"/>
              </w:rPr>
              <w:t xml:space="preserve">A </w:t>
            </w:r>
            <w:r>
              <w:rPr>
                <w:rFonts w:hint="eastAsia"/>
                <w:b/>
                <w:bCs/>
                <w:color w:val="auto"/>
                <w:sz w:val="24"/>
              </w:rPr>
              <w:t>.</w:t>
            </w:r>
            <w:r>
              <w:rPr>
                <w:b/>
                <w:bCs/>
                <w:color w:val="auto"/>
                <w:sz w:val="24"/>
              </w:rPr>
              <w:t>室内声源等效室外声源声功率级计算方法</w:t>
            </w:r>
          </w:p>
          <w:p w14:paraId="489E0E1B">
            <w:pPr>
              <w:spacing w:line="360" w:lineRule="auto"/>
              <w:ind w:firstLine="480" w:firstLineChars="200"/>
              <w:rPr>
                <w:color w:val="auto"/>
                <w:sz w:val="24"/>
              </w:rPr>
            </w:pPr>
            <w:r>
              <w:rPr>
                <w:color w:val="auto"/>
                <w:sz w:val="24"/>
              </w:rPr>
              <w:t>声源位于室内，室内声源可采用等效室外声源声功率级法进行计算。设靠近开口处（或窗户）室内、室外某倍频带的声压级分别为Lp</w:t>
            </w:r>
            <w:r>
              <w:rPr>
                <w:color w:val="auto"/>
                <w:sz w:val="24"/>
                <w:vertAlign w:val="subscript"/>
              </w:rPr>
              <w:t>1</w:t>
            </w:r>
            <w:r>
              <w:rPr>
                <w:color w:val="auto"/>
                <w:sz w:val="24"/>
              </w:rPr>
              <w:t>和Lp</w:t>
            </w:r>
            <w:r>
              <w:rPr>
                <w:color w:val="auto"/>
                <w:sz w:val="24"/>
                <w:vertAlign w:val="subscript"/>
              </w:rPr>
              <w:t>2</w:t>
            </w:r>
            <w:r>
              <w:rPr>
                <w:color w:val="auto"/>
                <w:sz w:val="24"/>
              </w:rPr>
              <w:t>。若声源所在室内声场为近似扩散声场，按下列公式计算出靠近室外围护结构处的声压级：</w:t>
            </w:r>
          </w:p>
          <w:p w14:paraId="4A134E52">
            <w:pPr>
              <w:pStyle w:val="9"/>
              <w:ind w:firstLine="0"/>
              <w:jc w:val="center"/>
              <w:rPr>
                <w:rFonts w:ascii="Times New Roman" w:hAnsi="Times New Roman"/>
                <w:color w:val="auto"/>
                <w:sz w:val="24"/>
                <w:szCs w:val="24"/>
              </w:rPr>
            </w:pPr>
            <w:r>
              <w:rPr>
                <w:rFonts w:ascii="Times New Roman" w:hAnsi="Times New Roman"/>
                <w:b/>
                <w:bCs/>
                <w:color w:val="auto"/>
                <w:position w:val="-14"/>
                <w:sz w:val="24"/>
              </w:rPr>
              <w:object>
                <v:shape id="_x0000_i1025" o:spt="75" type="#_x0000_t75" style="height:18.75pt;width:96.75pt;" o:ole="t" filled="f" o:preferrelative="t" stroked="f" coordsize="21600,21600">
                  <v:path/>
                  <v:fill on="f" focussize="0,0"/>
                  <v:stroke on="f" joinstyle="miter"/>
                  <v:imagedata r:id="rId33" o:title=""/>
                  <o:lock v:ext="edit" aspectratio="t"/>
                  <w10:wrap type="none"/>
                  <w10:anchorlock/>
                </v:shape>
                <o:OLEObject Type="Embed" ProgID="Equation.KSEE3" ShapeID="_x0000_i1025" DrawAspect="Content" ObjectID="_1468075725" r:id="rId32">
                  <o:LockedField>false</o:LockedField>
                </o:OLEObject>
              </w:object>
            </w:r>
          </w:p>
          <w:p w14:paraId="371CCED1">
            <w:pPr>
              <w:rPr>
                <w:color w:val="auto"/>
                <w:sz w:val="24"/>
              </w:rPr>
            </w:pPr>
          </w:p>
          <w:p w14:paraId="16CCFC0A">
            <w:pPr>
              <w:pStyle w:val="9"/>
              <w:spacing w:line="360" w:lineRule="auto"/>
              <w:ind w:firstLine="480" w:firstLineChars="200"/>
              <w:rPr>
                <w:rFonts w:ascii="Times New Roman" w:hAnsi="Times New Roman"/>
                <w:color w:val="auto"/>
                <w:sz w:val="24"/>
              </w:rPr>
            </w:pPr>
            <w:r>
              <w:rPr>
                <w:rFonts w:hint="eastAsia" w:ascii="Times New Roman" w:hAnsi="Times New Roman"/>
                <w:color w:val="auto"/>
                <w:sz w:val="24"/>
              </w:rPr>
              <w:t>式中：T</w:t>
            </w:r>
            <w:r>
              <w:rPr>
                <w:rFonts w:hint="eastAsia" w:ascii="Times New Roman" w:hAnsi="Times New Roman"/>
                <w:color w:val="auto"/>
                <w:sz w:val="24"/>
                <w:vertAlign w:val="subscript"/>
              </w:rPr>
              <w:t>L</w:t>
            </w:r>
            <w:r>
              <w:rPr>
                <w:rFonts w:hint="eastAsia" w:ascii="Times New Roman" w:hAnsi="Times New Roman"/>
                <w:color w:val="auto"/>
                <w:sz w:val="24"/>
              </w:rPr>
              <w:t>--隔墙（或窗户）倍频带的隔声量，dB；</w:t>
            </w:r>
          </w:p>
          <w:p w14:paraId="432336BB">
            <w:pPr>
              <w:widowControl/>
              <w:spacing w:line="360" w:lineRule="auto"/>
              <w:ind w:firstLine="480" w:firstLineChars="200"/>
              <w:jc w:val="left"/>
              <w:rPr>
                <w:color w:val="auto"/>
              </w:rPr>
            </w:pPr>
            <w:r>
              <w:rPr>
                <w:color w:val="auto"/>
                <w:kern w:val="0"/>
                <w:sz w:val="24"/>
                <w:lang w:bidi="ar"/>
              </w:rPr>
              <w:t>L</w:t>
            </w:r>
            <w:r>
              <w:rPr>
                <w:color w:val="auto"/>
                <w:kern w:val="0"/>
                <w:sz w:val="15"/>
                <w:szCs w:val="15"/>
                <w:lang w:bidi="ar"/>
              </w:rPr>
              <w:t>p1</w:t>
            </w:r>
            <w:r>
              <w:rPr>
                <w:rFonts w:hint="eastAsia" w:ascii="宋体" w:hAnsi="宋体" w:cs="宋体"/>
                <w:color w:val="auto"/>
                <w:kern w:val="0"/>
                <w:sz w:val="24"/>
                <w:lang w:bidi="ar"/>
              </w:rPr>
              <w:t>—靠近开口处（或窗户）室内某倍频带的声压级或</w:t>
            </w:r>
            <w:r>
              <w:rPr>
                <w:color w:val="auto"/>
                <w:kern w:val="0"/>
                <w:sz w:val="24"/>
                <w:lang w:bidi="ar"/>
              </w:rPr>
              <w:t>A</w:t>
            </w:r>
            <w:r>
              <w:rPr>
                <w:rFonts w:hint="eastAsia" w:ascii="宋体" w:hAnsi="宋体" w:cs="宋体"/>
                <w:color w:val="auto"/>
                <w:kern w:val="0"/>
                <w:sz w:val="24"/>
                <w:lang w:bidi="ar"/>
              </w:rPr>
              <w:t>声级，</w:t>
            </w:r>
            <w:r>
              <w:rPr>
                <w:color w:val="auto"/>
                <w:kern w:val="0"/>
                <w:sz w:val="24"/>
                <w:lang w:bidi="ar"/>
              </w:rPr>
              <w:t>dB</w:t>
            </w:r>
            <w:r>
              <w:rPr>
                <w:rFonts w:hint="eastAsia" w:ascii="宋体" w:hAnsi="宋体" w:cs="宋体"/>
                <w:color w:val="auto"/>
                <w:kern w:val="0"/>
                <w:sz w:val="24"/>
                <w:lang w:bidi="ar"/>
              </w:rPr>
              <w:t>；</w:t>
            </w:r>
          </w:p>
          <w:p w14:paraId="27D80696">
            <w:pPr>
              <w:widowControl/>
              <w:spacing w:line="360" w:lineRule="auto"/>
              <w:ind w:firstLine="480" w:firstLineChars="200"/>
              <w:jc w:val="left"/>
              <w:rPr>
                <w:color w:val="auto"/>
              </w:rPr>
            </w:pPr>
            <w:r>
              <w:rPr>
                <w:color w:val="auto"/>
                <w:kern w:val="0"/>
                <w:sz w:val="24"/>
                <w:lang w:bidi="ar"/>
              </w:rPr>
              <w:t>L</w:t>
            </w:r>
            <w:r>
              <w:rPr>
                <w:color w:val="auto"/>
                <w:kern w:val="0"/>
                <w:sz w:val="15"/>
                <w:szCs w:val="15"/>
                <w:lang w:bidi="ar"/>
              </w:rPr>
              <w:t>p2</w:t>
            </w:r>
            <w:r>
              <w:rPr>
                <w:rFonts w:hint="eastAsia" w:ascii="宋体" w:hAnsi="宋体" w:cs="宋体"/>
                <w:color w:val="auto"/>
                <w:kern w:val="0"/>
                <w:sz w:val="24"/>
                <w:lang w:bidi="ar"/>
              </w:rPr>
              <w:t>—靠近开口处（或窗户）室内某倍频带的声压级或</w:t>
            </w:r>
            <w:r>
              <w:rPr>
                <w:color w:val="auto"/>
                <w:kern w:val="0"/>
                <w:sz w:val="24"/>
                <w:lang w:bidi="ar"/>
              </w:rPr>
              <w:t>A</w:t>
            </w:r>
            <w:r>
              <w:rPr>
                <w:rFonts w:hint="eastAsia" w:ascii="宋体" w:hAnsi="宋体" w:cs="宋体"/>
                <w:color w:val="auto"/>
                <w:kern w:val="0"/>
                <w:sz w:val="24"/>
                <w:lang w:bidi="ar"/>
              </w:rPr>
              <w:t>声级，</w:t>
            </w:r>
            <w:r>
              <w:rPr>
                <w:color w:val="auto"/>
                <w:kern w:val="0"/>
                <w:sz w:val="24"/>
                <w:lang w:bidi="ar"/>
              </w:rPr>
              <w:t>dB</w:t>
            </w:r>
            <w:r>
              <w:rPr>
                <w:rFonts w:hint="eastAsia" w:ascii="宋体" w:hAnsi="宋体" w:cs="宋体"/>
                <w:color w:val="auto"/>
                <w:kern w:val="0"/>
                <w:sz w:val="24"/>
                <w:lang w:bidi="ar"/>
              </w:rPr>
              <w:t>。</w:t>
            </w:r>
          </w:p>
          <w:p w14:paraId="3C66ABEC">
            <w:pPr>
              <w:widowControl/>
              <w:spacing w:line="360" w:lineRule="auto"/>
              <w:jc w:val="center"/>
              <w:rPr>
                <w:color w:val="auto"/>
              </w:rPr>
            </w:pPr>
            <w:r>
              <w:rPr>
                <w:color w:val="auto"/>
              </w:rPr>
              <w:drawing>
                <wp:inline distT="0" distB="0" distL="114300" distR="114300">
                  <wp:extent cx="3057525" cy="1238250"/>
                  <wp:effectExtent l="0" t="0" r="9525" b="0"/>
                  <wp:docPr id="13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3"/>
                          <pic:cNvPicPr>
                            <a:picLocks noChangeAspect="1"/>
                          </pic:cNvPicPr>
                        </pic:nvPicPr>
                        <pic:blipFill>
                          <a:blip r:embed="rId34"/>
                          <a:stretch>
                            <a:fillRect/>
                          </a:stretch>
                        </pic:blipFill>
                        <pic:spPr>
                          <a:xfrm>
                            <a:off x="0" y="0"/>
                            <a:ext cx="3057525" cy="1238250"/>
                          </a:xfrm>
                          <a:prstGeom prst="rect">
                            <a:avLst/>
                          </a:prstGeom>
                          <a:noFill/>
                          <a:ln>
                            <a:noFill/>
                          </a:ln>
                        </pic:spPr>
                      </pic:pic>
                    </a:graphicData>
                  </a:graphic>
                </wp:inline>
              </w:drawing>
            </w:r>
          </w:p>
          <w:p w14:paraId="038F8997">
            <w:pPr>
              <w:widowControl/>
              <w:spacing w:line="360" w:lineRule="auto"/>
              <w:jc w:val="center"/>
              <w:rPr>
                <w:color w:val="auto"/>
                <w:sz w:val="24"/>
              </w:rPr>
            </w:pPr>
            <w:r>
              <w:rPr>
                <w:b/>
                <w:bCs/>
                <w:color w:val="auto"/>
                <w:kern w:val="0"/>
                <w:sz w:val="24"/>
                <w:lang w:bidi="ar"/>
              </w:rPr>
              <w:t>图4-</w:t>
            </w:r>
            <w:r>
              <w:rPr>
                <w:rFonts w:hint="eastAsia"/>
                <w:b/>
                <w:bCs/>
                <w:color w:val="auto"/>
                <w:kern w:val="0"/>
                <w:sz w:val="24"/>
                <w:lang w:bidi="ar"/>
              </w:rPr>
              <w:t>2</w:t>
            </w:r>
            <w:r>
              <w:rPr>
                <w:b/>
                <w:bCs/>
                <w:color w:val="auto"/>
                <w:kern w:val="0"/>
                <w:sz w:val="24"/>
                <w:lang w:bidi="ar"/>
              </w:rPr>
              <w:t>室内声源等效室外声源图例</w:t>
            </w:r>
          </w:p>
          <w:p w14:paraId="04E88F70">
            <w:pPr>
              <w:widowControl/>
              <w:spacing w:line="360" w:lineRule="auto"/>
              <w:ind w:firstLine="480" w:firstLineChars="200"/>
              <w:jc w:val="left"/>
              <w:rPr>
                <w:color w:val="auto"/>
                <w:kern w:val="0"/>
                <w:sz w:val="24"/>
                <w:lang w:bidi="ar"/>
              </w:rPr>
            </w:pPr>
            <w:r>
              <w:rPr>
                <w:rFonts w:hint="eastAsia"/>
                <w:color w:val="auto"/>
                <w:kern w:val="0"/>
                <w:sz w:val="24"/>
                <w:lang w:bidi="ar"/>
              </w:rPr>
              <w:t>声源噪声自室内传播至室外，再遇到障碍物，如围墙或建筑物将引起能量衰减；本评价中各声源噪声均有厂房等框架建筑维护结构。参考有关资料，得出车间隔声插入损失值见表4.</w:t>
            </w:r>
            <w:r>
              <w:rPr>
                <w:rFonts w:hint="eastAsia"/>
                <w:color w:val="auto"/>
                <w:kern w:val="0"/>
                <w:sz w:val="24"/>
                <w:lang w:val="en-US" w:eastAsia="zh-CN" w:bidi="ar"/>
              </w:rPr>
              <w:t>2</w:t>
            </w:r>
            <w:r>
              <w:rPr>
                <w:rFonts w:hint="eastAsia"/>
                <w:color w:val="auto"/>
                <w:kern w:val="0"/>
                <w:sz w:val="24"/>
                <w:lang w:bidi="ar"/>
              </w:rPr>
              <w:t>-</w:t>
            </w:r>
            <w:r>
              <w:rPr>
                <w:rFonts w:hint="eastAsia"/>
                <w:color w:val="auto"/>
                <w:kern w:val="0"/>
                <w:sz w:val="24"/>
                <w:lang w:val="en-US" w:eastAsia="zh-CN" w:bidi="ar"/>
              </w:rPr>
              <w:t>7</w:t>
            </w:r>
            <w:r>
              <w:rPr>
                <w:rFonts w:hint="eastAsia"/>
                <w:color w:val="auto"/>
                <w:kern w:val="0"/>
                <w:sz w:val="24"/>
                <w:lang w:bidi="ar"/>
              </w:rPr>
              <w:t>。</w:t>
            </w:r>
          </w:p>
          <w:p w14:paraId="070E62BB">
            <w:pPr>
              <w:ind w:firstLine="422" w:firstLineChars="200"/>
              <w:jc w:val="center"/>
              <w:rPr>
                <w:b/>
                <w:bCs/>
                <w:color w:val="auto"/>
                <w:kern w:val="0"/>
              </w:rPr>
            </w:pPr>
            <w:r>
              <w:rPr>
                <w:b/>
                <w:bCs/>
                <w:color w:val="auto"/>
                <w:kern w:val="0"/>
              </w:rPr>
              <w:t>表</w:t>
            </w:r>
            <w:r>
              <w:rPr>
                <w:rFonts w:hint="eastAsia"/>
                <w:b/>
                <w:bCs/>
                <w:color w:val="auto"/>
                <w:kern w:val="0"/>
              </w:rPr>
              <w:t>4.</w:t>
            </w:r>
            <w:r>
              <w:rPr>
                <w:rFonts w:hint="eastAsia"/>
                <w:b/>
                <w:bCs/>
                <w:color w:val="auto"/>
                <w:kern w:val="0"/>
                <w:lang w:val="en-US" w:eastAsia="zh-CN"/>
              </w:rPr>
              <w:t>2</w:t>
            </w:r>
            <w:r>
              <w:rPr>
                <w:rFonts w:hint="eastAsia"/>
                <w:b/>
                <w:bCs/>
                <w:color w:val="auto"/>
                <w:kern w:val="0"/>
              </w:rPr>
              <w:t>-</w:t>
            </w:r>
            <w:r>
              <w:rPr>
                <w:rFonts w:hint="eastAsia"/>
                <w:b/>
                <w:bCs/>
                <w:color w:val="auto"/>
                <w:kern w:val="0"/>
                <w:lang w:val="en-US" w:eastAsia="zh-CN"/>
              </w:rPr>
              <w:t>7</w:t>
            </w:r>
            <w:r>
              <w:rPr>
                <w:rFonts w:hint="eastAsia"/>
                <w:b/>
                <w:bCs/>
                <w:color w:val="auto"/>
                <w:kern w:val="0"/>
              </w:rPr>
              <w:t>车间隔墙传输损失值</w:t>
            </w:r>
          </w:p>
          <w:tbl>
            <w:tblPr>
              <w:tblStyle w:val="32"/>
              <w:tblW w:w="8098" w:type="dxa"/>
              <w:tblInd w:w="5"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151"/>
              <w:gridCol w:w="1515"/>
              <w:gridCol w:w="1530"/>
              <w:gridCol w:w="1500"/>
              <w:gridCol w:w="1402"/>
            </w:tblGrid>
            <w:tr w14:paraId="5704E1C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151" w:type="dxa"/>
                  <w:vAlign w:val="center"/>
                </w:tcPr>
                <w:p w14:paraId="62EDF854">
                  <w:pPr>
                    <w:pStyle w:val="44"/>
                    <w:jc w:val="center"/>
                    <w:rPr>
                      <w:color w:val="auto"/>
                      <w:sz w:val="21"/>
                      <w:szCs w:val="21"/>
                    </w:rPr>
                  </w:pPr>
                  <w:r>
                    <w:rPr>
                      <w:rFonts w:hint="eastAsia"/>
                      <w:color w:val="auto"/>
                      <w:sz w:val="21"/>
                      <w:szCs w:val="21"/>
                    </w:rPr>
                    <w:t>条件</w:t>
                  </w:r>
                </w:p>
              </w:tc>
              <w:tc>
                <w:tcPr>
                  <w:tcW w:w="1515" w:type="dxa"/>
                  <w:vAlign w:val="center"/>
                </w:tcPr>
                <w:p w14:paraId="453985DA">
                  <w:pPr>
                    <w:pStyle w:val="44"/>
                    <w:jc w:val="center"/>
                    <w:rPr>
                      <w:color w:val="auto"/>
                      <w:sz w:val="21"/>
                      <w:szCs w:val="21"/>
                    </w:rPr>
                  </w:pPr>
                  <w:r>
                    <w:rPr>
                      <w:rFonts w:hint="eastAsia"/>
                      <w:color w:val="auto"/>
                      <w:sz w:val="21"/>
                      <w:szCs w:val="21"/>
                    </w:rPr>
                    <w:t>A</w:t>
                  </w:r>
                </w:p>
              </w:tc>
              <w:tc>
                <w:tcPr>
                  <w:tcW w:w="1530" w:type="dxa"/>
                  <w:shd w:val="clear" w:color="auto" w:fill="F1F1F1" w:themeFill="background1" w:themeFillShade="F2"/>
                  <w:vAlign w:val="center"/>
                </w:tcPr>
                <w:p w14:paraId="27FCE2FB">
                  <w:pPr>
                    <w:pStyle w:val="44"/>
                    <w:jc w:val="center"/>
                    <w:rPr>
                      <w:color w:val="auto"/>
                      <w:sz w:val="21"/>
                      <w:szCs w:val="21"/>
                    </w:rPr>
                  </w:pPr>
                  <w:r>
                    <w:rPr>
                      <w:rFonts w:hint="eastAsia"/>
                      <w:color w:val="auto"/>
                      <w:sz w:val="21"/>
                      <w:szCs w:val="21"/>
                    </w:rPr>
                    <w:t>B</w:t>
                  </w:r>
                </w:p>
              </w:tc>
              <w:tc>
                <w:tcPr>
                  <w:tcW w:w="1500" w:type="dxa"/>
                  <w:shd w:val="clear" w:color="auto" w:fill="auto"/>
                  <w:vAlign w:val="center"/>
                </w:tcPr>
                <w:p w14:paraId="0CF9A6CD">
                  <w:pPr>
                    <w:pStyle w:val="44"/>
                    <w:jc w:val="center"/>
                    <w:rPr>
                      <w:color w:val="auto"/>
                      <w:sz w:val="21"/>
                      <w:szCs w:val="21"/>
                    </w:rPr>
                  </w:pPr>
                  <w:r>
                    <w:rPr>
                      <w:rFonts w:hint="eastAsia"/>
                      <w:color w:val="auto"/>
                      <w:sz w:val="21"/>
                      <w:szCs w:val="21"/>
                    </w:rPr>
                    <w:t>C</w:t>
                  </w:r>
                </w:p>
              </w:tc>
              <w:tc>
                <w:tcPr>
                  <w:tcW w:w="1402" w:type="dxa"/>
                  <w:vAlign w:val="center"/>
                </w:tcPr>
                <w:p w14:paraId="493F4ADA">
                  <w:pPr>
                    <w:pStyle w:val="44"/>
                    <w:jc w:val="center"/>
                    <w:rPr>
                      <w:color w:val="auto"/>
                      <w:sz w:val="21"/>
                      <w:szCs w:val="21"/>
                    </w:rPr>
                  </w:pPr>
                  <w:r>
                    <w:rPr>
                      <w:rFonts w:hint="eastAsia"/>
                      <w:color w:val="auto"/>
                      <w:sz w:val="21"/>
                      <w:szCs w:val="21"/>
                    </w:rPr>
                    <w:t>D</w:t>
                  </w:r>
                </w:p>
              </w:tc>
            </w:tr>
            <w:tr w14:paraId="492AD6D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151" w:type="dxa"/>
                  <w:vAlign w:val="center"/>
                </w:tcPr>
                <w:p w14:paraId="7C15B765">
                  <w:pPr>
                    <w:pStyle w:val="44"/>
                    <w:jc w:val="center"/>
                    <w:rPr>
                      <w:color w:val="auto"/>
                      <w:sz w:val="21"/>
                      <w:szCs w:val="21"/>
                    </w:rPr>
                  </w:pPr>
                  <w:r>
                    <w:rPr>
                      <w:rFonts w:hint="eastAsia"/>
                      <w:color w:val="auto"/>
                      <w:sz w:val="21"/>
                      <w:szCs w:val="21"/>
                    </w:rPr>
                    <w:t>传输损失值dB（A）</w:t>
                  </w:r>
                </w:p>
              </w:tc>
              <w:tc>
                <w:tcPr>
                  <w:tcW w:w="1515" w:type="dxa"/>
                  <w:vAlign w:val="center"/>
                </w:tcPr>
                <w:p w14:paraId="377A7F77">
                  <w:pPr>
                    <w:pStyle w:val="44"/>
                    <w:jc w:val="center"/>
                    <w:rPr>
                      <w:color w:val="auto"/>
                      <w:sz w:val="21"/>
                      <w:szCs w:val="21"/>
                    </w:rPr>
                  </w:pPr>
                  <w:r>
                    <w:rPr>
                      <w:rFonts w:hint="eastAsia"/>
                      <w:color w:val="auto"/>
                      <w:sz w:val="21"/>
                      <w:szCs w:val="21"/>
                    </w:rPr>
                    <w:t>20</w:t>
                  </w:r>
                </w:p>
              </w:tc>
              <w:tc>
                <w:tcPr>
                  <w:tcW w:w="1530" w:type="dxa"/>
                  <w:shd w:val="clear" w:color="auto" w:fill="F1F1F1" w:themeFill="background1" w:themeFillShade="F2"/>
                  <w:vAlign w:val="center"/>
                </w:tcPr>
                <w:p w14:paraId="70EBF37E">
                  <w:pPr>
                    <w:pStyle w:val="44"/>
                    <w:jc w:val="center"/>
                    <w:rPr>
                      <w:color w:val="auto"/>
                      <w:sz w:val="21"/>
                      <w:szCs w:val="21"/>
                    </w:rPr>
                  </w:pPr>
                  <w:r>
                    <w:rPr>
                      <w:rFonts w:hint="eastAsia"/>
                      <w:color w:val="auto"/>
                      <w:sz w:val="21"/>
                      <w:szCs w:val="21"/>
                    </w:rPr>
                    <w:t>15</w:t>
                  </w:r>
                </w:p>
              </w:tc>
              <w:tc>
                <w:tcPr>
                  <w:tcW w:w="1500" w:type="dxa"/>
                  <w:shd w:val="clear" w:color="auto" w:fill="auto"/>
                  <w:vAlign w:val="center"/>
                </w:tcPr>
                <w:p w14:paraId="1F646A09">
                  <w:pPr>
                    <w:pStyle w:val="44"/>
                    <w:jc w:val="center"/>
                    <w:rPr>
                      <w:color w:val="auto"/>
                      <w:sz w:val="21"/>
                      <w:szCs w:val="21"/>
                    </w:rPr>
                  </w:pPr>
                  <w:r>
                    <w:rPr>
                      <w:rFonts w:hint="eastAsia"/>
                      <w:color w:val="auto"/>
                      <w:sz w:val="21"/>
                      <w:szCs w:val="21"/>
                    </w:rPr>
                    <w:t>10</w:t>
                  </w:r>
                </w:p>
              </w:tc>
              <w:tc>
                <w:tcPr>
                  <w:tcW w:w="1402" w:type="dxa"/>
                  <w:vAlign w:val="center"/>
                </w:tcPr>
                <w:p w14:paraId="7B04D6BD">
                  <w:pPr>
                    <w:pStyle w:val="44"/>
                    <w:jc w:val="center"/>
                    <w:rPr>
                      <w:color w:val="auto"/>
                      <w:sz w:val="21"/>
                      <w:szCs w:val="21"/>
                    </w:rPr>
                  </w:pPr>
                  <w:r>
                    <w:rPr>
                      <w:rFonts w:hint="eastAsia"/>
                      <w:color w:val="auto"/>
                      <w:sz w:val="21"/>
                      <w:szCs w:val="21"/>
                    </w:rPr>
                    <w:t>5</w:t>
                  </w:r>
                </w:p>
              </w:tc>
            </w:tr>
            <w:tr w14:paraId="6F23822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098" w:type="dxa"/>
                  <w:gridSpan w:val="5"/>
                  <w:shd w:val="clear" w:color="auto" w:fill="auto"/>
                  <w:vAlign w:val="center"/>
                </w:tcPr>
                <w:p w14:paraId="28F165DE">
                  <w:pPr>
                    <w:widowControl/>
                    <w:jc w:val="left"/>
                    <w:rPr>
                      <w:color w:val="auto"/>
                      <w:sz w:val="24"/>
                    </w:rPr>
                  </w:pPr>
                  <w:r>
                    <w:rPr>
                      <w:rFonts w:hint="eastAsia"/>
                      <w:color w:val="auto"/>
                      <w:szCs w:val="21"/>
                    </w:rPr>
                    <w:t>注：A：</w:t>
                  </w:r>
                  <w:r>
                    <w:rPr>
                      <w:rFonts w:hint="eastAsia" w:ascii="宋体" w:hAnsi="宋体" w:cs="宋体"/>
                      <w:color w:val="auto"/>
                      <w:kern w:val="0"/>
                      <w:szCs w:val="21"/>
                      <w:lang w:bidi="ar"/>
                    </w:rPr>
                    <w:t>围墙开小窗且密闭，门经隔声处理；</w:t>
                  </w:r>
                  <w:r>
                    <w:rPr>
                      <w:color w:val="auto"/>
                      <w:kern w:val="0"/>
                      <w:szCs w:val="21"/>
                      <w:lang w:bidi="ar"/>
                    </w:rPr>
                    <w:t>B</w:t>
                  </w:r>
                  <w:r>
                    <w:rPr>
                      <w:rFonts w:hint="eastAsia" w:ascii="宋体" w:hAnsi="宋体" w:cs="宋体"/>
                      <w:color w:val="auto"/>
                      <w:kern w:val="0"/>
                      <w:szCs w:val="21"/>
                      <w:lang w:bidi="ar"/>
                    </w:rPr>
                    <w:t>：围墙开小窗但不密闭，门未经隔声处理，但较密闭；</w:t>
                  </w:r>
                  <w:r>
                    <w:rPr>
                      <w:color w:val="auto"/>
                      <w:kern w:val="0"/>
                      <w:szCs w:val="21"/>
                      <w:lang w:bidi="ar"/>
                    </w:rPr>
                    <w:t>C</w:t>
                  </w:r>
                  <w:r>
                    <w:rPr>
                      <w:rFonts w:hint="eastAsia" w:ascii="宋体" w:hAnsi="宋体" w:cs="宋体"/>
                      <w:color w:val="auto"/>
                      <w:kern w:val="0"/>
                      <w:szCs w:val="21"/>
                      <w:lang w:bidi="ar"/>
                    </w:rPr>
                    <w:t>：围墙开大窗且不密闭，门不密闭；</w:t>
                  </w:r>
                  <w:r>
                    <w:rPr>
                      <w:color w:val="auto"/>
                      <w:kern w:val="0"/>
                      <w:szCs w:val="21"/>
                      <w:lang w:bidi="ar"/>
                    </w:rPr>
                    <w:t>D</w:t>
                  </w:r>
                  <w:r>
                    <w:rPr>
                      <w:rFonts w:hint="eastAsia" w:ascii="宋体" w:hAnsi="宋体" w:cs="宋体"/>
                      <w:color w:val="auto"/>
                      <w:kern w:val="0"/>
                      <w:szCs w:val="21"/>
                      <w:lang w:bidi="ar"/>
                    </w:rPr>
                    <w:t>：门、窗部分敞开。</w:t>
                  </w:r>
                </w:p>
              </w:tc>
            </w:tr>
          </w:tbl>
          <w:p w14:paraId="332B25AC">
            <w:pPr>
              <w:pStyle w:val="44"/>
              <w:spacing w:before="120" w:beforeLines="50" w:line="360" w:lineRule="auto"/>
              <w:ind w:firstLine="482" w:firstLineChars="200"/>
              <w:jc w:val="both"/>
              <w:rPr>
                <w:rFonts w:hAnsi="Times New Roman" w:cs="Times New Roman"/>
                <w:b/>
                <w:bCs/>
                <w:color w:val="auto"/>
                <w:kern w:val="0"/>
                <w:lang w:bidi="ar"/>
              </w:rPr>
            </w:pPr>
            <w:r>
              <w:rPr>
                <w:rFonts w:hint="eastAsia" w:hAnsi="Times New Roman" w:cs="Times New Roman"/>
                <w:b/>
                <w:bCs/>
                <w:color w:val="auto"/>
                <w:kern w:val="0"/>
                <w:lang w:bidi="ar"/>
              </w:rPr>
              <w:t>B.室外点声源的几何发散衰减</w:t>
            </w:r>
          </w:p>
          <w:p w14:paraId="22B598B8">
            <w:pPr>
              <w:pStyle w:val="44"/>
              <w:spacing w:line="360" w:lineRule="auto"/>
              <w:ind w:firstLine="480" w:firstLineChars="200"/>
              <w:jc w:val="both"/>
              <w:rPr>
                <w:rFonts w:hAnsi="Times New Roman" w:cs="Times New Roman"/>
                <w:color w:val="auto"/>
                <w:kern w:val="0"/>
                <w:lang w:bidi="ar"/>
              </w:rPr>
            </w:pPr>
            <w:r>
              <w:rPr>
                <w:rFonts w:hint="eastAsia" w:hAnsi="Times New Roman" w:cs="Times New Roman"/>
                <w:color w:val="auto"/>
                <w:kern w:val="0"/>
                <w:lang w:bidi="ar"/>
              </w:rPr>
              <w:t>预测点为该项目边界，各设备主要噪声源作点声源处理。项目主要设备噪声源均可作为点声源处理，考虑设备噪声向周围空间的传播过程中，近似地认为在半自由场中扩散，根据《环境影响评价技术导则－声环境》（HJ2.4-2021）推荐方法，选取点声源半自由声场传播模式，公式为：</w:t>
            </w:r>
          </w:p>
          <w:p w14:paraId="3F17E25E">
            <w:pPr>
              <w:pStyle w:val="44"/>
              <w:spacing w:line="360" w:lineRule="auto"/>
              <w:jc w:val="center"/>
              <w:rPr>
                <w:rFonts w:hAnsi="Times New Roman" w:cs="Times New Roman"/>
                <w:color w:val="auto"/>
                <w:kern w:val="0"/>
                <w:lang w:bidi="ar"/>
              </w:rPr>
            </w:pPr>
            <w:r>
              <w:rPr>
                <w:rFonts w:hint="eastAsia" w:hAnsi="Times New Roman" w:cs="Times New Roman"/>
                <w:color w:val="auto"/>
                <w:kern w:val="0"/>
                <w:position w:val="-18"/>
                <w:lang w:bidi="ar"/>
              </w:rPr>
              <w:object>
                <v:shape id="_x0000_i1026" o:spt="75" type="#_x0000_t75" style="height:21pt;width:127.5pt;" o:ole="t" filled="f" o:preferrelative="t" stroked="f" coordsize="21600,21600">
                  <v:path/>
                  <v:fill on="f" focussize="0,0"/>
                  <v:stroke on="f" joinstyle="miter"/>
                  <v:imagedata r:id="rId36" o:title=""/>
                  <o:lock v:ext="edit" aspectratio="t"/>
                  <w10:wrap type="none"/>
                  <w10:anchorlock/>
                </v:shape>
                <o:OLEObject Type="Embed" ProgID="Equation.KSEE3" ShapeID="_x0000_i1026" DrawAspect="Content" ObjectID="_1468075726" r:id="rId35">
                  <o:LockedField>false</o:LockedField>
                </o:OLEObject>
              </w:object>
            </w:r>
          </w:p>
          <w:p w14:paraId="4A3A22E8">
            <w:pPr>
              <w:widowControl/>
              <w:spacing w:line="360" w:lineRule="auto"/>
              <w:ind w:firstLine="480" w:firstLineChars="200"/>
              <w:rPr>
                <w:color w:val="auto"/>
                <w:kern w:val="0"/>
                <w:sz w:val="24"/>
                <w:lang w:bidi="ar"/>
              </w:rPr>
            </w:pPr>
            <w:r>
              <w:rPr>
                <w:color w:val="auto"/>
                <w:sz w:val="24"/>
              </w:rPr>
              <w:t>式中：</w:t>
            </w:r>
            <w:r>
              <w:rPr>
                <w:color w:val="auto"/>
                <w:kern w:val="0"/>
                <w:sz w:val="24"/>
                <w:lang w:bidi="ar"/>
              </w:rPr>
              <w:t>Lp（r）—距离r处的A声功率级，dB（A）；</w:t>
            </w:r>
          </w:p>
          <w:p w14:paraId="6DF9D9D9">
            <w:pPr>
              <w:widowControl/>
              <w:spacing w:line="360" w:lineRule="auto"/>
              <w:ind w:firstLine="480" w:firstLineChars="200"/>
              <w:rPr>
                <w:color w:val="auto"/>
                <w:kern w:val="0"/>
                <w:sz w:val="24"/>
                <w:lang w:bidi="ar"/>
              </w:rPr>
            </w:pPr>
            <w:r>
              <w:rPr>
                <w:color w:val="auto"/>
                <w:kern w:val="0"/>
                <w:sz w:val="24"/>
                <w:lang w:bidi="ar"/>
              </w:rPr>
              <w:t>LW—声源的A声功率级，dB（A）；</w:t>
            </w:r>
          </w:p>
          <w:p w14:paraId="61DDFF0A">
            <w:pPr>
              <w:widowControl/>
              <w:spacing w:line="360" w:lineRule="auto"/>
              <w:ind w:firstLine="480" w:firstLineChars="200"/>
              <w:rPr>
                <w:color w:val="auto"/>
                <w:kern w:val="0"/>
                <w:sz w:val="24"/>
                <w:lang w:bidi="ar"/>
              </w:rPr>
            </w:pPr>
            <w:r>
              <w:rPr>
                <w:color w:val="auto"/>
                <w:kern w:val="0"/>
                <w:sz w:val="24"/>
                <w:lang w:bidi="ar"/>
              </w:rPr>
              <w:t>r—声源至受点的距离，m；</w:t>
            </w:r>
          </w:p>
          <w:p w14:paraId="3D1FCCCF">
            <w:pPr>
              <w:widowControl/>
              <w:spacing w:line="360" w:lineRule="auto"/>
              <w:ind w:firstLine="480" w:firstLineChars="200"/>
              <w:rPr>
                <w:color w:val="auto"/>
              </w:rPr>
            </w:pPr>
            <w:r>
              <w:rPr>
                <w:color w:val="auto"/>
                <w:kern w:val="0"/>
                <w:sz w:val="24"/>
                <w:lang w:bidi="ar"/>
              </w:rPr>
              <w:t>TL—墙体隔声量，dB（A）</w:t>
            </w:r>
            <w:r>
              <w:rPr>
                <w:rFonts w:hint="eastAsia" w:ascii="宋体" w:hAnsi="宋体" w:cs="宋体"/>
                <w:color w:val="auto"/>
                <w:kern w:val="0"/>
                <w:sz w:val="24"/>
                <w:lang w:bidi="ar"/>
              </w:rPr>
              <w:t>。</w:t>
            </w:r>
          </w:p>
          <w:p w14:paraId="7DD67D0D">
            <w:pPr>
              <w:pStyle w:val="44"/>
              <w:spacing w:line="360" w:lineRule="auto"/>
              <w:ind w:firstLine="482" w:firstLineChars="200"/>
              <w:jc w:val="both"/>
              <w:rPr>
                <w:rFonts w:hAnsi="Times New Roman" w:cs="Times New Roman"/>
                <w:b/>
                <w:bCs/>
                <w:color w:val="auto"/>
                <w:kern w:val="0"/>
                <w:lang w:bidi="ar"/>
              </w:rPr>
            </w:pPr>
            <w:r>
              <w:rPr>
                <w:rFonts w:hint="eastAsia" w:hAnsi="Times New Roman" w:cs="Times New Roman"/>
                <w:b/>
                <w:bCs/>
                <w:color w:val="auto"/>
                <w:kern w:val="0"/>
                <w:lang w:bidi="ar"/>
              </w:rPr>
              <w:t>C.工业企业噪声计算</w:t>
            </w:r>
          </w:p>
          <w:p w14:paraId="5AEFC781">
            <w:pPr>
              <w:pStyle w:val="44"/>
              <w:spacing w:line="360" w:lineRule="auto"/>
              <w:ind w:firstLine="482" w:firstLineChars="200"/>
              <w:jc w:val="both"/>
              <w:rPr>
                <w:rFonts w:hAnsi="Times New Roman" w:cs="Times New Roman"/>
                <w:color w:val="auto"/>
                <w:kern w:val="0"/>
                <w:lang w:bidi="ar"/>
              </w:rPr>
            </w:pPr>
            <w:r>
              <w:rPr>
                <w:rFonts w:hint="eastAsia" w:hAnsi="Times New Roman" w:cs="Times New Roman"/>
                <w:b/>
                <w:bCs/>
                <w:color w:val="auto"/>
                <w:kern w:val="0"/>
                <w:lang w:bidi="ar"/>
              </w:rPr>
              <w:t>a</w:t>
            </w:r>
            <w:r>
              <w:rPr>
                <w:rFonts w:hint="eastAsia" w:hAnsi="Times New Roman" w:cs="Times New Roman"/>
                <w:color w:val="auto"/>
                <w:kern w:val="0"/>
                <w:lang w:bidi="ar"/>
              </w:rPr>
              <w:t>设第i个室外声源在预测点产生的A声级为LAi，在T时间内该声源工作时间为ti；第j个等效室外声源在预测点产生的A声级为LAj，在T时间内该声源工作时间为tj，则拟建工程声源对预测点产生的贡献值（Leqg）为：</w:t>
            </w:r>
          </w:p>
          <w:p w14:paraId="1B417C07">
            <w:pPr>
              <w:pStyle w:val="44"/>
              <w:spacing w:line="360" w:lineRule="auto"/>
              <w:ind w:firstLine="480" w:firstLineChars="200"/>
              <w:jc w:val="center"/>
              <w:rPr>
                <w:color w:val="auto"/>
                <w:position w:val="-10"/>
              </w:rPr>
            </w:pPr>
            <w:r>
              <w:rPr>
                <w:rFonts w:hint="eastAsia"/>
                <w:color w:val="auto"/>
                <w:position w:val="-34"/>
              </w:rPr>
              <w:object>
                <v:shape id="_x0000_i1027" o:spt="75" type="#_x0000_t75" style="height:39.75pt;width:210.75pt;" o:ole="t" filled="f" o:preferrelative="t" stroked="f" coordsize="21600,21600">
                  <v:path/>
                  <v:fill on="f" focussize="0,0"/>
                  <v:stroke on="f" joinstyle="miter"/>
                  <v:imagedata r:id="rId38" o:title=""/>
                  <o:lock v:ext="edit" aspectratio="t"/>
                  <w10:wrap type="none"/>
                  <w10:anchorlock/>
                </v:shape>
                <o:OLEObject Type="Embed" ProgID="Equation.KSEE3" ShapeID="_x0000_i1027" DrawAspect="Content" ObjectID="_1468075727" r:id="rId37">
                  <o:LockedField>false</o:LockedField>
                </o:OLEObject>
              </w:object>
            </w:r>
          </w:p>
          <w:p w14:paraId="42716FF0">
            <w:pPr>
              <w:pStyle w:val="44"/>
              <w:spacing w:line="360" w:lineRule="auto"/>
              <w:ind w:firstLine="480" w:firstLineChars="200"/>
              <w:jc w:val="both"/>
              <w:rPr>
                <w:rFonts w:hAnsi="Times New Roman" w:cs="Times New Roman"/>
                <w:color w:val="auto"/>
                <w:position w:val="-10"/>
              </w:rPr>
            </w:pPr>
            <w:r>
              <w:rPr>
                <w:rFonts w:hAnsi="Times New Roman" w:cs="Times New Roman"/>
                <w:color w:val="auto"/>
                <w:position w:val="-10"/>
              </w:rPr>
              <w:t>式中：Leqg—建设项目声源在预测点产生的噪声贡献值，dB；</w:t>
            </w:r>
          </w:p>
          <w:p w14:paraId="301E323B">
            <w:pPr>
              <w:pStyle w:val="44"/>
              <w:spacing w:line="360" w:lineRule="auto"/>
              <w:ind w:firstLine="480" w:firstLineChars="200"/>
              <w:jc w:val="both"/>
              <w:rPr>
                <w:rFonts w:hAnsi="Times New Roman" w:cs="Times New Roman"/>
                <w:color w:val="auto"/>
                <w:position w:val="-10"/>
              </w:rPr>
            </w:pPr>
            <w:r>
              <w:rPr>
                <w:rFonts w:hAnsi="Times New Roman" w:cs="Times New Roman"/>
                <w:color w:val="auto"/>
                <w:position w:val="-10"/>
              </w:rPr>
              <w:t>T—用于计算等效声级的时间，s；</w:t>
            </w:r>
          </w:p>
          <w:p w14:paraId="395694FE">
            <w:pPr>
              <w:pStyle w:val="44"/>
              <w:spacing w:line="360" w:lineRule="auto"/>
              <w:ind w:firstLine="480" w:firstLineChars="200"/>
              <w:jc w:val="both"/>
              <w:rPr>
                <w:rFonts w:hAnsi="Times New Roman" w:cs="Times New Roman"/>
                <w:color w:val="auto"/>
                <w:position w:val="-10"/>
              </w:rPr>
            </w:pPr>
            <w:r>
              <w:rPr>
                <w:rFonts w:hAnsi="Times New Roman" w:cs="Times New Roman"/>
                <w:color w:val="auto"/>
                <w:position w:val="-10"/>
              </w:rPr>
              <w:t>N—室外声源隔声；</w:t>
            </w:r>
          </w:p>
          <w:p w14:paraId="55D2FCA1">
            <w:pPr>
              <w:pStyle w:val="44"/>
              <w:spacing w:line="360" w:lineRule="auto"/>
              <w:ind w:firstLine="480" w:firstLineChars="200"/>
              <w:jc w:val="both"/>
              <w:rPr>
                <w:rFonts w:hAnsi="Times New Roman" w:cs="Times New Roman"/>
                <w:color w:val="auto"/>
                <w:position w:val="-10"/>
              </w:rPr>
            </w:pPr>
            <w:r>
              <w:rPr>
                <w:rFonts w:hAnsi="Times New Roman" w:cs="Times New Roman"/>
                <w:color w:val="auto"/>
                <w:position w:val="-10"/>
              </w:rPr>
              <w:t>ti—在T时间内i声源工作时间，s；</w:t>
            </w:r>
          </w:p>
          <w:p w14:paraId="4F5F91E9">
            <w:pPr>
              <w:pStyle w:val="44"/>
              <w:spacing w:line="360" w:lineRule="auto"/>
              <w:ind w:firstLine="480" w:firstLineChars="200"/>
              <w:jc w:val="both"/>
              <w:rPr>
                <w:rFonts w:hAnsi="Times New Roman" w:cs="Times New Roman"/>
                <w:color w:val="auto"/>
                <w:position w:val="-10"/>
              </w:rPr>
            </w:pPr>
            <w:r>
              <w:rPr>
                <w:rFonts w:hAnsi="Times New Roman" w:cs="Times New Roman"/>
                <w:color w:val="auto"/>
                <w:position w:val="-10"/>
              </w:rPr>
              <w:t>M—等效室外声源个数；</w:t>
            </w:r>
          </w:p>
          <w:p w14:paraId="22899D76">
            <w:pPr>
              <w:pStyle w:val="44"/>
              <w:spacing w:line="360" w:lineRule="auto"/>
              <w:ind w:firstLine="480" w:firstLineChars="200"/>
              <w:jc w:val="both"/>
              <w:rPr>
                <w:rFonts w:hAnsi="Times New Roman" w:cs="Times New Roman"/>
                <w:color w:val="auto"/>
                <w:position w:val="-10"/>
              </w:rPr>
            </w:pPr>
            <w:r>
              <w:rPr>
                <w:rFonts w:hAnsi="Times New Roman" w:cs="Times New Roman"/>
                <w:color w:val="auto"/>
                <w:position w:val="-10"/>
              </w:rPr>
              <w:t>tj—在T时间内j声源工作时间，s。</w:t>
            </w:r>
          </w:p>
          <w:p w14:paraId="1DAD0BD5">
            <w:pPr>
              <w:pStyle w:val="44"/>
              <w:spacing w:line="360" w:lineRule="auto"/>
              <w:ind w:firstLine="482" w:firstLineChars="200"/>
              <w:jc w:val="both"/>
              <w:rPr>
                <w:rFonts w:hAnsi="Times New Roman" w:cs="Times New Roman"/>
                <w:color w:val="auto"/>
                <w:position w:val="-10"/>
              </w:rPr>
            </w:pPr>
            <w:r>
              <w:rPr>
                <w:rFonts w:hAnsi="Times New Roman" w:cs="Times New Roman"/>
                <w:b/>
                <w:bCs/>
                <w:color w:val="auto"/>
                <w:position w:val="-10"/>
              </w:rPr>
              <w:t>b</w:t>
            </w:r>
            <w:r>
              <w:rPr>
                <w:rFonts w:hAnsi="Times New Roman" w:cs="Times New Roman"/>
                <w:color w:val="auto"/>
                <w:position w:val="-10"/>
              </w:rPr>
              <w:t>预测点的贡献值和背景值按能量叠加方法计算得到的声级。噪声预测值（Leq）计算公式为：</w:t>
            </w:r>
          </w:p>
          <w:p w14:paraId="3B327735">
            <w:pPr>
              <w:spacing w:line="360" w:lineRule="auto"/>
              <w:jc w:val="center"/>
              <w:rPr>
                <w:color w:val="auto"/>
              </w:rPr>
            </w:pPr>
            <w:r>
              <w:rPr>
                <w:rFonts w:hint="eastAsia"/>
                <w:color w:val="auto"/>
                <w:position w:val="-10"/>
              </w:rPr>
              <w:object>
                <v:shape id="_x0000_i1028" o:spt="75" type="#_x0000_t75" style="height:18.75pt;width:142.5pt;" o:ole="t" filled="f" o:preferrelative="t" stroked="f" coordsize="21600,21600">
                  <v:path/>
                  <v:fill on="f" focussize="0,0"/>
                  <v:stroke on="f" joinstyle="miter"/>
                  <v:imagedata r:id="rId40" o:title=""/>
                  <o:lock v:ext="edit" aspectratio="t"/>
                  <w10:wrap type="none"/>
                  <w10:anchorlock/>
                </v:shape>
                <o:OLEObject Type="Embed" ProgID="Equation.KSEE3" ShapeID="_x0000_i1028" DrawAspect="Content" ObjectID="_1468075728" r:id="rId39">
                  <o:LockedField>false</o:LockedField>
                </o:OLEObject>
              </w:object>
            </w:r>
          </w:p>
          <w:p w14:paraId="5E6B25C7">
            <w:pPr>
              <w:spacing w:line="360" w:lineRule="auto"/>
              <w:ind w:firstLine="480" w:firstLineChars="200"/>
              <w:rPr>
                <w:color w:val="auto"/>
                <w:sz w:val="24"/>
              </w:rPr>
            </w:pPr>
            <w:r>
              <w:rPr>
                <w:color w:val="auto"/>
                <w:sz w:val="24"/>
              </w:rPr>
              <w:t>式中：Leq—预测点的噪声预测值，dB；</w:t>
            </w:r>
          </w:p>
          <w:p w14:paraId="6E2E42F7">
            <w:pPr>
              <w:spacing w:line="360" w:lineRule="auto"/>
              <w:ind w:firstLine="480" w:firstLineChars="200"/>
              <w:rPr>
                <w:color w:val="auto"/>
                <w:sz w:val="24"/>
              </w:rPr>
            </w:pPr>
            <w:r>
              <w:rPr>
                <w:color w:val="auto"/>
                <w:sz w:val="24"/>
              </w:rPr>
              <w:t>L</w:t>
            </w:r>
            <w:r>
              <w:rPr>
                <w:color w:val="auto"/>
                <w:sz w:val="24"/>
                <w:vertAlign w:val="subscript"/>
              </w:rPr>
              <w:t>eqg</w:t>
            </w:r>
            <w:r>
              <w:rPr>
                <w:color w:val="auto"/>
                <w:sz w:val="24"/>
              </w:rPr>
              <w:t>—建设项目声源在预测点的等效声级贡献值，dB（A）；</w:t>
            </w:r>
          </w:p>
          <w:p w14:paraId="3C5513B4">
            <w:pPr>
              <w:pStyle w:val="44"/>
              <w:spacing w:line="360" w:lineRule="auto"/>
              <w:ind w:firstLine="480" w:firstLineChars="200"/>
              <w:jc w:val="both"/>
              <w:rPr>
                <w:rFonts w:hAnsi="Times New Roman" w:cs="Times New Roman"/>
                <w:color w:val="auto"/>
                <w:position w:val="-10"/>
              </w:rPr>
            </w:pPr>
            <w:r>
              <w:rPr>
                <w:rFonts w:hAnsi="Times New Roman" w:cs="Times New Roman"/>
                <w:color w:val="auto"/>
              </w:rPr>
              <w:t>L</w:t>
            </w:r>
            <w:r>
              <w:rPr>
                <w:rFonts w:hAnsi="Times New Roman" w:cs="Times New Roman"/>
                <w:color w:val="auto"/>
                <w:vertAlign w:val="subscript"/>
              </w:rPr>
              <w:t>eqb</w:t>
            </w:r>
            <w:r>
              <w:rPr>
                <w:rFonts w:hAnsi="Times New Roman" w:cs="Times New Roman"/>
                <w:color w:val="auto"/>
              </w:rPr>
              <w:t>—预测点的背景值，dB（A）。</w:t>
            </w:r>
          </w:p>
          <w:p w14:paraId="51B219FD">
            <w:pPr>
              <w:pStyle w:val="83"/>
              <w:spacing w:before="120" w:beforeLines="50"/>
              <w:ind w:firstLine="480"/>
              <w:rPr>
                <w:color w:val="auto"/>
              </w:rPr>
            </w:pPr>
            <w:r>
              <w:rPr>
                <w:rFonts w:hint="eastAsia"/>
                <w:color w:val="auto"/>
              </w:rPr>
              <w:t>（3）预测结果</w:t>
            </w:r>
          </w:p>
          <w:p w14:paraId="479AEF9A">
            <w:pPr>
              <w:pStyle w:val="14"/>
              <w:keepNext w:val="0"/>
              <w:keepLines w:val="0"/>
              <w:pageBreakBefore w:val="0"/>
              <w:kinsoku/>
              <w:wordWrap/>
              <w:overflowPunct/>
              <w:topLinePunct w:val="0"/>
              <w:autoSpaceDE/>
              <w:autoSpaceDN/>
              <w:bidi w:val="0"/>
              <w:spacing w:before="0" w:after="0" w:line="360" w:lineRule="auto"/>
              <w:ind w:right="0"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lang w:eastAsia="zh-CN"/>
              </w:rPr>
              <w:t>项目全部投产后，在经过厂区距离衰减、车间阻隔、设备减振、隔声等降噪措施后，昼间各厂界预测点噪声贡献值在</w:t>
            </w:r>
            <w:r>
              <w:rPr>
                <w:rFonts w:hint="eastAsia" w:cs="Times New Roman"/>
                <w:color w:val="auto"/>
                <w:sz w:val="24"/>
                <w:szCs w:val="24"/>
                <w:lang w:val="en-US" w:eastAsia="zh-CN"/>
              </w:rPr>
              <w:t>43.4~57.3</w:t>
            </w:r>
            <w:r>
              <w:rPr>
                <w:rFonts w:hint="default" w:ascii="Times New Roman" w:hAnsi="Times New Roman" w:eastAsia="宋体" w:cs="Times New Roman"/>
                <w:color w:val="auto"/>
                <w:sz w:val="24"/>
                <w:szCs w:val="24"/>
                <w:lang w:eastAsia="zh-CN"/>
              </w:rPr>
              <w:t>dB（A）之间，预测结果详见下表4</w:t>
            </w:r>
            <w:r>
              <w:rPr>
                <w:rFonts w:hint="eastAsia"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lang w:eastAsia="zh-CN"/>
              </w:rPr>
              <w:t>-</w:t>
            </w:r>
            <w:r>
              <w:rPr>
                <w:rFonts w:hint="eastAsia" w:cs="Times New Roman"/>
                <w:color w:val="auto"/>
                <w:sz w:val="24"/>
                <w:szCs w:val="24"/>
                <w:lang w:val="en-US" w:eastAsia="zh-CN"/>
              </w:rPr>
              <w:t>8</w:t>
            </w:r>
            <w:r>
              <w:rPr>
                <w:rFonts w:hint="default" w:ascii="Times New Roman" w:hAnsi="Times New Roman" w:eastAsia="宋体" w:cs="Times New Roman"/>
                <w:color w:val="auto"/>
                <w:sz w:val="24"/>
                <w:szCs w:val="24"/>
                <w:lang w:eastAsia="zh-CN"/>
              </w:rPr>
              <w:t>。</w:t>
            </w:r>
          </w:p>
          <w:p w14:paraId="68741EEC">
            <w:pPr>
              <w:jc w:val="center"/>
              <w:rPr>
                <w:rFonts w:hint="default" w:ascii="Times New Roman" w:hAnsi="Times New Roman" w:eastAsia="宋体"/>
                <w:color w:val="auto"/>
                <w:szCs w:val="21"/>
                <w:highlight w:val="none"/>
              </w:rPr>
            </w:pPr>
            <w:r>
              <w:rPr>
                <w:rFonts w:hint="default" w:ascii="Times New Roman" w:hAnsi="Times New Roman" w:eastAsia="宋体"/>
                <w:color w:val="auto"/>
                <w:szCs w:val="21"/>
                <w:highlight w:val="none"/>
              </w:rPr>
              <w:t>表4</w:t>
            </w:r>
            <w:r>
              <w:rPr>
                <w:rFonts w:hint="eastAsia" w:ascii="Times New Roman" w:hAnsi="Times New Roman" w:eastAsia="宋体"/>
                <w:color w:val="auto"/>
                <w:szCs w:val="21"/>
                <w:highlight w:val="none"/>
                <w:lang w:val="en-US" w:eastAsia="zh-CN"/>
              </w:rPr>
              <w:t>.2</w:t>
            </w:r>
            <w:r>
              <w:rPr>
                <w:rFonts w:hint="default" w:ascii="Times New Roman" w:hAnsi="Times New Roman" w:eastAsia="宋体"/>
                <w:color w:val="auto"/>
                <w:szCs w:val="21"/>
                <w:highlight w:val="none"/>
              </w:rPr>
              <w:t>-</w:t>
            </w:r>
            <w:r>
              <w:rPr>
                <w:rFonts w:hint="eastAsia"/>
                <w:color w:val="auto"/>
                <w:szCs w:val="21"/>
                <w:highlight w:val="none"/>
                <w:lang w:val="en-US" w:eastAsia="zh-CN"/>
              </w:rPr>
              <w:t>8</w:t>
            </w:r>
            <w:r>
              <w:rPr>
                <w:rFonts w:hint="default" w:ascii="Times New Roman" w:hAnsi="Times New Roman" w:eastAsia="宋体"/>
                <w:color w:val="auto"/>
                <w:szCs w:val="21"/>
                <w:highlight w:val="none"/>
              </w:rPr>
              <w:t>厂界噪声影响预测结果</w:t>
            </w:r>
            <w:r>
              <w:rPr>
                <w:rFonts w:hint="eastAsia"/>
                <w:color w:val="auto"/>
                <w:szCs w:val="21"/>
                <w:highlight w:val="none"/>
                <w:lang w:val="en-US" w:eastAsia="zh-CN"/>
              </w:rPr>
              <w:t xml:space="preserve"> </w:t>
            </w:r>
            <w:r>
              <w:rPr>
                <w:rFonts w:hint="default" w:ascii="Times New Roman" w:hAnsi="Times New Roman" w:eastAsia="宋体"/>
                <w:color w:val="auto"/>
                <w:szCs w:val="21"/>
                <w:highlight w:val="none"/>
              </w:rPr>
              <w:t>单位：dB (A)</w:t>
            </w:r>
          </w:p>
          <w:tbl>
            <w:tblPr>
              <w:tblStyle w:val="31"/>
              <w:tblW w:w="8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8"/>
              <w:gridCol w:w="817"/>
              <w:gridCol w:w="1089"/>
              <w:gridCol w:w="1089"/>
              <w:gridCol w:w="912"/>
              <w:gridCol w:w="912"/>
              <w:gridCol w:w="874"/>
              <w:gridCol w:w="1075"/>
            </w:tblGrid>
            <w:tr w14:paraId="0FCDC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288" w:type="dxa"/>
                  <w:vAlign w:val="center"/>
                </w:tcPr>
                <w:p w14:paraId="50241DE6">
                  <w:pPr>
                    <w:widowControl/>
                    <w:jc w:val="center"/>
                    <w:textAlignment w:val="center"/>
                    <w:rPr>
                      <w:rFonts w:hint="default" w:ascii="Times New Roman" w:hAnsi="Times New Roman" w:eastAsia="宋体" w:cs="Times New Roman"/>
                      <w:color w:val="auto"/>
                      <w:kern w:val="0"/>
                      <w:szCs w:val="21"/>
                      <w:highlight w:val="none"/>
                      <w:lang w:val="en-US" w:eastAsia="zh-CN" w:bidi="ar"/>
                    </w:rPr>
                  </w:pPr>
                  <w:r>
                    <w:rPr>
                      <w:rFonts w:hint="default" w:ascii="Times New Roman" w:hAnsi="Times New Roman" w:eastAsia="宋体" w:cs="Times New Roman"/>
                      <w:color w:val="auto"/>
                      <w:kern w:val="0"/>
                      <w:szCs w:val="21"/>
                      <w:highlight w:val="none"/>
                      <w:lang w:val="en-US" w:eastAsia="zh-CN" w:bidi="ar"/>
                    </w:rPr>
                    <w:t>预测位置</w:t>
                  </w:r>
                </w:p>
              </w:tc>
              <w:tc>
                <w:tcPr>
                  <w:tcW w:w="817" w:type="dxa"/>
                  <w:vAlign w:val="center"/>
                </w:tcPr>
                <w:p w14:paraId="350C8D4D">
                  <w:pPr>
                    <w:widowControl/>
                    <w:jc w:val="center"/>
                    <w:textAlignment w:val="center"/>
                    <w:rPr>
                      <w:rFonts w:hint="default" w:ascii="Times New Roman" w:hAnsi="Times New Roman" w:eastAsia="宋体" w:cs="Times New Roman"/>
                      <w:color w:val="auto"/>
                      <w:kern w:val="0"/>
                      <w:szCs w:val="21"/>
                      <w:highlight w:val="none"/>
                      <w:lang w:val="en-US" w:eastAsia="zh-CN" w:bidi="ar"/>
                    </w:rPr>
                  </w:pPr>
                  <w:r>
                    <w:rPr>
                      <w:rFonts w:hint="default" w:ascii="Times New Roman" w:hAnsi="Times New Roman" w:eastAsia="宋体" w:cs="Times New Roman"/>
                      <w:color w:val="auto"/>
                      <w:kern w:val="0"/>
                      <w:szCs w:val="21"/>
                      <w:highlight w:val="none"/>
                      <w:lang w:val="en-US" w:eastAsia="zh-CN" w:bidi="ar"/>
                    </w:rPr>
                    <w:t>噪声源</w:t>
                  </w:r>
                </w:p>
              </w:tc>
              <w:tc>
                <w:tcPr>
                  <w:tcW w:w="1089" w:type="dxa"/>
                  <w:vAlign w:val="center"/>
                </w:tcPr>
                <w:p w14:paraId="38564F49">
                  <w:pPr>
                    <w:widowControl/>
                    <w:jc w:val="center"/>
                    <w:textAlignment w:val="center"/>
                    <w:rPr>
                      <w:rFonts w:hint="default" w:ascii="Times New Roman" w:hAnsi="Times New Roman" w:eastAsia="宋体" w:cs="Times New Roman"/>
                      <w:color w:val="auto"/>
                      <w:kern w:val="0"/>
                      <w:szCs w:val="21"/>
                      <w:highlight w:val="none"/>
                      <w:lang w:val="en-US" w:eastAsia="zh-CN" w:bidi="ar"/>
                    </w:rPr>
                  </w:pPr>
                  <w:r>
                    <w:rPr>
                      <w:rFonts w:hint="default" w:ascii="Times New Roman" w:hAnsi="Times New Roman" w:eastAsia="宋体" w:cs="Times New Roman"/>
                      <w:color w:val="auto"/>
                      <w:kern w:val="0"/>
                      <w:szCs w:val="21"/>
                      <w:highlight w:val="none"/>
                      <w:lang w:val="en-US" w:eastAsia="zh-CN" w:bidi="ar"/>
                    </w:rPr>
                    <w:t>时间</w:t>
                  </w:r>
                </w:p>
              </w:tc>
              <w:tc>
                <w:tcPr>
                  <w:tcW w:w="1089" w:type="dxa"/>
                  <w:vAlign w:val="center"/>
                </w:tcPr>
                <w:p w14:paraId="69BC6189">
                  <w:pPr>
                    <w:widowControl/>
                    <w:jc w:val="center"/>
                    <w:textAlignment w:val="center"/>
                    <w:rPr>
                      <w:rFonts w:hint="default" w:ascii="Times New Roman" w:hAnsi="Times New Roman" w:eastAsia="宋体" w:cs="Times New Roman"/>
                      <w:color w:val="auto"/>
                      <w:kern w:val="0"/>
                      <w:szCs w:val="21"/>
                      <w:highlight w:val="none"/>
                      <w:lang w:val="zh-CN" w:eastAsia="zh-CN" w:bidi="ar"/>
                    </w:rPr>
                  </w:pPr>
                  <w:r>
                    <w:rPr>
                      <w:rFonts w:hint="default" w:ascii="Times New Roman" w:hAnsi="Times New Roman" w:eastAsia="宋体" w:cs="Times New Roman"/>
                      <w:color w:val="auto"/>
                      <w:kern w:val="0"/>
                      <w:szCs w:val="21"/>
                      <w:highlight w:val="none"/>
                      <w:lang w:val="zh-CN" w:eastAsia="zh-CN" w:bidi="ar"/>
                    </w:rPr>
                    <w:t>贡献值</w:t>
                  </w:r>
                </w:p>
              </w:tc>
              <w:tc>
                <w:tcPr>
                  <w:tcW w:w="912" w:type="dxa"/>
                  <w:vAlign w:val="center"/>
                </w:tcPr>
                <w:p w14:paraId="0EEB955A">
                  <w:pPr>
                    <w:widowControl/>
                    <w:jc w:val="center"/>
                    <w:textAlignment w:val="center"/>
                    <w:rPr>
                      <w:rFonts w:hint="default" w:ascii="Times New Roman" w:hAnsi="Times New Roman" w:eastAsia="宋体" w:cs="Times New Roman"/>
                      <w:color w:val="auto"/>
                      <w:kern w:val="0"/>
                      <w:szCs w:val="21"/>
                      <w:highlight w:val="none"/>
                      <w:lang w:val="en-US" w:eastAsia="zh-CN" w:bidi="ar"/>
                    </w:rPr>
                  </w:pPr>
                  <w:r>
                    <w:rPr>
                      <w:rFonts w:hint="default" w:ascii="Times New Roman" w:hAnsi="Times New Roman" w:eastAsia="宋体" w:cs="Times New Roman"/>
                      <w:color w:val="auto"/>
                      <w:kern w:val="0"/>
                      <w:szCs w:val="21"/>
                      <w:highlight w:val="none"/>
                      <w:lang w:val="zh-CN" w:eastAsia="zh-CN" w:bidi="ar"/>
                    </w:rPr>
                    <w:t>背景值</w:t>
                  </w:r>
                </w:p>
              </w:tc>
              <w:tc>
                <w:tcPr>
                  <w:tcW w:w="912" w:type="dxa"/>
                  <w:vAlign w:val="center"/>
                </w:tcPr>
                <w:p w14:paraId="4715E965">
                  <w:pPr>
                    <w:widowControl/>
                    <w:jc w:val="center"/>
                    <w:textAlignment w:val="center"/>
                    <w:rPr>
                      <w:rFonts w:hint="default" w:ascii="Times New Roman" w:hAnsi="Times New Roman" w:eastAsia="宋体" w:cs="Times New Roman"/>
                      <w:color w:val="auto"/>
                      <w:kern w:val="0"/>
                      <w:szCs w:val="21"/>
                      <w:highlight w:val="none"/>
                      <w:lang w:val="en-US" w:eastAsia="zh-CN" w:bidi="ar"/>
                    </w:rPr>
                  </w:pPr>
                  <w:r>
                    <w:rPr>
                      <w:rFonts w:hint="default" w:ascii="Times New Roman" w:hAnsi="Times New Roman" w:eastAsia="宋体" w:cs="Times New Roman"/>
                      <w:color w:val="auto"/>
                      <w:kern w:val="0"/>
                      <w:szCs w:val="21"/>
                      <w:highlight w:val="none"/>
                      <w:lang w:val="zh-CN" w:eastAsia="zh-CN" w:bidi="ar"/>
                    </w:rPr>
                    <w:t>叠加值</w:t>
                  </w:r>
                </w:p>
              </w:tc>
              <w:tc>
                <w:tcPr>
                  <w:tcW w:w="874" w:type="dxa"/>
                  <w:vAlign w:val="center"/>
                </w:tcPr>
                <w:p w14:paraId="117D392C">
                  <w:pPr>
                    <w:widowControl/>
                    <w:jc w:val="center"/>
                    <w:textAlignment w:val="center"/>
                    <w:rPr>
                      <w:rFonts w:hint="default" w:ascii="Times New Roman" w:hAnsi="Times New Roman" w:eastAsia="宋体" w:cs="Times New Roman"/>
                      <w:color w:val="auto"/>
                      <w:kern w:val="0"/>
                      <w:szCs w:val="21"/>
                      <w:highlight w:val="none"/>
                      <w:lang w:val="en-US" w:eastAsia="zh-CN" w:bidi="ar"/>
                    </w:rPr>
                  </w:pPr>
                  <w:r>
                    <w:rPr>
                      <w:rFonts w:hint="default" w:ascii="Times New Roman" w:hAnsi="Times New Roman" w:eastAsia="宋体" w:cs="Times New Roman"/>
                      <w:color w:val="auto"/>
                      <w:kern w:val="0"/>
                      <w:szCs w:val="21"/>
                      <w:highlight w:val="none"/>
                      <w:lang w:val="en-US" w:eastAsia="zh-CN" w:bidi="ar"/>
                    </w:rPr>
                    <w:t>标准值</w:t>
                  </w:r>
                </w:p>
              </w:tc>
              <w:tc>
                <w:tcPr>
                  <w:tcW w:w="1075" w:type="dxa"/>
                  <w:vAlign w:val="center"/>
                </w:tcPr>
                <w:p w14:paraId="1F8F3368">
                  <w:pPr>
                    <w:widowControl/>
                    <w:jc w:val="center"/>
                    <w:textAlignment w:val="center"/>
                    <w:rPr>
                      <w:rFonts w:hint="default" w:ascii="Times New Roman" w:hAnsi="Times New Roman" w:eastAsia="宋体" w:cs="Times New Roman"/>
                      <w:color w:val="auto"/>
                      <w:kern w:val="0"/>
                      <w:szCs w:val="21"/>
                      <w:highlight w:val="none"/>
                      <w:lang w:val="en-US" w:eastAsia="zh-CN" w:bidi="ar"/>
                    </w:rPr>
                  </w:pPr>
                  <w:r>
                    <w:rPr>
                      <w:rFonts w:hint="default" w:ascii="Times New Roman" w:hAnsi="Times New Roman" w:eastAsia="宋体" w:cs="Times New Roman"/>
                      <w:color w:val="auto"/>
                      <w:kern w:val="0"/>
                      <w:szCs w:val="21"/>
                      <w:highlight w:val="none"/>
                      <w:lang w:val="en-US" w:eastAsia="zh-CN" w:bidi="ar"/>
                    </w:rPr>
                    <w:t>达标情况</w:t>
                  </w:r>
                </w:p>
              </w:tc>
            </w:tr>
            <w:tr w14:paraId="173D9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288" w:type="dxa"/>
                  <w:vAlign w:val="center"/>
                </w:tcPr>
                <w:p w14:paraId="3FF054F6">
                  <w:pPr>
                    <w:widowControl/>
                    <w:jc w:val="center"/>
                    <w:textAlignment w:val="center"/>
                    <w:rPr>
                      <w:rFonts w:hint="eastAsia" w:cs="Times New Roman"/>
                      <w:color w:val="auto"/>
                      <w:kern w:val="0"/>
                      <w:szCs w:val="21"/>
                      <w:highlight w:val="none"/>
                      <w:lang w:val="en-US" w:eastAsia="zh-CN" w:bidi="ar"/>
                    </w:rPr>
                  </w:pPr>
                  <w:r>
                    <w:rPr>
                      <w:rFonts w:hint="eastAsia" w:cs="Times New Roman"/>
                      <w:color w:val="auto"/>
                      <w:kern w:val="0"/>
                      <w:szCs w:val="21"/>
                      <w:highlight w:val="none"/>
                      <w:lang w:val="en-US" w:eastAsia="zh-CN" w:bidi="ar"/>
                    </w:rPr>
                    <w:t>N1</w:t>
                  </w:r>
                </w:p>
                <w:p w14:paraId="188EE968">
                  <w:pPr>
                    <w:widowControl/>
                    <w:jc w:val="center"/>
                    <w:textAlignment w:val="center"/>
                    <w:rPr>
                      <w:rFonts w:hint="default" w:ascii="Times New Roman" w:hAnsi="Times New Roman" w:eastAsia="宋体" w:cs="Times New Roman"/>
                      <w:color w:val="auto"/>
                      <w:kern w:val="0"/>
                      <w:szCs w:val="21"/>
                      <w:highlight w:val="none"/>
                      <w:lang w:val="en-US" w:eastAsia="zh-CN" w:bidi="ar"/>
                    </w:rPr>
                  </w:pPr>
                  <w:r>
                    <w:rPr>
                      <w:rFonts w:hint="default" w:ascii="Times New Roman" w:hAnsi="Times New Roman" w:eastAsia="宋体" w:cs="Times New Roman"/>
                      <w:color w:val="auto"/>
                      <w:kern w:val="0"/>
                      <w:szCs w:val="21"/>
                      <w:highlight w:val="none"/>
                      <w:lang w:val="en-US" w:eastAsia="zh-CN" w:bidi="ar"/>
                    </w:rPr>
                    <w:t>厂界</w:t>
                  </w:r>
                  <w:r>
                    <w:rPr>
                      <w:rFonts w:hint="eastAsia" w:cs="Times New Roman"/>
                      <w:color w:val="auto"/>
                      <w:kern w:val="0"/>
                      <w:szCs w:val="21"/>
                      <w:highlight w:val="none"/>
                      <w:lang w:val="en-US" w:eastAsia="zh-CN" w:bidi="ar"/>
                    </w:rPr>
                    <w:t>北侧</w:t>
                  </w:r>
                </w:p>
              </w:tc>
              <w:tc>
                <w:tcPr>
                  <w:tcW w:w="817" w:type="dxa"/>
                  <w:vMerge w:val="restart"/>
                  <w:vAlign w:val="center"/>
                </w:tcPr>
                <w:p w14:paraId="0046E864">
                  <w:pPr>
                    <w:widowControl/>
                    <w:jc w:val="center"/>
                    <w:textAlignment w:val="center"/>
                    <w:rPr>
                      <w:rFonts w:hint="default" w:ascii="Times New Roman" w:hAnsi="Times New Roman" w:eastAsia="宋体" w:cs="Times New Roman"/>
                      <w:color w:val="auto"/>
                      <w:kern w:val="0"/>
                      <w:szCs w:val="21"/>
                      <w:highlight w:val="none"/>
                      <w:lang w:val="en-US" w:eastAsia="zh-CN" w:bidi="ar"/>
                    </w:rPr>
                  </w:pPr>
                  <w:r>
                    <w:rPr>
                      <w:rFonts w:hint="eastAsia" w:cs="Times New Roman"/>
                      <w:color w:val="auto"/>
                      <w:kern w:val="0"/>
                      <w:szCs w:val="21"/>
                      <w:highlight w:val="none"/>
                      <w:lang w:val="en-US" w:eastAsia="zh-CN" w:bidi="ar"/>
                    </w:rPr>
                    <w:t>设备、风机</w:t>
                  </w:r>
                </w:p>
              </w:tc>
              <w:tc>
                <w:tcPr>
                  <w:tcW w:w="1089" w:type="dxa"/>
                  <w:vAlign w:val="center"/>
                </w:tcPr>
                <w:p w14:paraId="64676A24">
                  <w:pPr>
                    <w:widowControl/>
                    <w:jc w:val="center"/>
                    <w:textAlignment w:val="center"/>
                    <w:rPr>
                      <w:rFonts w:hint="default" w:ascii="Times New Roman" w:hAnsi="Times New Roman" w:eastAsia="宋体" w:cs="Times New Roman"/>
                      <w:color w:val="auto"/>
                      <w:kern w:val="0"/>
                      <w:szCs w:val="21"/>
                      <w:highlight w:val="none"/>
                      <w:lang w:val="en-US" w:eastAsia="zh-CN" w:bidi="ar"/>
                    </w:rPr>
                  </w:pPr>
                  <w:r>
                    <w:rPr>
                      <w:rFonts w:hint="default" w:ascii="Times New Roman" w:hAnsi="Times New Roman" w:eastAsia="宋体" w:cs="Times New Roman"/>
                      <w:color w:val="auto"/>
                      <w:kern w:val="0"/>
                      <w:szCs w:val="21"/>
                      <w:highlight w:val="none"/>
                      <w:lang w:val="en-US" w:eastAsia="zh-CN" w:bidi="ar"/>
                    </w:rPr>
                    <w:t>昼间</w:t>
                  </w:r>
                </w:p>
              </w:tc>
              <w:tc>
                <w:tcPr>
                  <w:tcW w:w="1089" w:type="dxa"/>
                  <w:vAlign w:val="center"/>
                </w:tcPr>
                <w:p w14:paraId="4574922F">
                  <w:pPr>
                    <w:widowControl/>
                    <w:jc w:val="center"/>
                    <w:textAlignment w:val="center"/>
                    <w:rPr>
                      <w:rFonts w:hint="default" w:ascii="Times New Roman" w:hAnsi="Times New Roman" w:eastAsia="宋体" w:cs="Times New Roman"/>
                      <w:color w:val="auto"/>
                      <w:kern w:val="0"/>
                      <w:szCs w:val="21"/>
                      <w:highlight w:val="none"/>
                      <w:lang w:val="en-US" w:eastAsia="zh-CN" w:bidi="ar"/>
                    </w:rPr>
                  </w:pPr>
                  <w:r>
                    <w:rPr>
                      <w:rFonts w:hint="eastAsia" w:cs="Times New Roman"/>
                      <w:color w:val="auto"/>
                      <w:kern w:val="0"/>
                      <w:szCs w:val="21"/>
                      <w:highlight w:val="none"/>
                      <w:lang w:val="en-US" w:eastAsia="zh-CN" w:bidi="ar"/>
                    </w:rPr>
                    <w:t>52.6</w:t>
                  </w:r>
                </w:p>
              </w:tc>
              <w:tc>
                <w:tcPr>
                  <w:tcW w:w="912" w:type="dxa"/>
                  <w:vAlign w:val="center"/>
                </w:tcPr>
                <w:p w14:paraId="1D23EF04">
                  <w:pPr>
                    <w:widowControl/>
                    <w:jc w:val="center"/>
                    <w:textAlignment w:val="center"/>
                    <w:rPr>
                      <w:rFonts w:hint="default" w:ascii="Times New Roman" w:hAnsi="Times New Roman" w:eastAsia="宋体" w:cs="Times New Roman"/>
                      <w:color w:val="auto"/>
                      <w:kern w:val="0"/>
                      <w:szCs w:val="21"/>
                      <w:highlight w:val="none"/>
                      <w:lang w:val="en-US" w:eastAsia="zh-CN" w:bidi="ar"/>
                    </w:rPr>
                  </w:pPr>
                  <w:r>
                    <w:rPr>
                      <w:rFonts w:hint="eastAsia" w:cs="Times New Roman"/>
                      <w:color w:val="auto"/>
                      <w:kern w:val="0"/>
                      <w:szCs w:val="21"/>
                      <w:highlight w:val="none"/>
                      <w:lang w:val="en-US" w:eastAsia="zh-CN" w:bidi="ar"/>
                    </w:rPr>
                    <w:t>/</w:t>
                  </w:r>
                </w:p>
              </w:tc>
              <w:tc>
                <w:tcPr>
                  <w:tcW w:w="912" w:type="dxa"/>
                  <w:vAlign w:val="center"/>
                </w:tcPr>
                <w:p w14:paraId="6A770320">
                  <w:pPr>
                    <w:widowControl/>
                    <w:jc w:val="center"/>
                    <w:textAlignment w:val="center"/>
                    <w:rPr>
                      <w:rFonts w:hint="default" w:ascii="Times New Roman" w:hAnsi="Times New Roman" w:eastAsia="宋体" w:cs="Times New Roman"/>
                      <w:color w:val="auto"/>
                      <w:kern w:val="0"/>
                      <w:szCs w:val="21"/>
                      <w:highlight w:val="none"/>
                      <w:lang w:val="en-US" w:eastAsia="zh-CN" w:bidi="ar"/>
                    </w:rPr>
                  </w:pPr>
                  <w:r>
                    <w:rPr>
                      <w:rFonts w:hint="eastAsia" w:cs="Times New Roman"/>
                      <w:color w:val="auto"/>
                      <w:kern w:val="0"/>
                      <w:szCs w:val="21"/>
                      <w:highlight w:val="none"/>
                      <w:lang w:val="en-US" w:eastAsia="zh-CN" w:bidi="ar"/>
                    </w:rPr>
                    <w:t>/</w:t>
                  </w:r>
                </w:p>
              </w:tc>
              <w:tc>
                <w:tcPr>
                  <w:tcW w:w="874" w:type="dxa"/>
                  <w:vAlign w:val="center"/>
                </w:tcPr>
                <w:p w14:paraId="59CB99A3">
                  <w:pPr>
                    <w:widowControl/>
                    <w:jc w:val="center"/>
                    <w:textAlignment w:val="center"/>
                    <w:rPr>
                      <w:rFonts w:hint="default" w:ascii="Times New Roman" w:hAnsi="Times New Roman" w:eastAsia="宋体" w:cs="Times New Roman"/>
                      <w:color w:val="auto"/>
                      <w:kern w:val="0"/>
                      <w:szCs w:val="21"/>
                      <w:highlight w:val="none"/>
                      <w:lang w:val="en-US" w:eastAsia="zh-CN" w:bidi="ar"/>
                    </w:rPr>
                  </w:pPr>
                  <w:r>
                    <w:rPr>
                      <w:rFonts w:hint="default" w:ascii="Times New Roman" w:hAnsi="Times New Roman" w:eastAsia="宋体" w:cs="Times New Roman"/>
                      <w:color w:val="auto"/>
                      <w:kern w:val="0"/>
                      <w:szCs w:val="21"/>
                      <w:highlight w:val="none"/>
                      <w:lang w:val="en-US" w:eastAsia="zh-CN" w:bidi="ar"/>
                    </w:rPr>
                    <w:t>65</w:t>
                  </w:r>
                </w:p>
              </w:tc>
              <w:tc>
                <w:tcPr>
                  <w:tcW w:w="1075" w:type="dxa"/>
                  <w:vAlign w:val="center"/>
                </w:tcPr>
                <w:p w14:paraId="2027EFC6">
                  <w:pPr>
                    <w:widowControl/>
                    <w:jc w:val="center"/>
                    <w:textAlignment w:val="center"/>
                    <w:rPr>
                      <w:rFonts w:hint="default" w:ascii="Times New Roman" w:hAnsi="Times New Roman" w:eastAsia="宋体" w:cs="Times New Roman"/>
                      <w:color w:val="auto"/>
                      <w:kern w:val="0"/>
                      <w:szCs w:val="21"/>
                      <w:highlight w:val="none"/>
                      <w:lang w:val="en-US" w:eastAsia="zh-CN" w:bidi="ar"/>
                    </w:rPr>
                  </w:pPr>
                  <w:r>
                    <w:rPr>
                      <w:rFonts w:hint="default" w:ascii="Times New Roman" w:hAnsi="Times New Roman" w:eastAsia="宋体" w:cs="Times New Roman"/>
                      <w:color w:val="auto"/>
                      <w:kern w:val="0"/>
                      <w:szCs w:val="21"/>
                      <w:highlight w:val="none"/>
                      <w:lang w:val="en-US" w:eastAsia="zh-CN" w:bidi="ar"/>
                    </w:rPr>
                    <w:t>达标</w:t>
                  </w:r>
                </w:p>
              </w:tc>
            </w:tr>
            <w:tr w14:paraId="6F06E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288" w:type="dxa"/>
                  <w:shd w:val="clear" w:color="auto" w:fill="auto"/>
                  <w:vAlign w:val="center"/>
                </w:tcPr>
                <w:p w14:paraId="131E6106">
                  <w:pPr>
                    <w:widowControl/>
                    <w:jc w:val="center"/>
                    <w:textAlignment w:val="center"/>
                    <w:rPr>
                      <w:rFonts w:hint="eastAsia" w:cs="Times New Roman"/>
                      <w:color w:val="auto"/>
                      <w:kern w:val="0"/>
                      <w:szCs w:val="21"/>
                      <w:highlight w:val="none"/>
                      <w:lang w:val="en-US" w:eastAsia="zh-CN" w:bidi="ar"/>
                    </w:rPr>
                  </w:pPr>
                  <w:r>
                    <w:rPr>
                      <w:rFonts w:hint="eastAsia" w:cs="Times New Roman"/>
                      <w:color w:val="auto"/>
                      <w:kern w:val="0"/>
                      <w:szCs w:val="21"/>
                      <w:highlight w:val="none"/>
                      <w:lang w:val="en-US" w:eastAsia="zh-CN" w:bidi="ar"/>
                    </w:rPr>
                    <w:t>N2</w:t>
                  </w:r>
                </w:p>
                <w:p w14:paraId="2B5531FD">
                  <w:pPr>
                    <w:widowControl/>
                    <w:jc w:val="center"/>
                    <w:textAlignment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Cs w:val="21"/>
                      <w:highlight w:val="none"/>
                      <w:lang w:val="en-US" w:eastAsia="zh-CN" w:bidi="ar"/>
                    </w:rPr>
                    <w:t>厂界</w:t>
                  </w:r>
                  <w:r>
                    <w:rPr>
                      <w:rFonts w:hint="eastAsia" w:ascii="Times New Roman" w:hAnsi="Times New Roman" w:eastAsia="宋体" w:cs="Times New Roman"/>
                      <w:color w:val="auto"/>
                      <w:kern w:val="0"/>
                      <w:szCs w:val="21"/>
                      <w:highlight w:val="none"/>
                      <w:lang w:val="en-US" w:eastAsia="zh-CN" w:bidi="ar"/>
                    </w:rPr>
                    <w:t>东</w:t>
                  </w:r>
                  <w:r>
                    <w:rPr>
                      <w:rFonts w:hint="eastAsia" w:cs="Times New Roman"/>
                      <w:color w:val="auto"/>
                      <w:kern w:val="0"/>
                      <w:szCs w:val="21"/>
                      <w:highlight w:val="none"/>
                      <w:lang w:val="en-US" w:eastAsia="zh-CN" w:bidi="ar"/>
                    </w:rPr>
                    <w:t>北侧</w:t>
                  </w:r>
                </w:p>
              </w:tc>
              <w:tc>
                <w:tcPr>
                  <w:tcW w:w="817" w:type="dxa"/>
                  <w:vMerge w:val="continue"/>
                  <w:vAlign w:val="center"/>
                </w:tcPr>
                <w:p w14:paraId="2C711578">
                  <w:pPr>
                    <w:widowControl/>
                    <w:jc w:val="center"/>
                    <w:textAlignment w:val="center"/>
                    <w:rPr>
                      <w:rFonts w:hint="eastAsia" w:cs="Times New Roman"/>
                      <w:color w:val="auto"/>
                      <w:kern w:val="0"/>
                      <w:szCs w:val="21"/>
                      <w:highlight w:val="none"/>
                      <w:lang w:val="en-US" w:eastAsia="zh-CN" w:bidi="ar"/>
                    </w:rPr>
                  </w:pPr>
                </w:p>
              </w:tc>
              <w:tc>
                <w:tcPr>
                  <w:tcW w:w="1089" w:type="dxa"/>
                  <w:vAlign w:val="center"/>
                </w:tcPr>
                <w:p w14:paraId="5CBF8525">
                  <w:pPr>
                    <w:widowControl/>
                    <w:jc w:val="center"/>
                    <w:textAlignment w:val="center"/>
                    <w:rPr>
                      <w:rFonts w:hint="default" w:ascii="Times New Roman" w:hAnsi="Times New Roman" w:eastAsia="宋体" w:cs="Times New Roman"/>
                      <w:color w:val="auto"/>
                      <w:kern w:val="0"/>
                      <w:szCs w:val="21"/>
                      <w:highlight w:val="none"/>
                      <w:lang w:val="en-US" w:eastAsia="zh-CN" w:bidi="ar"/>
                    </w:rPr>
                  </w:pPr>
                  <w:r>
                    <w:rPr>
                      <w:rFonts w:hint="default" w:ascii="Times New Roman" w:hAnsi="Times New Roman" w:eastAsia="宋体" w:cs="Times New Roman"/>
                      <w:color w:val="auto"/>
                      <w:kern w:val="0"/>
                      <w:szCs w:val="21"/>
                      <w:highlight w:val="none"/>
                      <w:lang w:val="en-US" w:eastAsia="zh-CN" w:bidi="ar"/>
                    </w:rPr>
                    <w:t>昼间</w:t>
                  </w:r>
                </w:p>
              </w:tc>
              <w:tc>
                <w:tcPr>
                  <w:tcW w:w="1089" w:type="dxa"/>
                  <w:vAlign w:val="center"/>
                </w:tcPr>
                <w:p w14:paraId="7C471FA3">
                  <w:pPr>
                    <w:widowControl/>
                    <w:jc w:val="center"/>
                    <w:textAlignment w:val="center"/>
                    <w:rPr>
                      <w:rFonts w:hint="default" w:cs="Times New Roman"/>
                      <w:color w:val="auto"/>
                      <w:kern w:val="0"/>
                      <w:szCs w:val="21"/>
                      <w:highlight w:val="none"/>
                      <w:lang w:val="en-US" w:eastAsia="zh-CN" w:bidi="ar"/>
                    </w:rPr>
                  </w:pPr>
                  <w:r>
                    <w:rPr>
                      <w:rFonts w:hint="eastAsia" w:cs="Times New Roman"/>
                      <w:color w:val="auto"/>
                      <w:kern w:val="0"/>
                      <w:szCs w:val="21"/>
                      <w:highlight w:val="none"/>
                      <w:lang w:val="en-US" w:eastAsia="zh-CN" w:bidi="ar"/>
                    </w:rPr>
                    <w:t>50.8</w:t>
                  </w:r>
                </w:p>
              </w:tc>
              <w:tc>
                <w:tcPr>
                  <w:tcW w:w="912" w:type="dxa"/>
                  <w:vAlign w:val="center"/>
                </w:tcPr>
                <w:p w14:paraId="41DC5C62">
                  <w:pPr>
                    <w:widowControl/>
                    <w:jc w:val="center"/>
                    <w:textAlignment w:val="center"/>
                    <w:rPr>
                      <w:rFonts w:hint="default" w:ascii="Times New Roman" w:hAnsi="Times New Roman" w:eastAsia="宋体" w:cs="Times New Roman"/>
                      <w:color w:val="auto"/>
                      <w:kern w:val="0"/>
                      <w:szCs w:val="21"/>
                      <w:highlight w:val="none"/>
                      <w:lang w:val="en-US" w:eastAsia="zh-CN" w:bidi="ar"/>
                    </w:rPr>
                  </w:pPr>
                  <w:r>
                    <w:rPr>
                      <w:rFonts w:hint="eastAsia" w:cs="Times New Roman"/>
                      <w:color w:val="auto"/>
                      <w:kern w:val="0"/>
                      <w:szCs w:val="21"/>
                      <w:highlight w:val="none"/>
                      <w:lang w:val="en-US" w:eastAsia="zh-CN" w:bidi="ar"/>
                    </w:rPr>
                    <w:t>/</w:t>
                  </w:r>
                </w:p>
              </w:tc>
              <w:tc>
                <w:tcPr>
                  <w:tcW w:w="912" w:type="dxa"/>
                  <w:vAlign w:val="center"/>
                </w:tcPr>
                <w:p w14:paraId="689C6BA1">
                  <w:pPr>
                    <w:widowControl/>
                    <w:jc w:val="center"/>
                    <w:textAlignment w:val="center"/>
                    <w:rPr>
                      <w:rFonts w:hint="default" w:ascii="Times New Roman" w:hAnsi="Times New Roman" w:eastAsia="宋体" w:cs="Times New Roman"/>
                      <w:color w:val="auto"/>
                      <w:kern w:val="0"/>
                      <w:szCs w:val="21"/>
                      <w:highlight w:val="none"/>
                      <w:lang w:val="en-US" w:eastAsia="zh-CN" w:bidi="ar"/>
                    </w:rPr>
                  </w:pPr>
                  <w:r>
                    <w:rPr>
                      <w:rFonts w:hint="eastAsia" w:cs="Times New Roman"/>
                      <w:color w:val="auto"/>
                      <w:kern w:val="0"/>
                      <w:szCs w:val="21"/>
                      <w:highlight w:val="none"/>
                      <w:lang w:val="en-US" w:eastAsia="zh-CN" w:bidi="ar"/>
                    </w:rPr>
                    <w:t>/</w:t>
                  </w:r>
                </w:p>
              </w:tc>
              <w:tc>
                <w:tcPr>
                  <w:tcW w:w="874" w:type="dxa"/>
                  <w:vAlign w:val="center"/>
                </w:tcPr>
                <w:p w14:paraId="4CD990D2">
                  <w:pPr>
                    <w:widowControl/>
                    <w:jc w:val="center"/>
                    <w:textAlignment w:val="center"/>
                    <w:rPr>
                      <w:rFonts w:hint="default" w:ascii="Times New Roman" w:hAnsi="Times New Roman" w:eastAsia="宋体" w:cs="Times New Roman"/>
                      <w:color w:val="auto"/>
                      <w:kern w:val="0"/>
                      <w:szCs w:val="21"/>
                      <w:highlight w:val="none"/>
                      <w:lang w:val="en-US" w:eastAsia="zh-CN" w:bidi="ar"/>
                    </w:rPr>
                  </w:pPr>
                  <w:r>
                    <w:rPr>
                      <w:rFonts w:hint="default" w:ascii="Times New Roman" w:hAnsi="Times New Roman" w:eastAsia="宋体" w:cs="Times New Roman"/>
                      <w:color w:val="auto"/>
                      <w:kern w:val="0"/>
                      <w:szCs w:val="21"/>
                      <w:highlight w:val="none"/>
                      <w:lang w:val="en-US" w:eastAsia="zh-CN" w:bidi="ar"/>
                    </w:rPr>
                    <w:t>65</w:t>
                  </w:r>
                </w:p>
              </w:tc>
              <w:tc>
                <w:tcPr>
                  <w:tcW w:w="1075" w:type="dxa"/>
                  <w:vAlign w:val="center"/>
                </w:tcPr>
                <w:p w14:paraId="508E4094">
                  <w:pPr>
                    <w:widowControl/>
                    <w:jc w:val="center"/>
                    <w:textAlignment w:val="center"/>
                    <w:rPr>
                      <w:rFonts w:hint="default" w:ascii="Times New Roman" w:hAnsi="Times New Roman" w:eastAsia="宋体" w:cs="Times New Roman"/>
                      <w:color w:val="auto"/>
                      <w:kern w:val="0"/>
                      <w:szCs w:val="21"/>
                      <w:highlight w:val="none"/>
                      <w:lang w:val="en-US" w:eastAsia="zh-CN" w:bidi="ar"/>
                    </w:rPr>
                  </w:pPr>
                  <w:r>
                    <w:rPr>
                      <w:rFonts w:hint="default" w:ascii="Times New Roman" w:hAnsi="Times New Roman" w:eastAsia="宋体" w:cs="Times New Roman"/>
                      <w:color w:val="auto"/>
                      <w:kern w:val="0"/>
                      <w:szCs w:val="21"/>
                      <w:highlight w:val="none"/>
                      <w:lang w:val="en-US" w:eastAsia="zh-CN" w:bidi="ar"/>
                    </w:rPr>
                    <w:t>达标</w:t>
                  </w:r>
                </w:p>
              </w:tc>
            </w:tr>
            <w:tr w14:paraId="5066B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288" w:type="dxa"/>
                  <w:vAlign w:val="center"/>
                </w:tcPr>
                <w:p w14:paraId="631C91C3">
                  <w:pPr>
                    <w:widowControl/>
                    <w:jc w:val="center"/>
                    <w:textAlignment w:val="center"/>
                    <w:rPr>
                      <w:rFonts w:hint="eastAsia" w:cs="Times New Roman"/>
                      <w:color w:val="auto"/>
                      <w:kern w:val="0"/>
                      <w:szCs w:val="21"/>
                      <w:highlight w:val="none"/>
                      <w:lang w:val="en-US" w:eastAsia="zh-CN" w:bidi="ar"/>
                    </w:rPr>
                  </w:pPr>
                  <w:r>
                    <w:rPr>
                      <w:rFonts w:hint="eastAsia" w:cs="Times New Roman"/>
                      <w:color w:val="auto"/>
                      <w:kern w:val="0"/>
                      <w:szCs w:val="21"/>
                      <w:highlight w:val="none"/>
                      <w:lang w:val="en-US" w:eastAsia="zh-CN" w:bidi="ar"/>
                    </w:rPr>
                    <w:t>N3</w:t>
                  </w:r>
                </w:p>
                <w:p w14:paraId="2F44B20E">
                  <w:pPr>
                    <w:widowControl/>
                    <w:jc w:val="center"/>
                    <w:textAlignment w:val="center"/>
                    <w:rPr>
                      <w:rFonts w:hint="default" w:ascii="Times New Roman" w:hAnsi="Times New Roman" w:eastAsia="宋体" w:cs="Times New Roman"/>
                      <w:color w:val="auto"/>
                      <w:kern w:val="0"/>
                      <w:szCs w:val="21"/>
                      <w:highlight w:val="none"/>
                      <w:lang w:val="en-US" w:eastAsia="zh-CN" w:bidi="ar"/>
                    </w:rPr>
                  </w:pPr>
                  <w:r>
                    <w:rPr>
                      <w:rFonts w:hint="default" w:ascii="Times New Roman" w:hAnsi="Times New Roman" w:eastAsia="宋体" w:cs="Times New Roman"/>
                      <w:color w:val="auto"/>
                      <w:kern w:val="0"/>
                      <w:szCs w:val="21"/>
                      <w:highlight w:val="none"/>
                      <w:lang w:val="en-US" w:eastAsia="zh-CN" w:bidi="ar"/>
                    </w:rPr>
                    <w:t>厂界</w:t>
                  </w:r>
                  <w:r>
                    <w:rPr>
                      <w:rFonts w:hint="eastAsia" w:ascii="Times New Roman" w:hAnsi="Times New Roman" w:eastAsia="宋体" w:cs="Times New Roman"/>
                      <w:color w:val="auto"/>
                      <w:kern w:val="0"/>
                      <w:szCs w:val="21"/>
                      <w:highlight w:val="none"/>
                      <w:lang w:val="en-US" w:eastAsia="zh-CN" w:bidi="ar"/>
                    </w:rPr>
                    <w:t>东</w:t>
                  </w:r>
                  <w:r>
                    <w:rPr>
                      <w:rFonts w:hint="eastAsia" w:cs="Times New Roman"/>
                      <w:color w:val="auto"/>
                      <w:kern w:val="0"/>
                      <w:szCs w:val="21"/>
                      <w:highlight w:val="none"/>
                      <w:lang w:val="en-US" w:eastAsia="zh-CN" w:bidi="ar"/>
                    </w:rPr>
                    <w:t>侧</w:t>
                  </w:r>
                </w:p>
              </w:tc>
              <w:tc>
                <w:tcPr>
                  <w:tcW w:w="817" w:type="dxa"/>
                  <w:vMerge w:val="continue"/>
                  <w:vAlign w:val="center"/>
                </w:tcPr>
                <w:p w14:paraId="224D2580">
                  <w:pPr>
                    <w:widowControl/>
                    <w:jc w:val="center"/>
                    <w:textAlignment w:val="center"/>
                    <w:rPr>
                      <w:rFonts w:hint="eastAsia" w:cs="Times New Roman"/>
                      <w:color w:val="auto"/>
                      <w:kern w:val="0"/>
                      <w:szCs w:val="21"/>
                      <w:highlight w:val="none"/>
                      <w:lang w:val="en-US" w:eastAsia="zh-CN" w:bidi="ar"/>
                    </w:rPr>
                  </w:pPr>
                </w:p>
              </w:tc>
              <w:tc>
                <w:tcPr>
                  <w:tcW w:w="1089" w:type="dxa"/>
                  <w:vAlign w:val="center"/>
                </w:tcPr>
                <w:p w14:paraId="30E5F584">
                  <w:pPr>
                    <w:widowControl/>
                    <w:jc w:val="center"/>
                    <w:textAlignment w:val="center"/>
                    <w:rPr>
                      <w:rFonts w:hint="default" w:ascii="Times New Roman" w:hAnsi="Times New Roman" w:eastAsia="宋体" w:cs="Times New Roman"/>
                      <w:color w:val="auto"/>
                      <w:kern w:val="0"/>
                      <w:szCs w:val="21"/>
                      <w:highlight w:val="none"/>
                      <w:lang w:val="en-US" w:eastAsia="zh-CN" w:bidi="ar"/>
                    </w:rPr>
                  </w:pPr>
                  <w:r>
                    <w:rPr>
                      <w:rFonts w:hint="default" w:ascii="Times New Roman" w:hAnsi="Times New Roman" w:eastAsia="宋体" w:cs="Times New Roman"/>
                      <w:color w:val="auto"/>
                      <w:kern w:val="0"/>
                      <w:szCs w:val="21"/>
                      <w:highlight w:val="none"/>
                      <w:lang w:val="en-US" w:eastAsia="zh-CN" w:bidi="ar"/>
                    </w:rPr>
                    <w:t>昼间</w:t>
                  </w:r>
                </w:p>
              </w:tc>
              <w:tc>
                <w:tcPr>
                  <w:tcW w:w="1089" w:type="dxa"/>
                  <w:vAlign w:val="center"/>
                </w:tcPr>
                <w:p w14:paraId="4CD6DCC2">
                  <w:pPr>
                    <w:widowControl/>
                    <w:jc w:val="center"/>
                    <w:textAlignment w:val="center"/>
                    <w:rPr>
                      <w:rFonts w:hint="default" w:cs="Times New Roman"/>
                      <w:color w:val="auto"/>
                      <w:kern w:val="0"/>
                      <w:szCs w:val="21"/>
                      <w:highlight w:val="none"/>
                      <w:lang w:val="en-US" w:eastAsia="zh-CN" w:bidi="ar"/>
                    </w:rPr>
                  </w:pPr>
                  <w:r>
                    <w:rPr>
                      <w:rFonts w:hint="eastAsia" w:cs="Times New Roman"/>
                      <w:color w:val="auto"/>
                      <w:kern w:val="0"/>
                      <w:szCs w:val="21"/>
                      <w:highlight w:val="none"/>
                      <w:lang w:val="en-US" w:eastAsia="zh-CN" w:bidi="ar"/>
                    </w:rPr>
                    <w:t>57.3</w:t>
                  </w:r>
                </w:p>
              </w:tc>
              <w:tc>
                <w:tcPr>
                  <w:tcW w:w="912" w:type="dxa"/>
                  <w:vAlign w:val="center"/>
                </w:tcPr>
                <w:p w14:paraId="2AE61AAF">
                  <w:pPr>
                    <w:widowControl/>
                    <w:jc w:val="center"/>
                    <w:textAlignment w:val="center"/>
                    <w:rPr>
                      <w:rFonts w:hint="default" w:ascii="Times New Roman" w:hAnsi="Times New Roman" w:eastAsia="宋体" w:cs="Times New Roman"/>
                      <w:color w:val="auto"/>
                      <w:kern w:val="0"/>
                      <w:szCs w:val="21"/>
                      <w:highlight w:val="none"/>
                      <w:lang w:val="en-US" w:eastAsia="zh-CN" w:bidi="ar"/>
                    </w:rPr>
                  </w:pPr>
                  <w:r>
                    <w:rPr>
                      <w:rFonts w:hint="eastAsia" w:cs="Times New Roman"/>
                      <w:color w:val="auto"/>
                      <w:kern w:val="0"/>
                      <w:szCs w:val="21"/>
                      <w:highlight w:val="none"/>
                      <w:lang w:val="en-US" w:eastAsia="zh-CN" w:bidi="ar"/>
                    </w:rPr>
                    <w:t>/</w:t>
                  </w:r>
                </w:p>
              </w:tc>
              <w:tc>
                <w:tcPr>
                  <w:tcW w:w="912" w:type="dxa"/>
                  <w:vAlign w:val="center"/>
                </w:tcPr>
                <w:p w14:paraId="2B3F1C07">
                  <w:pPr>
                    <w:widowControl/>
                    <w:jc w:val="center"/>
                    <w:textAlignment w:val="center"/>
                    <w:rPr>
                      <w:rFonts w:hint="default" w:ascii="Times New Roman" w:hAnsi="Times New Roman" w:eastAsia="宋体" w:cs="Times New Roman"/>
                      <w:color w:val="auto"/>
                      <w:kern w:val="0"/>
                      <w:szCs w:val="21"/>
                      <w:highlight w:val="none"/>
                      <w:lang w:val="en-US" w:eastAsia="zh-CN" w:bidi="ar"/>
                    </w:rPr>
                  </w:pPr>
                  <w:r>
                    <w:rPr>
                      <w:rFonts w:hint="eastAsia" w:cs="Times New Roman"/>
                      <w:color w:val="auto"/>
                      <w:kern w:val="0"/>
                      <w:szCs w:val="21"/>
                      <w:highlight w:val="none"/>
                      <w:lang w:val="en-US" w:eastAsia="zh-CN" w:bidi="ar"/>
                    </w:rPr>
                    <w:t>/</w:t>
                  </w:r>
                </w:p>
              </w:tc>
              <w:tc>
                <w:tcPr>
                  <w:tcW w:w="874" w:type="dxa"/>
                  <w:vAlign w:val="center"/>
                </w:tcPr>
                <w:p w14:paraId="1FBA7248">
                  <w:pPr>
                    <w:widowControl/>
                    <w:jc w:val="center"/>
                    <w:textAlignment w:val="center"/>
                    <w:rPr>
                      <w:rFonts w:hint="default" w:ascii="Times New Roman" w:hAnsi="Times New Roman" w:eastAsia="宋体" w:cs="Times New Roman"/>
                      <w:color w:val="auto"/>
                      <w:kern w:val="0"/>
                      <w:szCs w:val="21"/>
                      <w:highlight w:val="none"/>
                      <w:lang w:val="en-US" w:eastAsia="zh-CN" w:bidi="ar"/>
                    </w:rPr>
                  </w:pPr>
                  <w:r>
                    <w:rPr>
                      <w:rFonts w:hint="default" w:ascii="Times New Roman" w:hAnsi="Times New Roman" w:eastAsia="宋体" w:cs="Times New Roman"/>
                      <w:color w:val="auto"/>
                      <w:kern w:val="0"/>
                      <w:szCs w:val="21"/>
                      <w:highlight w:val="none"/>
                      <w:lang w:val="en-US" w:eastAsia="zh-CN" w:bidi="ar"/>
                    </w:rPr>
                    <w:t>65</w:t>
                  </w:r>
                </w:p>
              </w:tc>
              <w:tc>
                <w:tcPr>
                  <w:tcW w:w="1075" w:type="dxa"/>
                  <w:vAlign w:val="center"/>
                </w:tcPr>
                <w:p w14:paraId="0D9DBDCE">
                  <w:pPr>
                    <w:widowControl/>
                    <w:jc w:val="center"/>
                    <w:textAlignment w:val="center"/>
                    <w:rPr>
                      <w:rFonts w:hint="default" w:ascii="Times New Roman" w:hAnsi="Times New Roman" w:eastAsia="宋体" w:cs="Times New Roman"/>
                      <w:color w:val="auto"/>
                      <w:kern w:val="0"/>
                      <w:szCs w:val="21"/>
                      <w:highlight w:val="none"/>
                      <w:lang w:val="en-US" w:eastAsia="zh-CN" w:bidi="ar"/>
                    </w:rPr>
                  </w:pPr>
                  <w:r>
                    <w:rPr>
                      <w:rFonts w:hint="default" w:ascii="Times New Roman" w:hAnsi="Times New Roman" w:eastAsia="宋体" w:cs="Times New Roman"/>
                      <w:color w:val="auto"/>
                      <w:kern w:val="0"/>
                      <w:szCs w:val="21"/>
                      <w:highlight w:val="none"/>
                      <w:lang w:val="en-US" w:eastAsia="zh-CN" w:bidi="ar"/>
                    </w:rPr>
                    <w:t>达标</w:t>
                  </w:r>
                </w:p>
              </w:tc>
            </w:tr>
            <w:tr w14:paraId="25B90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288" w:type="dxa"/>
                  <w:vAlign w:val="center"/>
                </w:tcPr>
                <w:p w14:paraId="649C344E">
                  <w:pPr>
                    <w:widowControl/>
                    <w:jc w:val="center"/>
                    <w:textAlignment w:val="center"/>
                    <w:rPr>
                      <w:rFonts w:hint="eastAsia" w:cs="Times New Roman"/>
                      <w:color w:val="auto"/>
                      <w:kern w:val="0"/>
                      <w:szCs w:val="21"/>
                      <w:highlight w:val="none"/>
                      <w:lang w:val="en-US" w:eastAsia="zh-CN" w:bidi="ar"/>
                    </w:rPr>
                  </w:pPr>
                  <w:r>
                    <w:rPr>
                      <w:rFonts w:hint="eastAsia" w:cs="Times New Roman"/>
                      <w:color w:val="auto"/>
                      <w:kern w:val="0"/>
                      <w:szCs w:val="21"/>
                      <w:highlight w:val="none"/>
                      <w:lang w:val="en-US" w:eastAsia="zh-CN" w:bidi="ar"/>
                    </w:rPr>
                    <w:t>N4</w:t>
                  </w:r>
                </w:p>
                <w:p w14:paraId="3508B569">
                  <w:pPr>
                    <w:widowControl/>
                    <w:jc w:val="center"/>
                    <w:textAlignment w:val="center"/>
                    <w:rPr>
                      <w:rFonts w:hint="default" w:ascii="Times New Roman" w:hAnsi="Times New Roman" w:eastAsia="宋体" w:cs="Times New Roman"/>
                      <w:color w:val="auto"/>
                      <w:kern w:val="0"/>
                      <w:szCs w:val="21"/>
                      <w:highlight w:val="none"/>
                      <w:lang w:val="en-US" w:eastAsia="zh-CN" w:bidi="ar"/>
                    </w:rPr>
                  </w:pPr>
                  <w:r>
                    <w:rPr>
                      <w:rFonts w:hint="default" w:ascii="Times New Roman" w:hAnsi="Times New Roman" w:eastAsia="宋体" w:cs="Times New Roman"/>
                      <w:color w:val="auto"/>
                      <w:kern w:val="0"/>
                      <w:szCs w:val="21"/>
                      <w:highlight w:val="none"/>
                      <w:lang w:val="en-US" w:eastAsia="zh-CN" w:bidi="ar"/>
                    </w:rPr>
                    <w:t>厂界</w:t>
                  </w:r>
                  <w:r>
                    <w:rPr>
                      <w:rFonts w:hint="eastAsia" w:cs="Times New Roman"/>
                      <w:color w:val="auto"/>
                      <w:kern w:val="0"/>
                      <w:szCs w:val="21"/>
                      <w:highlight w:val="none"/>
                      <w:lang w:val="en-US" w:eastAsia="zh-CN" w:bidi="ar"/>
                    </w:rPr>
                    <w:t>东南侧</w:t>
                  </w:r>
                </w:p>
              </w:tc>
              <w:tc>
                <w:tcPr>
                  <w:tcW w:w="817" w:type="dxa"/>
                  <w:vMerge w:val="continue"/>
                  <w:vAlign w:val="center"/>
                </w:tcPr>
                <w:p w14:paraId="62558249">
                  <w:pPr>
                    <w:widowControl/>
                    <w:jc w:val="center"/>
                    <w:textAlignment w:val="center"/>
                    <w:rPr>
                      <w:rFonts w:hint="default" w:ascii="Times New Roman" w:hAnsi="Times New Roman" w:eastAsia="宋体" w:cs="Times New Roman"/>
                      <w:color w:val="auto"/>
                      <w:kern w:val="0"/>
                      <w:szCs w:val="21"/>
                      <w:highlight w:val="none"/>
                      <w:lang w:val="en-US" w:eastAsia="zh-CN" w:bidi="ar"/>
                    </w:rPr>
                  </w:pPr>
                </w:p>
              </w:tc>
              <w:tc>
                <w:tcPr>
                  <w:tcW w:w="1089" w:type="dxa"/>
                  <w:vAlign w:val="center"/>
                </w:tcPr>
                <w:p w14:paraId="52238C90">
                  <w:pPr>
                    <w:widowControl/>
                    <w:jc w:val="center"/>
                    <w:textAlignment w:val="center"/>
                    <w:rPr>
                      <w:rFonts w:hint="default" w:ascii="Times New Roman" w:hAnsi="Times New Roman" w:eastAsia="宋体" w:cs="Times New Roman"/>
                      <w:color w:val="auto"/>
                      <w:kern w:val="0"/>
                      <w:szCs w:val="21"/>
                      <w:highlight w:val="none"/>
                      <w:lang w:val="en-US" w:eastAsia="zh-CN" w:bidi="ar"/>
                    </w:rPr>
                  </w:pPr>
                  <w:r>
                    <w:rPr>
                      <w:rFonts w:hint="default" w:ascii="Times New Roman" w:hAnsi="Times New Roman" w:eastAsia="宋体" w:cs="Times New Roman"/>
                      <w:color w:val="auto"/>
                      <w:kern w:val="0"/>
                      <w:szCs w:val="21"/>
                      <w:highlight w:val="none"/>
                      <w:lang w:val="en-US" w:eastAsia="zh-CN" w:bidi="ar"/>
                    </w:rPr>
                    <w:t>昼间</w:t>
                  </w:r>
                </w:p>
              </w:tc>
              <w:tc>
                <w:tcPr>
                  <w:tcW w:w="1089" w:type="dxa"/>
                  <w:vAlign w:val="center"/>
                </w:tcPr>
                <w:p w14:paraId="60F47A40">
                  <w:pPr>
                    <w:widowControl/>
                    <w:jc w:val="center"/>
                    <w:textAlignment w:val="center"/>
                    <w:rPr>
                      <w:rFonts w:hint="default" w:ascii="Times New Roman" w:hAnsi="Times New Roman" w:eastAsia="宋体" w:cs="Times New Roman"/>
                      <w:color w:val="auto"/>
                      <w:kern w:val="0"/>
                      <w:szCs w:val="21"/>
                      <w:highlight w:val="none"/>
                      <w:lang w:val="en-US" w:eastAsia="zh-CN" w:bidi="ar"/>
                    </w:rPr>
                  </w:pPr>
                  <w:r>
                    <w:rPr>
                      <w:rFonts w:hint="eastAsia" w:cs="Times New Roman"/>
                      <w:color w:val="auto"/>
                      <w:kern w:val="0"/>
                      <w:szCs w:val="21"/>
                      <w:highlight w:val="none"/>
                      <w:lang w:val="en-US" w:eastAsia="zh-CN" w:bidi="ar"/>
                    </w:rPr>
                    <w:t>51.0</w:t>
                  </w:r>
                </w:p>
              </w:tc>
              <w:tc>
                <w:tcPr>
                  <w:tcW w:w="912" w:type="dxa"/>
                  <w:vAlign w:val="center"/>
                </w:tcPr>
                <w:p w14:paraId="7F974702">
                  <w:pPr>
                    <w:widowControl/>
                    <w:jc w:val="center"/>
                    <w:textAlignment w:val="center"/>
                    <w:rPr>
                      <w:rFonts w:hint="default" w:ascii="Times New Roman" w:hAnsi="Times New Roman" w:eastAsia="宋体" w:cs="Times New Roman"/>
                      <w:color w:val="auto"/>
                      <w:kern w:val="0"/>
                      <w:szCs w:val="21"/>
                      <w:highlight w:val="none"/>
                      <w:lang w:val="en-US" w:eastAsia="zh-CN" w:bidi="ar"/>
                    </w:rPr>
                  </w:pPr>
                  <w:r>
                    <w:rPr>
                      <w:rFonts w:hint="eastAsia" w:cs="Times New Roman"/>
                      <w:color w:val="auto"/>
                      <w:kern w:val="0"/>
                      <w:szCs w:val="21"/>
                      <w:highlight w:val="none"/>
                      <w:lang w:val="en-US" w:eastAsia="zh-CN" w:bidi="ar"/>
                    </w:rPr>
                    <w:t>/</w:t>
                  </w:r>
                </w:p>
              </w:tc>
              <w:tc>
                <w:tcPr>
                  <w:tcW w:w="912" w:type="dxa"/>
                  <w:vAlign w:val="center"/>
                </w:tcPr>
                <w:p w14:paraId="538D7950">
                  <w:pPr>
                    <w:widowControl/>
                    <w:jc w:val="center"/>
                    <w:textAlignment w:val="center"/>
                    <w:rPr>
                      <w:rFonts w:hint="default" w:ascii="Times New Roman" w:hAnsi="Times New Roman" w:eastAsia="宋体" w:cs="Times New Roman"/>
                      <w:color w:val="auto"/>
                      <w:kern w:val="0"/>
                      <w:szCs w:val="21"/>
                      <w:highlight w:val="none"/>
                      <w:lang w:val="en-US" w:eastAsia="zh-CN" w:bidi="ar"/>
                    </w:rPr>
                  </w:pPr>
                  <w:r>
                    <w:rPr>
                      <w:rFonts w:hint="eastAsia" w:cs="Times New Roman"/>
                      <w:color w:val="auto"/>
                      <w:kern w:val="0"/>
                      <w:szCs w:val="21"/>
                      <w:highlight w:val="none"/>
                      <w:lang w:val="en-US" w:eastAsia="zh-CN" w:bidi="ar"/>
                    </w:rPr>
                    <w:t>/</w:t>
                  </w:r>
                </w:p>
              </w:tc>
              <w:tc>
                <w:tcPr>
                  <w:tcW w:w="874" w:type="dxa"/>
                  <w:vAlign w:val="center"/>
                </w:tcPr>
                <w:p w14:paraId="59B7E03E">
                  <w:pPr>
                    <w:widowControl/>
                    <w:jc w:val="center"/>
                    <w:textAlignment w:val="center"/>
                    <w:rPr>
                      <w:rFonts w:hint="default" w:ascii="Times New Roman" w:hAnsi="Times New Roman" w:eastAsia="宋体" w:cs="Times New Roman"/>
                      <w:color w:val="auto"/>
                      <w:kern w:val="0"/>
                      <w:szCs w:val="21"/>
                      <w:highlight w:val="none"/>
                      <w:lang w:val="en-US" w:eastAsia="zh-CN" w:bidi="ar"/>
                    </w:rPr>
                  </w:pPr>
                  <w:r>
                    <w:rPr>
                      <w:rFonts w:hint="default" w:ascii="Times New Roman" w:hAnsi="Times New Roman" w:eastAsia="宋体" w:cs="Times New Roman"/>
                      <w:color w:val="auto"/>
                      <w:kern w:val="0"/>
                      <w:szCs w:val="21"/>
                      <w:highlight w:val="none"/>
                      <w:lang w:val="en-US" w:eastAsia="zh-CN" w:bidi="ar"/>
                    </w:rPr>
                    <w:t>65</w:t>
                  </w:r>
                </w:p>
              </w:tc>
              <w:tc>
                <w:tcPr>
                  <w:tcW w:w="1075" w:type="dxa"/>
                  <w:vAlign w:val="center"/>
                </w:tcPr>
                <w:p w14:paraId="13C185A6">
                  <w:pPr>
                    <w:widowControl/>
                    <w:jc w:val="center"/>
                    <w:textAlignment w:val="center"/>
                    <w:rPr>
                      <w:rFonts w:hint="default" w:ascii="Times New Roman" w:hAnsi="Times New Roman" w:eastAsia="宋体" w:cs="Times New Roman"/>
                      <w:color w:val="auto"/>
                      <w:kern w:val="0"/>
                      <w:szCs w:val="21"/>
                      <w:highlight w:val="none"/>
                      <w:lang w:val="en-US" w:eastAsia="zh-CN" w:bidi="ar"/>
                    </w:rPr>
                  </w:pPr>
                  <w:r>
                    <w:rPr>
                      <w:rFonts w:hint="default" w:ascii="Times New Roman" w:hAnsi="Times New Roman" w:eastAsia="宋体" w:cs="Times New Roman"/>
                      <w:color w:val="auto"/>
                      <w:kern w:val="0"/>
                      <w:szCs w:val="21"/>
                      <w:highlight w:val="none"/>
                      <w:lang w:val="en-US" w:eastAsia="zh-CN" w:bidi="ar"/>
                    </w:rPr>
                    <w:t>达标</w:t>
                  </w:r>
                </w:p>
              </w:tc>
            </w:tr>
            <w:tr w14:paraId="2D678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288" w:type="dxa"/>
                  <w:vAlign w:val="center"/>
                </w:tcPr>
                <w:p w14:paraId="26F568EE">
                  <w:pPr>
                    <w:widowControl/>
                    <w:jc w:val="center"/>
                    <w:textAlignment w:val="center"/>
                    <w:rPr>
                      <w:rFonts w:hint="eastAsia" w:cs="Times New Roman"/>
                      <w:color w:val="auto"/>
                      <w:kern w:val="0"/>
                      <w:szCs w:val="21"/>
                      <w:highlight w:val="none"/>
                      <w:lang w:val="en-US" w:eastAsia="zh-CN" w:bidi="ar"/>
                    </w:rPr>
                  </w:pPr>
                  <w:r>
                    <w:rPr>
                      <w:rFonts w:hint="eastAsia" w:cs="Times New Roman"/>
                      <w:color w:val="auto"/>
                      <w:kern w:val="0"/>
                      <w:szCs w:val="21"/>
                      <w:highlight w:val="none"/>
                      <w:lang w:val="en-US" w:eastAsia="zh-CN" w:bidi="ar"/>
                    </w:rPr>
                    <w:t>N5</w:t>
                  </w:r>
                </w:p>
                <w:p w14:paraId="4022F4CF">
                  <w:pPr>
                    <w:widowControl/>
                    <w:jc w:val="center"/>
                    <w:textAlignment w:val="center"/>
                    <w:rPr>
                      <w:rFonts w:hint="default" w:ascii="Times New Roman" w:hAnsi="Times New Roman" w:eastAsia="宋体" w:cs="Times New Roman"/>
                      <w:color w:val="auto"/>
                      <w:kern w:val="0"/>
                      <w:szCs w:val="21"/>
                      <w:highlight w:val="none"/>
                      <w:lang w:val="en-US" w:eastAsia="zh-CN" w:bidi="ar"/>
                    </w:rPr>
                  </w:pPr>
                  <w:r>
                    <w:rPr>
                      <w:rFonts w:hint="default" w:ascii="Times New Roman" w:hAnsi="Times New Roman" w:eastAsia="宋体" w:cs="Times New Roman"/>
                      <w:color w:val="auto"/>
                      <w:kern w:val="0"/>
                      <w:szCs w:val="21"/>
                      <w:highlight w:val="none"/>
                      <w:lang w:val="en-US" w:eastAsia="zh-CN" w:bidi="ar"/>
                    </w:rPr>
                    <w:t>厂界</w:t>
                  </w:r>
                  <w:r>
                    <w:rPr>
                      <w:rFonts w:hint="eastAsia" w:cs="Times New Roman"/>
                      <w:color w:val="auto"/>
                      <w:kern w:val="0"/>
                      <w:szCs w:val="21"/>
                      <w:highlight w:val="none"/>
                      <w:lang w:val="en-US" w:eastAsia="zh-CN" w:bidi="ar"/>
                    </w:rPr>
                    <w:t>南侧</w:t>
                  </w:r>
                </w:p>
              </w:tc>
              <w:tc>
                <w:tcPr>
                  <w:tcW w:w="817" w:type="dxa"/>
                  <w:vMerge w:val="continue"/>
                  <w:vAlign w:val="center"/>
                </w:tcPr>
                <w:p w14:paraId="147F67AA">
                  <w:pPr>
                    <w:widowControl/>
                    <w:jc w:val="center"/>
                    <w:textAlignment w:val="center"/>
                    <w:rPr>
                      <w:rFonts w:hint="default" w:ascii="Times New Roman" w:hAnsi="Times New Roman" w:eastAsia="宋体" w:cs="Times New Roman"/>
                      <w:color w:val="auto"/>
                      <w:kern w:val="0"/>
                      <w:szCs w:val="21"/>
                      <w:highlight w:val="none"/>
                      <w:lang w:val="en-US" w:eastAsia="zh-CN" w:bidi="ar"/>
                    </w:rPr>
                  </w:pPr>
                </w:p>
              </w:tc>
              <w:tc>
                <w:tcPr>
                  <w:tcW w:w="1089" w:type="dxa"/>
                  <w:vAlign w:val="center"/>
                </w:tcPr>
                <w:p w14:paraId="5B68BBBF">
                  <w:pPr>
                    <w:widowControl/>
                    <w:jc w:val="center"/>
                    <w:textAlignment w:val="center"/>
                    <w:rPr>
                      <w:rFonts w:hint="default" w:ascii="Times New Roman" w:hAnsi="Times New Roman" w:eastAsia="宋体" w:cs="Times New Roman"/>
                      <w:color w:val="auto"/>
                      <w:kern w:val="0"/>
                      <w:szCs w:val="21"/>
                      <w:highlight w:val="none"/>
                      <w:lang w:val="en-US" w:eastAsia="zh-CN" w:bidi="ar"/>
                    </w:rPr>
                  </w:pPr>
                  <w:r>
                    <w:rPr>
                      <w:rFonts w:hint="default" w:ascii="Times New Roman" w:hAnsi="Times New Roman" w:eastAsia="宋体" w:cs="Times New Roman"/>
                      <w:color w:val="auto"/>
                      <w:kern w:val="0"/>
                      <w:szCs w:val="21"/>
                      <w:highlight w:val="none"/>
                      <w:lang w:val="en-US" w:eastAsia="zh-CN" w:bidi="ar"/>
                    </w:rPr>
                    <w:t>昼间</w:t>
                  </w:r>
                </w:p>
              </w:tc>
              <w:tc>
                <w:tcPr>
                  <w:tcW w:w="1089" w:type="dxa"/>
                  <w:vAlign w:val="center"/>
                </w:tcPr>
                <w:p w14:paraId="1BC0E9A1">
                  <w:pPr>
                    <w:widowControl/>
                    <w:jc w:val="center"/>
                    <w:textAlignment w:val="center"/>
                    <w:rPr>
                      <w:rFonts w:hint="default" w:ascii="Times New Roman" w:hAnsi="Times New Roman" w:eastAsia="宋体" w:cs="Times New Roman"/>
                      <w:color w:val="auto"/>
                      <w:kern w:val="0"/>
                      <w:szCs w:val="21"/>
                      <w:highlight w:val="none"/>
                      <w:lang w:val="en-US" w:eastAsia="zh-CN" w:bidi="ar"/>
                    </w:rPr>
                  </w:pPr>
                  <w:r>
                    <w:rPr>
                      <w:rFonts w:hint="eastAsia" w:cs="Times New Roman"/>
                      <w:color w:val="auto"/>
                      <w:kern w:val="0"/>
                      <w:szCs w:val="21"/>
                      <w:highlight w:val="none"/>
                      <w:lang w:val="en-US" w:eastAsia="zh-CN" w:bidi="ar"/>
                    </w:rPr>
                    <w:t>43.4</w:t>
                  </w:r>
                </w:p>
              </w:tc>
              <w:tc>
                <w:tcPr>
                  <w:tcW w:w="912" w:type="dxa"/>
                  <w:vAlign w:val="center"/>
                </w:tcPr>
                <w:p w14:paraId="55FCD697">
                  <w:pPr>
                    <w:widowControl/>
                    <w:jc w:val="center"/>
                    <w:textAlignment w:val="center"/>
                    <w:rPr>
                      <w:rFonts w:hint="default" w:ascii="Times New Roman" w:hAnsi="Times New Roman" w:eastAsia="宋体" w:cs="Times New Roman"/>
                      <w:color w:val="auto"/>
                      <w:kern w:val="0"/>
                      <w:szCs w:val="21"/>
                      <w:highlight w:val="none"/>
                      <w:lang w:val="en-US" w:eastAsia="zh-CN" w:bidi="ar"/>
                    </w:rPr>
                  </w:pPr>
                  <w:r>
                    <w:rPr>
                      <w:rFonts w:hint="eastAsia" w:cs="Times New Roman"/>
                      <w:color w:val="auto"/>
                      <w:kern w:val="0"/>
                      <w:szCs w:val="21"/>
                      <w:highlight w:val="none"/>
                      <w:lang w:val="en-US" w:eastAsia="zh-CN" w:bidi="ar"/>
                    </w:rPr>
                    <w:t>/</w:t>
                  </w:r>
                </w:p>
              </w:tc>
              <w:tc>
                <w:tcPr>
                  <w:tcW w:w="912" w:type="dxa"/>
                  <w:vAlign w:val="center"/>
                </w:tcPr>
                <w:p w14:paraId="46098D4E">
                  <w:pPr>
                    <w:widowControl/>
                    <w:jc w:val="center"/>
                    <w:textAlignment w:val="center"/>
                    <w:rPr>
                      <w:rFonts w:hint="default" w:ascii="Times New Roman" w:hAnsi="Times New Roman" w:eastAsia="宋体" w:cs="Times New Roman"/>
                      <w:color w:val="auto"/>
                      <w:kern w:val="0"/>
                      <w:szCs w:val="21"/>
                      <w:highlight w:val="none"/>
                      <w:lang w:val="en-US" w:eastAsia="zh-CN" w:bidi="ar"/>
                    </w:rPr>
                  </w:pPr>
                  <w:r>
                    <w:rPr>
                      <w:rFonts w:hint="eastAsia" w:cs="Times New Roman"/>
                      <w:color w:val="auto"/>
                      <w:kern w:val="0"/>
                      <w:szCs w:val="21"/>
                      <w:highlight w:val="none"/>
                      <w:lang w:val="en-US" w:eastAsia="zh-CN" w:bidi="ar"/>
                    </w:rPr>
                    <w:t>/</w:t>
                  </w:r>
                </w:p>
              </w:tc>
              <w:tc>
                <w:tcPr>
                  <w:tcW w:w="874" w:type="dxa"/>
                  <w:vAlign w:val="center"/>
                </w:tcPr>
                <w:p w14:paraId="5A141B6F">
                  <w:pPr>
                    <w:widowControl/>
                    <w:jc w:val="center"/>
                    <w:textAlignment w:val="center"/>
                    <w:rPr>
                      <w:rFonts w:hint="default" w:ascii="Times New Roman" w:hAnsi="Times New Roman" w:eastAsia="宋体" w:cs="Times New Roman"/>
                      <w:color w:val="auto"/>
                      <w:kern w:val="0"/>
                      <w:szCs w:val="21"/>
                      <w:highlight w:val="none"/>
                      <w:lang w:val="en-US" w:eastAsia="zh-CN" w:bidi="ar"/>
                    </w:rPr>
                  </w:pPr>
                  <w:r>
                    <w:rPr>
                      <w:rFonts w:hint="default" w:ascii="Times New Roman" w:hAnsi="Times New Roman" w:eastAsia="宋体" w:cs="Times New Roman"/>
                      <w:color w:val="auto"/>
                      <w:kern w:val="0"/>
                      <w:szCs w:val="21"/>
                      <w:highlight w:val="none"/>
                      <w:lang w:val="en-US" w:eastAsia="zh-CN" w:bidi="ar"/>
                    </w:rPr>
                    <w:t>65</w:t>
                  </w:r>
                </w:p>
              </w:tc>
              <w:tc>
                <w:tcPr>
                  <w:tcW w:w="1075" w:type="dxa"/>
                  <w:vAlign w:val="center"/>
                </w:tcPr>
                <w:p w14:paraId="145BC55D">
                  <w:pPr>
                    <w:widowControl/>
                    <w:jc w:val="center"/>
                    <w:textAlignment w:val="center"/>
                    <w:rPr>
                      <w:rFonts w:hint="default" w:ascii="Times New Roman" w:hAnsi="Times New Roman" w:eastAsia="宋体" w:cs="Times New Roman"/>
                      <w:color w:val="auto"/>
                      <w:kern w:val="0"/>
                      <w:szCs w:val="21"/>
                      <w:highlight w:val="none"/>
                      <w:lang w:val="en-US" w:eastAsia="zh-CN" w:bidi="ar"/>
                    </w:rPr>
                  </w:pPr>
                  <w:r>
                    <w:rPr>
                      <w:rFonts w:hint="default" w:ascii="Times New Roman" w:hAnsi="Times New Roman" w:eastAsia="宋体" w:cs="Times New Roman"/>
                      <w:color w:val="auto"/>
                      <w:kern w:val="0"/>
                      <w:szCs w:val="21"/>
                      <w:highlight w:val="none"/>
                      <w:lang w:val="en-US" w:eastAsia="zh-CN" w:bidi="ar"/>
                    </w:rPr>
                    <w:t>达标</w:t>
                  </w:r>
                </w:p>
              </w:tc>
            </w:tr>
            <w:tr w14:paraId="4407E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288" w:type="dxa"/>
                  <w:vAlign w:val="center"/>
                </w:tcPr>
                <w:p w14:paraId="70CFCBF6">
                  <w:pPr>
                    <w:widowControl/>
                    <w:jc w:val="center"/>
                    <w:textAlignment w:val="center"/>
                    <w:rPr>
                      <w:rFonts w:hint="eastAsia" w:cs="Times New Roman"/>
                      <w:color w:val="auto"/>
                      <w:kern w:val="0"/>
                      <w:szCs w:val="21"/>
                      <w:highlight w:val="none"/>
                      <w:lang w:val="en-US" w:eastAsia="zh-CN" w:bidi="ar"/>
                    </w:rPr>
                  </w:pPr>
                  <w:r>
                    <w:rPr>
                      <w:rFonts w:hint="eastAsia" w:cs="Times New Roman"/>
                      <w:color w:val="auto"/>
                      <w:kern w:val="0"/>
                      <w:szCs w:val="21"/>
                      <w:highlight w:val="none"/>
                      <w:lang w:val="en-US" w:eastAsia="zh-CN" w:bidi="ar"/>
                    </w:rPr>
                    <w:t>N6</w:t>
                  </w:r>
                </w:p>
                <w:p w14:paraId="2011BD29">
                  <w:pPr>
                    <w:widowControl/>
                    <w:jc w:val="center"/>
                    <w:textAlignment w:val="center"/>
                    <w:rPr>
                      <w:rFonts w:hint="default" w:ascii="Times New Roman" w:hAnsi="Times New Roman" w:eastAsia="宋体" w:cs="Times New Roman"/>
                      <w:color w:val="auto"/>
                      <w:kern w:val="0"/>
                      <w:szCs w:val="21"/>
                      <w:highlight w:val="none"/>
                      <w:lang w:val="en-US" w:eastAsia="zh-CN" w:bidi="ar"/>
                    </w:rPr>
                  </w:pPr>
                  <w:r>
                    <w:rPr>
                      <w:rFonts w:hint="default" w:ascii="Times New Roman" w:hAnsi="Times New Roman" w:eastAsia="宋体" w:cs="Times New Roman"/>
                      <w:color w:val="auto"/>
                      <w:kern w:val="0"/>
                      <w:szCs w:val="21"/>
                      <w:highlight w:val="none"/>
                      <w:lang w:val="en-US" w:eastAsia="zh-CN" w:bidi="ar"/>
                    </w:rPr>
                    <w:t>厂界</w:t>
                  </w:r>
                  <w:r>
                    <w:rPr>
                      <w:rFonts w:hint="eastAsia" w:ascii="Times New Roman" w:hAnsi="Times New Roman" w:eastAsia="宋体" w:cs="Times New Roman"/>
                      <w:color w:val="auto"/>
                      <w:kern w:val="0"/>
                      <w:szCs w:val="21"/>
                      <w:highlight w:val="none"/>
                      <w:lang w:val="en-US" w:eastAsia="zh-CN" w:bidi="ar"/>
                    </w:rPr>
                    <w:t>西北</w:t>
                  </w:r>
                  <w:r>
                    <w:rPr>
                      <w:rFonts w:hint="eastAsia" w:cs="Times New Roman"/>
                      <w:color w:val="auto"/>
                      <w:kern w:val="0"/>
                      <w:szCs w:val="21"/>
                      <w:highlight w:val="none"/>
                      <w:lang w:val="en-US" w:eastAsia="zh-CN" w:bidi="ar"/>
                    </w:rPr>
                    <w:t>侧</w:t>
                  </w:r>
                </w:p>
              </w:tc>
              <w:tc>
                <w:tcPr>
                  <w:tcW w:w="817" w:type="dxa"/>
                  <w:vMerge w:val="continue"/>
                  <w:vAlign w:val="center"/>
                </w:tcPr>
                <w:p w14:paraId="2D8AE406">
                  <w:pPr>
                    <w:widowControl/>
                    <w:jc w:val="center"/>
                    <w:textAlignment w:val="center"/>
                    <w:rPr>
                      <w:rFonts w:hint="default" w:ascii="Times New Roman" w:hAnsi="Times New Roman" w:eastAsia="宋体" w:cs="Times New Roman"/>
                      <w:color w:val="auto"/>
                      <w:kern w:val="0"/>
                      <w:szCs w:val="21"/>
                      <w:highlight w:val="none"/>
                      <w:lang w:val="en-US" w:eastAsia="zh-CN" w:bidi="ar"/>
                    </w:rPr>
                  </w:pPr>
                </w:p>
              </w:tc>
              <w:tc>
                <w:tcPr>
                  <w:tcW w:w="1089" w:type="dxa"/>
                  <w:vAlign w:val="center"/>
                </w:tcPr>
                <w:p w14:paraId="5BA3D393">
                  <w:pPr>
                    <w:widowControl/>
                    <w:jc w:val="center"/>
                    <w:textAlignment w:val="center"/>
                    <w:rPr>
                      <w:rFonts w:hint="default" w:ascii="Times New Roman" w:hAnsi="Times New Roman" w:eastAsia="宋体" w:cs="Times New Roman"/>
                      <w:color w:val="auto"/>
                      <w:kern w:val="0"/>
                      <w:szCs w:val="21"/>
                      <w:highlight w:val="none"/>
                      <w:lang w:val="en-US" w:eastAsia="zh-CN" w:bidi="ar"/>
                    </w:rPr>
                  </w:pPr>
                  <w:r>
                    <w:rPr>
                      <w:rFonts w:hint="default" w:ascii="Times New Roman" w:hAnsi="Times New Roman" w:eastAsia="宋体" w:cs="Times New Roman"/>
                      <w:color w:val="auto"/>
                      <w:kern w:val="0"/>
                      <w:szCs w:val="21"/>
                      <w:highlight w:val="none"/>
                      <w:lang w:val="en-US" w:eastAsia="zh-CN" w:bidi="ar"/>
                    </w:rPr>
                    <w:t>昼间</w:t>
                  </w:r>
                </w:p>
              </w:tc>
              <w:tc>
                <w:tcPr>
                  <w:tcW w:w="1089" w:type="dxa"/>
                  <w:vAlign w:val="center"/>
                </w:tcPr>
                <w:p w14:paraId="4C28A0AF">
                  <w:pPr>
                    <w:widowControl/>
                    <w:jc w:val="center"/>
                    <w:textAlignment w:val="center"/>
                    <w:rPr>
                      <w:rFonts w:hint="default" w:ascii="Times New Roman" w:hAnsi="Times New Roman" w:eastAsia="宋体" w:cs="Times New Roman"/>
                      <w:color w:val="auto"/>
                      <w:kern w:val="0"/>
                      <w:szCs w:val="21"/>
                      <w:highlight w:val="none"/>
                      <w:lang w:val="en-US" w:eastAsia="zh-CN" w:bidi="ar"/>
                    </w:rPr>
                  </w:pPr>
                  <w:r>
                    <w:rPr>
                      <w:rFonts w:hint="eastAsia" w:cs="Times New Roman"/>
                      <w:color w:val="auto"/>
                      <w:kern w:val="0"/>
                      <w:szCs w:val="21"/>
                      <w:highlight w:val="none"/>
                      <w:lang w:val="en-US" w:eastAsia="zh-CN" w:bidi="ar"/>
                    </w:rPr>
                    <w:t>43.9</w:t>
                  </w:r>
                </w:p>
              </w:tc>
              <w:tc>
                <w:tcPr>
                  <w:tcW w:w="912" w:type="dxa"/>
                  <w:vAlign w:val="center"/>
                </w:tcPr>
                <w:p w14:paraId="6F52B68B">
                  <w:pPr>
                    <w:widowControl/>
                    <w:jc w:val="center"/>
                    <w:textAlignment w:val="center"/>
                    <w:rPr>
                      <w:rFonts w:hint="default" w:ascii="Times New Roman" w:hAnsi="Times New Roman" w:eastAsia="宋体" w:cs="Times New Roman"/>
                      <w:color w:val="auto"/>
                      <w:kern w:val="0"/>
                      <w:szCs w:val="21"/>
                      <w:highlight w:val="none"/>
                      <w:lang w:val="en-US" w:eastAsia="zh-CN" w:bidi="ar"/>
                    </w:rPr>
                  </w:pPr>
                  <w:r>
                    <w:rPr>
                      <w:rFonts w:hint="eastAsia" w:cs="Times New Roman"/>
                      <w:color w:val="auto"/>
                      <w:kern w:val="0"/>
                      <w:szCs w:val="21"/>
                      <w:highlight w:val="none"/>
                      <w:lang w:val="en-US" w:eastAsia="zh-CN" w:bidi="ar"/>
                    </w:rPr>
                    <w:t>/</w:t>
                  </w:r>
                </w:p>
              </w:tc>
              <w:tc>
                <w:tcPr>
                  <w:tcW w:w="912" w:type="dxa"/>
                  <w:vAlign w:val="center"/>
                </w:tcPr>
                <w:p w14:paraId="0E4ECE75">
                  <w:pPr>
                    <w:widowControl/>
                    <w:jc w:val="center"/>
                    <w:textAlignment w:val="center"/>
                    <w:rPr>
                      <w:rFonts w:hint="default" w:ascii="Times New Roman" w:hAnsi="Times New Roman" w:eastAsia="宋体" w:cs="Times New Roman"/>
                      <w:color w:val="auto"/>
                      <w:kern w:val="0"/>
                      <w:szCs w:val="21"/>
                      <w:highlight w:val="none"/>
                      <w:lang w:val="en-US" w:eastAsia="zh-CN" w:bidi="ar"/>
                    </w:rPr>
                  </w:pPr>
                  <w:r>
                    <w:rPr>
                      <w:rFonts w:hint="eastAsia" w:cs="Times New Roman"/>
                      <w:color w:val="auto"/>
                      <w:kern w:val="0"/>
                      <w:szCs w:val="21"/>
                      <w:highlight w:val="none"/>
                      <w:lang w:val="en-US" w:eastAsia="zh-CN" w:bidi="ar"/>
                    </w:rPr>
                    <w:t>/</w:t>
                  </w:r>
                </w:p>
              </w:tc>
              <w:tc>
                <w:tcPr>
                  <w:tcW w:w="874" w:type="dxa"/>
                  <w:vAlign w:val="center"/>
                </w:tcPr>
                <w:p w14:paraId="281B5BCF">
                  <w:pPr>
                    <w:widowControl/>
                    <w:jc w:val="center"/>
                    <w:textAlignment w:val="center"/>
                    <w:rPr>
                      <w:rFonts w:hint="default" w:ascii="Times New Roman" w:hAnsi="Times New Roman" w:eastAsia="宋体" w:cs="Times New Roman"/>
                      <w:color w:val="auto"/>
                      <w:kern w:val="0"/>
                      <w:szCs w:val="21"/>
                      <w:highlight w:val="none"/>
                      <w:lang w:val="en-US" w:eastAsia="zh-CN" w:bidi="ar"/>
                    </w:rPr>
                  </w:pPr>
                  <w:r>
                    <w:rPr>
                      <w:rFonts w:hint="default" w:ascii="Times New Roman" w:hAnsi="Times New Roman" w:eastAsia="宋体" w:cs="Times New Roman"/>
                      <w:color w:val="auto"/>
                      <w:kern w:val="0"/>
                      <w:szCs w:val="21"/>
                      <w:highlight w:val="none"/>
                      <w:lang w:val="en-US" w:eastAsia="zh-CN" w:bidi="ar"/>
                    </w:rPr>
                    <w:t>65</w:t>
                  </w:r>
                </w:p>
              </w:tc>
              <w:tc>
                <w:tcPr>
                  <w:tcW w:w="1075" w:type="dxa"/>
                  <w:vAlign w:val="center"/>
                </w:tcPr>
                <w:p w14:paraId="778BC1C2">
                  <w:pPr>
                    <w:widowControl/>
                    <w:jc w:val="center"/>
                    <w:textAlignment w:val="center"/>
                    <w:rPr>
                      <w:rFonts w:hint="default" w:ascii="Times New Roman" w:hAnsi="Times New Roman" w:eastAsia="宋体" w:cs="Times New Roman"/>
                      <w:color w:val="auto"/>
                      <w:kern w:val="0"/>
                      <w:szCs w:val="21"/>
                      <w:highlight w:val="none"/>
                      <w:lang w:val="en-US" w:eastAsia="zh-CN" w:bidi="ar"/>
                    </w:rPr>
                  </w:pPr>
                  <w:r>
                    <w:rPr>
                      <w:rFonts w:hint="default" w:ascii="Times New Roman" w:hAnsi="Times New Roman" w:eastAsia="宋体" w:cs="Times New Roman"/>
                      <w:color w:val="auto"/>
                      <w:kern w:val="0"/>
                      <w:szCs w:val="21"/>
                      <w:highlight w:val="none"/>
                      <w:lang w:val="en-US" w:eastAsia="zh-CN" w:bidi="ar"/>
                    </w:rPr>
                    <w:t>达标</w:t>
                  </w:r>
                </w:p>
              </w:tc>
            </w:tr>
          </w:tbl>
          <w:p w14:paraId="5764575C">
            <w:pPr>
              <w:spacing w:line="360" w:lineRule="auto"/>
              <w:ind w:firstLine="480" w:firstLineChars="200"/>
              <w:rPr>
                <w:color w:val="auto"/>
                <w:sz w:val="24"/>
              </w:rPr>
            </w:pPr>
            <w:r>
              <w:rPr>
                <w:color w:val="auto"/>
                <w:sz w:val="24"/>
              </w:rPr>
              <w:t>由上表可以看出，项目在采用先进的低噪声设备的同时，采取吸声、减振、合理布置、建筑物隔声等措施后，可以有效地降低设备噪声对周围环境的影响。本项目噪声经衰减满足《工业企业厂界噪声排放标准》（GB12348-2008）中</w:t>
            </w:r>
            <w:r>
              <w:rPr>
                <w:rFonts w:hint="eastAsia"/>
                <w:color w:val="auto"/>
                <w:sz w:val="24"/>
                <w:lang w:val="en-US" w:eastAsia="zh-CN"/>
              </w:rPr>
              <w:t>3</w:t>
            </w:r>
            <w:r>
              <w:rPr>
                <w:color w:val="auto"/>
                <w:sz w:val="24"/>
              </w:rPr>
              <w:t>类标准。因此，项目营运后，所在区域环境噪声现状不会发生明显的变化。</w:t>
            </w:r>
          </w:p>
          <w:p w14:paraId="105C55F5">
            <w:pPr>
              <w:keepNext w:val="0"/>
              <w:keepLines w:val="0"/>
              <w:pageBreakBefore w:val="0"/>
              <w:widowControl w:val="0"/>
              <w:kinsoku/>
              <w:wordWrap/>
              <w:overflowPunct/>
              <w:topLinePunct w:val="0"/>
              <w:autoSpaceDE/>
              <w:autoSpaceDN/>
              <w:bidi w:val="0"/>
              <w:adjustRightInd/>
              <w:snapToGrid/>
              <w:spacing w:line="360" w:lineRule="auto"/>
              <w:ind w:firstLine="241" w:firstLineChars="100"/>
              <w:textAlignment w:val="auto"/>
              <w:rPr>
                <w:b/>
                <w:bCs/>
                <w:color w:val="auto"/>
                <w:sz w:val="24"/>
              </w:rPr>
            </w:pPr>
            <w:r>
              <w:rPr>
                <w:rFonts w:hint="eastAsia"/>
                <w:b/>
                <w:bCs/>
                <w:color w:val="auto"/>
                <w:sz w:val="24"/>
              </w:rPr>
              <w:t>4.</w:t>
            </w:r>
            <w:r>
              <w:rPr>
                <w:rFonts w:hint="eastAsia"/>
                <w:b/>
                <w:bCs/>
                <w:color w:val="auto"/>
                <w:sz w:val="24"/>
                <w:lang w:val="en-US" w:eastAsia="zh-CN"/>
              </w:rPr>
              <w:t>2</w:t>
            </w:r>
            <w:r>
              <w:rPr>
                <w:rFonts w:hint="eastAsia"/>
                <w:b/>
                <w:bCs/>
                <w:color w:val="auto"/>
                <w:sz w:val="24"/>
              </w:rPr>
              <w:t>.</w:t>
            </w:r>
            <w:r>
              <w:rPr>
                <w:rFonts w:hint="eastAsia"/>
                <w:b/>
                <w:bCs/>
                <w:color w:val="auto"/>
                <w:sz w:val="24"/>
                <w:lang w:val="en-US" w:eastAsia="zh-CN"/>
              </w:rPr>
              <w:t>4</w:t>
            </w:r>
            <w:r>
              <w:rPr>
                <w:rFonts w:hint="default" w:ascii="Times New Roman" w:hAnsi="Times New Roman" w:eastAsia="宋体" w:cs="Times New Roman"/>
                <w:b/>
                <w:bCs w:val="0"/>
                <w:color w:val="auto"/>
                <w:kern w:val="2"/>
                <w:sz w:val="24"/>
                <w:szCs w:val="24"/>
                <w:highlight w:val="none"/>
                <w:lang w:val="en-US" w:eastAsia="zh-CN" w:bidi="ar-SA"/>
              </w:rPr>
              <w:t>运营期</w:t>
            </w:r>
            <w:r>
              <w:rPr>
                <w:rFonts w:hint="eastAsia" w:ascii="Times New Roman" w:hAnsi="Times New Roman" w:eastAsia="宋体" w:cs="Times New Roman"/>
                <w:b/>
                <w:bCs w:val="0"/>
                <w:color w:val="auto"/>
                <w:kern w:val="2"/>
                <w:sz w:val="24"/>
                <w:szCs w:val="24"/>
                <w:highlight w:val="none"/>
                <w:lang w:val="en-US" w:eastAsia="zh-CN" w:bidi="ar-SA"/>
              </w:rPr>
              <w:t>固体废物</w:t>
            </w:r>
            <w:r>
              <w:rPr>
                <w:rFonts w:hint="default" w:ascii="Times New Roman" w:hAnsi="Times New Roman" w:eastAsia="宋体" w:cs="Times New Roman"/>
                <w:b/>
                <w:bCs w:val="0"/>
                <w:color w:val="auto"/>
                <w:kern w:val="2"/>
                <w:sz w:val="24"/>
                <w:szCs w:val="24"/>
                <w:highlight w:val="none"/>
                <w:lang w:val="en-US" w:eastAsia="zh-CN" w:bidi="ar-SA"/>
              </w:rPr>
              <w:t>环境影响分析和污染防治措施</w:t>
            </w:r>
          </w:p>
          <w:p w14:paraId="6B7AF184">
            <w:pPr>
              <w:spacing w:line="360" w:lineRule="auto"/>
              <w:ind w:firstLine="482" w:firstLineChars="200"/>
              <w:rPr>
                <w:rFonts w:hint="default" w:ascii="Times New Roman" w:hAnsi="Times New Roman" w:eastAsia="宋体" w:cs="Times New Roman"/>
                <w:b/>
                <w:bCs w:val="0"/>
                <w:color w:val="auto"/>
                <w:kern w:val="2"/>
                <w:sz w:val="24"/>
                <w:szCs w:val="24"/>
                <w:highlight w:val="none"/>
                <w:lang w:val="en-US" w:eastAsia="zh-CN" w:bidi="ar-SA"/>
              </w:rPr>
            </w:pPr>
            <w:r>
              <w:rPr>
                <w:rFonts w:hint="default" w:ascii="Times New Roman" w:hAnsi="Times New Roman" w:eastAsia="宋体" w:cs="Times New Roman"/>
                <w:b/>
                <w:bCs w:val="0"/>
                <w:color w:val="auto"/>
                <w:kern w:val="2"/>
                <w:sz w:val="24"/>
                <w:szCs w:val="24"/>
                <w:highlight w:val="none"/>
                <w:lang w:val="en-US" w:eastAsia="zh-CN" w:bidi="ar-SA"/>
              </w:rPr>
              <w:t>4.2.</w:t>
            </w:r>
            <w:r>
              <w:rPr>
                <w:rFonts w:hint="eastAsia" w:ascii="Times New Roman" w:hAnsi="Times New Roman" w:eastAsia="宋体" w:cs="Times New Roman"/>
                <w:b/>
                <w:bCs w:val="0"/>
                <w:color w:val="auto"/>
                <w:kern w:val="2"/>
                <w:sz w:val="24"/>
                <w:szCs w:val="24"/>
                <w:highlight w:val="none"/>
                <w:lang w:val="en-US" w:eastAsia="zh-CN" w:bidi="ar-SA"/>
              </w:rPr>
              <w:t>4</w:t>
            </w:r>
            <w:r>
              <w:rPr>
                <w:rFonts w:hint="default" w:ascii="Times New Roman" w:hAnsi="Times New Roman" w:eastAsia="宋体" w:cs="Times New Roman"/>
                <w:b/>
                <w:bCs w:val="0"/>
                <w:color w:val="auto"/>
                <w:kern w:val="2"/>
                <w:sz w:val="24"/>
                <w:szCs w:val="24"/>
                <w:highlight w:val="none"/>
                <w:lang w:val="en-US" w:eastAsia="zh-CN" w:bidi="ar-SA"/>
              </w:rPr>
              <w:t>.1运营期</w:t>
            </w:r>
            <w:r>
              <w:rPr>
                <w:rFonts w:hint="eastAsia" w:ascii="Times New Roman" w:hAnsi="Times New Roman" w:eastAsia="宋体" w:cs="Times New Roman"/>
                <w:b/>
                <w:bCs w:val="0"/>
                <w:color w:val="auto"/>
                <w:kern w:val="2"/>
                <w:sz w:val="24"/>
                <w:szCs w:val="24"/>
                <w:highlight w:val="none"/>
                <w:lang w:val="en-US" w:eastAsia="zh-CN" w:bidi="ar-SA"/>
              </w:rPr>
              <w:t>固体废物</w:t>
            </w:r>
            <w:r>
              <w:rPr>
                <w:rFonts w:hint="default" w:ascii="Times New Roman" w:hAnsi="Times New Roman" w:eastAsia="宋体" w:cs="Times New Roman"/>
                <w:b/>
                <w:bCs w:val="0"/>
                <w:color w:val="auto"/>
                <w:kern w:val="2"/>
                <w:sz w:val="24"/>
                <w:szCs w:val="24"/>
                <w:highlight w:val="none"/>
                <w:lang w:val="en-US" w:eastAsia="zh-CN" w:bidi="ar-SA"/>
              </w:rPr>
              <w:t>源强核算</w:t>
            </w:r>
          </w:p>
          <w:p w14:paraId="05BEF622">
            <w:pPr>
              <w:spacing w:line="360" w:lineRule="auto"/>
              <w:ind w:firstLine="480" w:firstLineChars="200"/>
              <w:rPr>
                <w:color w:val="auto"/>
                <w:sz w:val="24"/>
              </w:rPr>
            </w:pPr>
            <w:r>
              <w:rPr>
                <w:rFonts w:hint="eastAsia"/>
                <w:color w:val="auto"/>
                <w:sz w:val="24"/>
                <w:lang w:eastAsia="zh-CN"/>
              </w:rPr>
              <w:t>本项目产生的固体废物主要为一般工业固废、危险废物及员工生活垃圾。</w:t>
            </w:r>
          </w:p>
          <w:p w14:paraId="75304F64">
            <w:pPr>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（1）生活垃圾</w:t>
            </w:r>
          </w:p>
          <w:p w14:paraId="6288C19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本项目扩建后</w:t>
            </w:r>
            <w:r>
              <w:rPr>
                <w:rFonts w:hint="default" w:ascii="Times New Roman" w:hAnsi="Times New Roman" w:cs="Times New Roman"/>
                <w:b w:val="0"/>
                <w:bCs w:val="0"/>
                <w:color w:val="auto"/>
                <w:sz w:val="24"/>
                <w:highlight w:val="none"/>
                <w:lang w:val="en-US" w:eastAsia="zh-CN"/>
              </w:rPr>
              <w:t>新增</w:t>
            </w:r>
            <w:r>
              <w:rPr>
                <w:rFonts w:hint="default" w:ascii="Times New Roman" w:hAnsi="Times New Roman" w:eastAsia="宋体" w:cs="Times New Roman"/>
                <w:b w:val="0"/>
                <w:bCs w:val="0"/>
                <w:color w:val="auto"/>
                <w:sz w:val="24"/>
                <w:highlight w:val="none"/>
                <w:lang w:val="en-US" w:eastAsia="zh-CN"/>
              </w:rPr>
              <w:t>员工共</w:t>
            </w:r>
            <w:r>
              <w:rPr>
                <w:rFonts w:hint="default" w:ascii="Times New Roman" w:hAnsi="Times New Roman" w:cs="Times New Roman"/>
                <w:b w:val="0"/>
                <w:bCs w:val="0"/>
                <w:color w:val="auto"/>
                <w:sz w:val="24"/>
                <w:highlight w:val="none"/>
                <w:lang w:val="en-US" w:eastAsia="zh-CN"/>
              </w:rPr>
              <w:t>300</w:t>
            </w:r>
            <w:r>
              <w:rPr>
                <w:rFonts w:hint="default" w:ascii="Times New Roman" w:hAnsi="Times New Roman" w:eastAsia="宋体" w:cs="Times New Roman"/>
                <w:b w:val="0"/>
                <w:bCs w:val="0"/>
                <w:color w:val="auto"/>
                <w:sz w:val="24"/>
                <w:highlight w:val="none"/>
                <w:lang w:val="en-US" w:eastAsia="zh-CN"/>
              </w:rPr>
              <w:t>人，均不住厂，不住厂员工生活垃圾产生系数按0.5kg/人·天计，年工作天数为300天，则</w:t>
            </w:r>
            <w:r>
              <w:rPr>
                <w:rFonts w:hint="default" w:ascii="Times New Roman" w:hAnsi="Times New Roman" w:cs="Times New Roman"/>
                <w:b w:val="0"/>
                <w:bCs w:val="0"/>
                <w:color w:val="auto"/>
                <w:sz w:val="24"/>
                <w:highlight w:val="none"/>
                <w:lang w:val="en-US" w:eastAsia="zh-CN"/>
              </w:rPr>
              <w:t>新增</w:t>
            </w:r>
            <w:r>
              <w:rPr>
                <w:rFonts w:hint="default" w:ascii="Times New Roman" w:hAnsi="Times New Roman" w:eastAsia="宋体" w:cs="Times New Roman"/>
                <w:b w:val="0"/>
                <w:bCs w:val="0"/>
                <w:color w:val="auto"/>
                <w:sz w:val="24"/>
                <w:highlight w:val="none"/>
                <w:lang w:val="en-US" w:eastAsia="zh-CN"/>
              </w:rPr>
              <w:t>员工生活垃圾产生量为</w:t>
            </w:r>
            <w:r>
              <w:rPr>
                <w:rFonts w:hint="default" w:ascii="Times New Roman" w:hAnsi="Times New Roman" w:cs="Times New Roman"/>
                <w:b w:val="0"/>
                <w:bCs w:val="0"/>
                <w:color w:val="auto"/>
                <w:sz w:val="24"/>
                <w:highlight w:val="none"/>
                <w:lang w:val="en-US" w:eastAsia="zh-CN"/>
              </w:rPr>
              <w:t>45</w:t>
            </w:r>
            <w:r>
              <w:rPr>
                <w:rFonts w:hint="default" w:ascii="Times New Roman" w:hAnsi="Times New Roman" w:eastAsia="宋体" w:cs="Times New Roman"/>
                <w:b w:val="0"/>
                <w:bCs w:val="0"/>
                <w:color w:val="auto"/>
                <w:sz w:val="24"/>
                <w:highlight w:val="none"/>
                <w:lang w:val="en-US" w:eastAsia="zh-CN"/>
              </w:rPr>
              <w:t>t/a。生活垃圾统一收集后委托当地环卫部门处置。</w:t>
            </w:r>
          </w:p>
          <w:p w14:paraId="40A84133">
            <w:pPr>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（2）</w:t>
            </w:r>
            <w:r>
              <w:rPr>
                <w:rFonts w:hint="default" w:ascii="Times New Roman" w:hAnsi="Times New Roman" w:cs="Times New Roman"/>
                <w:color w:val="auto"/>
                <w:sz w:val="24"/>
                <w:lang w:eastAsia="zh-CN"/>
              </w:rPr>
              <w:t>一般工业固废</w:t>
            </w:r>
          </w:p>
          <w:p w14:paraId="73D7354C">
            <w:pPr>
              <w:pStyle w:val="26"/>
              <w:spacing w:line="360" w:lineRule="auto"/>
              <w:ind w:firstLine="480" w:firstLineChars="2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根据</w:t>
            </w:r>
            <w:r>
              <w:rPr>
                <w:rFonts w:hint="default" w:ascii="Times New Roman" w:hAnsi="Times New Roman" w:cs="Times New Roman"/>
                <w:color w:val="auto"/>
                <w:sz w:val="24"/>
                <w:szCs w:val="24"/>
                <w:lang w:eastAsia="zh-CN"/>
              </w:rPr>
              <w:t>建设单位</w:t>
            </w:r>
            <w:r>
              <w:rPr>
                <w:rFonts w:hint="default" w:ascii="Times New Roman" w:hAnsi="Times New Roman" w:cs="Times New Roman"/>
                <w:color w:val="auto"/>
                <w:sz w:val="24"/>
                <w:szCs w:val="24"/>
              </w:rPr>
              <w:t>提供资料</w:t>
            </w:r>
            <w:r>
              <w:rPr>
                <w:rFonts w:hint="default" w:ascii="Times New Roman" w:hAnsi="Times New Roman" w:cs="Times New Roman"/>
                <w:color w:val="auto"/>
                <w:sz w:val="24"/>
                <w:szCs w:val="24"/>
                <w:lang w:eastAsia="zh-CN"/>
              </w:rPr>
              <w:t>以及工艺流程产污环节分析</w: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lang w:eastAsia="zh-CN"/>
              </w:rPr>
              <w:t>项目一般工业固废包括：废包装材料、激光切割工序产生的废边角料、喷砂工序产生的废钢砂、除尘设施收集的粉尘</w:t>
            </w:r>
            <w:r>
              <w:rPr>
                <w:rFonts w:hint="default" w:ascii="Times New Roman" w:hAnsi="Times New Roman" w:cs="Times New Roman"/>
                <w:color w:val="auto"/>
                <w:sz w:val="24"/>
                <w:szCs w:val="24"/>
              </w:rPr>
              <w:t>。</w:t>
            </w:r>
          </w:p>
          <w:p w14:paraId="2F3C3DD7">
            <w:pPr>
              <w:pStyle w:val="26"/>
              <w:spacing w:line="360" w:lineRule="auto"/>
              <w:ind w:firstLine="480" w:firstLineChars="200"/>
              <w:jc w:val="both"/>
              <w:rPr>
                <w:rFonts w:hint="default" w:ascii="Times New Roman" w:hAnsi="Times New Roman" w:cs="Times New Roman"/>
                <w:color w:val="auto"/>
                <w:sz w:val="24"/>
                <w:szCs w:val="24"/>
                <w:lang w:eastAsia="zh-CN"/>
              </w:rPr>
            </w:pPr>
            <w:r>
              <w:rPr>
                <w:rFonts w:hint="default" w:ascii="Times New Roman" w:hAnsi="Times New Roman" w:cs="Times New Roman"/>
                <w:color w:val="auto"/>
                <w:sz w:val="24"/>
                <w:szCs w:val="24"/>
              </w:rPr>
              <w:t>①</w:t>
            </w:r>
            <w:r>
              <w:rPr>
                <w:rFonts w:hint="default" w:ascii="Times New Roman" w:hAnsi="Times New Roman" w:cs="Times New Roman"/>
                <w:color w:val="auto"/>
                <w:sz w:val="24"/>
                <w:szCs w:val="24"/>
                <w:lang w:eastAsia="zh-CN"/>
              </w:rPr>
              <w:t>废包装材料</w:t>
            </w:r>
          </w:p>
          <w:p w14:paraId="777251AE">
            <w:pPr>
              <w:pStyle w:val="26"/>
              <w:spacing w:line="360" w:lineRule="auto"/>
              <w:ind w:firstLine="480" w:firstLineChars="200"/>
              <w:jc w:val="both"/>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rPr>
              <w:t>根据</w:t>
            </w:r>
            <w:r>
              <w:rPr>
                <w:rFonts w:hint="default" w:ascii="Times New Roman" w:hAnsi="Times New Roman" w:cs="Times New Roman"/>
                <w:color w:val="auto"/>
                <w:sz w:val="24"/>
                <w:szCs w:val="24"/>
                <w:lang w:eastAsia="zh-CN"/>
              </w:rPr>
              <w:t>建设单位</w:t>
            </w:r>
            <w:r>
              <w:rPr>
                <w:rFonts w:hint="default" w:ascii="Times New Roman" w:hAnsi="Times New Roman" w:cs="Times New Roman"/>
                <w:color w:val="auto"/>
                <w:sz w:val="24"/>
                <w:szCs w:val="24"/>
              </w:rPr>
              <w:t>提供资料</w:t>
            </w:r>
            <w:r>
              <w:rPr>
                <w:rFonts w:hint="default" w:ascii="Times New Roman" w:hAnsi="Times New Roman" w:cs="Times New Roman"/>
                <w:color w:val="auto"/>
                <w:sz w:val="24"/>
                <w:szCs w:val="24"/>
                <w:lang w:eastAsia="zh-CN"/>
              </w:rPr>
              <w:t>，项目废包装材料主要为纸箱及塑料包装物，本次项目产生量约为</w:t>
            </w:r>
            <w:r>
              <w:rPr>
                <w:rFonts w:hint="default" w:ascii="Times New Roman" w:hAnsi="Times New Roman" w:cs="Times New Roman"/>
                <w:color w:val="auto"/>
                <w:sz w:val="24"/>
                <w:szCs w:val="24"/>
                <w:lang w:val="en-US" w:eastAsia="zh-CN"/>
              </w:rPr>
              <w:t>2t/a。</w:t>
            </w:r>
            <w:r>
              <w:rPr>
                <w:rFonts w:hint="default" w:ascii="Times New Roman" w:hAnsi="Times New Roman" w:cs="Times New Roman"/>
                <w:color w:val="auto"/>
                <w:sz w:val="24"/>
                <w:szCs w:val="24"/>
                <w:lang w:eastAsia="zh-CN"/>
              </w:rPr>
              <w:t>废包装材料</w:t>
            </w:r>
            <w:r>
              <w:rPr>
                <w:rFonts w:hint="default" w:ascii="Times New Roman" w:hAnsi="Times New Roman" w:cs="Times New Roman"/>
                <w:color w:val="auto"/>
                <w:sz w:val="24"/>
                <w:szCs w:val="24"/>
                <w:lang w:val="en-US" w:eastAsia="zh-CN"/>
              </w:rPr>
              <w:t>集中收集后暂存，定期</w:t>
            </w:r>
            <w:r>
              <w:rPr>
                <w:rFonts w:hint="default" w:ascii="Times New Roman" w:hAnsi="Times New Roman" w:cs="Times New Roman"/>
                <w:color w:val="auto"/>
                <w:sz w:val="24"/>
                <w:szCs w:val="24"/>
              </w:rPr>
              <w:t>外售</w:t>
            </w:r>
            <w:r>
              <w:rPr>
                <w:rFonts w:hint="default" w:ascii="Times New Roman" w:hAnsi="Times New Roman" w:cs="Times New Roman"/>
                <w:color w:val="auto"/>
                <w:sz w:val="24"/>
                <w:szCs w:val="24"/>
                <w:lang w:eastAsia="zh-CN"/>
              </w:rPr>
              <w:t>物资回收单位</w:t>
            </w:r>
            <w:r>
              <w:rPr>
                <w:rFonts w:hint="default" w:ascii="Times New Roman" w:hAnsi="Times New Roman" w:cs="Times New Roman"/>
                <w:color w:val="auto"/>
                <w:sz w:val="24"/>
                <w:szCs w:val="24"/>
              </w:rPr>
              <w:t>。</w:t>
            </w:r>
          </w:p>
          <w:p w14:paraId="773F0A67">
            <w:pPr>
              <w:pStyle w:val="26"/>
              <w:spacing w:line="360" w:lineRule="auto"/>
              <w:ind w:firstLine="480" w:firstLineChars="200"/>
              <w:jc w:val="both"/>
              <w:rPr>
                <w:rFonts w:hint="default" w:ascii="Times New Roman" w:hAnsi="Times New Roman" w:cs="Times New Roman"/>
                <w:color w:val="auto"/>
                <w:sz w:val="24"/>
                <w:szCs w:val="24"/>
                <w:lang w:eastAsia="zh-CN"/>
              </w:rPr>
            </w:pPr>
            <w:r>
              <w:rPr>
                <w:rFonts w:hint="default" w:ascii="Times New Roman" w:hAnsi="Times New Roman" w:cs="Times New Roman"/>
                <w:color w:val="auto"/>
                <w:sz w:val="24"/>
                <w:szCs w:val="24"/>
                <w:lang w:eastAsia="zh-CN"/>
              </w:rPr>
              <w:t>②废边角料</w:t>
            </w:r>
          </w:p>
          <w:p w14:paraId="2981DD5C">
            <w:pPr>
              <w:pStyle w:val="26"/>
              <w:spacing w:line="360" w:lineRule="auto"/>
              <w:ind w:firstLine="480" w:firstLineChars="200"/>
              <w:jc w:val="both"/>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rPr>
              <w:t>根据</w:t>
            </w:r>
            <w:r>
              <w:rPr>
                <w:rFonts w:hint="default" w:ascii="Times New Roman" w:hAnsi="Times New Roman" w:cs="Times New Roman"/>
                <w:color w:val="auto"/>
                <w:sz w:val="24"/>
                <w:szCs w:val="24"/>
                <w:lang w:eastAsia="zh-CN"/>
              </w:rPr>
              <w:t>建设单位</w:t>
            </w:r>
            <w:r>
              <w:rPr>
                <w:rFonts w:hint="default" w:ascii="Times New Roman" w:hAnsi="Times New Roman" w:cs="Times New Roman"/>
                <w:color w:val="auto"/>
                <w:sz w:val="24"/>
                <w:szCs w:val="24"/>
              </w:rPr>
              <w:t>提供资料</w:t>
            </w:r>
            <w:r>
              <w:rPr>
                <w:rFonts w:hint="default" w:ascii="Times New Roman" w:hAnsi="Times New Roman" w:cs="Times New Roman"/>
                <w:color w:val="auto"/>
                <w:sz w:val="24"/>
                <w:szCs w:val="24"/>
                <w:lang w:eastAsia="zh-CN"/>
              </w:rPr>
              <w:t>，激光切割工序产生少量废钢材，产生的废边角料产生量约</w:t>
            </w:r>
            <w:r>
              <w:rPr>
                <w:rFonts w:hint="default" w:ascii="Times New Roman" w:hAnsi="Times New Roman" w:cs="Times New Roman"/>
                <w:color w:val="auto"/>
                <w:sz w:val="24"/>
                <w:szCs w:val="24"/>
                <w:lang w:val="en-US" w:eastAsia="zh-CN"/>
              </w:rPr>
              <w:t>37t/a。</w:t>
            </w:r>
            <w:r>
              <w:rPr>
                <w:rFonts w:hint="default" w:ascii="Times New Roman" w:hAnsi="Times New Roman" w:cs="Times New Roman"/>
                <w:color w:val="auto"/>
                <w:sz w:val="24"/>
                <w:szCs w:val="24"/>
                <w:lang w:eastAsia="zh-CN"/>
              </w:rPr>
              <w:t>废边角料</w:t>
            </w:r>
            <w:r>
              <w:rPr>
                <w:rFonts w:hint="default" w:ascii="Times New Roman" w:hAnsi="Times New Roman" w:cs="Times New Roman"/>
                <w:color w:val="auto"/>
                <w:sz w:val="24"/>
                <w:szCs w:val="24"/>
                <w:lang w:val="en-US" w:eastAsia="zh-CN"/>
              </w:rPr>
              <w:t>集中收集后暂存，定期</w:t>
            </w:r>
            <w:r>
              <w:rPr>
                <w:rFonts w:hint="default" w:ascii="Times New Roman" w:hAnsi="Times New Roman" w:cs="Times New Roman"/>
                <w:color w:val="auto"/>
                <w:sz w:val="24"/>
                <w:szCs w:val="24"/>
              </w:rPr>
              <w:t>外售</w:t>
            </w:r>
            <w:r>
              <w:rPr>
                <w:rFonts w:hint="default" w:ascii="Times New Roman" w:hAnsi="Times New Roman" w:cs="Times New Roman"/>
                <w:color w:val="auto"/>
                <w:sz w:val="24"/>
                <w:szCs w:val="24"/>
                <w:lang w:eastAsia="zh-CN"/>
              </w:rPr>
              <w:t>物资回收单位</w:t>
            </w:r>
            <w:r>
              <w:rPr>
                <w:rFonts w:hint="default" w:ascii="Times New Roman" w:hAnsi="Times New Roman" w:cs="Times New Roman"/>
                <w:color w:val="auto"/>
                <w:sz w:val="24"/>
                <w:szCs w:val="24"/>
              </w:rPr>
              <w:t>。</w:t>
            </w:r>
          </w:p>
          <w:p w14:paraId="19CD63E8">
            <w:pPr>
              <w:pStyle w:val="26"/>
              <w:spacing w:line="360" w:lineRule="auto"/>
              <w:ind w:firstLine="480" w:firstLineChars="200"/>
              <w:jc w:val="both"/>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eastAsia="zh-CN"/>
              </w:rPr>
              <w:t>③</w:t>
            </w:r>
            <w:r>
              <w:rPr>
                <w:rFonts w:hint="default" w:ascii="Times New Roman" w:hAnsi="Times New Roman" w:cs="Times New Roman"/>
                <w:color w:val="auto"/>
                <w:sz w:val="24"/>
                <w:szCs w:val="24"/>
                <w:lang w:val="en-US" w:eastAsia="zh-CN"/>
              </w:rPr>
              <w:t>废钢砂</w:t>
            </w:r>
          </w:p>
          <w:p w14:paraId="36BF8E1B">
            <w:pPr>
              <w:pStyle w:val="26"/>
              <w:spacing w:line="360" w:lineRule="auto"/>
              <w:ind w:firstLine="480" w:firstLineChars="200"/>
              <w:jc w:val="both"/>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rPr>
              <w:t>根据</w:t>
            </w:r>
            <w:r>
              <w:rPr>
                <w:rFonts w:hint="default" w:ascii="Times New Roman" w:hAnsi="Times New Roman" w:cs="Times New Roman"/>
                <w:color w:val="auto"/>
                <w:sz w:val="24"/>
                <w:szCs w:val="24"/>
                <w:lang w:eastAsia="zh-CN"/>
              </w:rPr>
              <w:t>建设单位</w:t>
            </w:r>
            <w:r>
              <w:rPr>
                <w:rFonts w:hint="default" w:ascii="Times New Roman" w:hAnsi="Times New Roman" w:cs="Times New Roman"/>
                <w:color w:val="auto"/>
                <w:sz w:val="24"/>
                <w:szCs w:val="24"/>
              </w:rPr>
              <w:t>提供资料</w:t>
            </w:r>
            <w:r>
              <w:rPr>
                <w:rFonts w:hint="default" w:ascii="Times New Roman" w:hAnsi="Times New Roman" w:cs="Times New Roman"/>
                <w:color w:val="auto"/>
                <w:sz w:val="24"/>
                <w:szCs w:val="24"/>
                <w:lang w:eastAsia="zh-CN"/>
              </w:rPr>
              <w:t>，喷砂工序使用的钢砂需要定期更换，废钢砂产生量约为</w:t>
            </w:r>
            <w:r>
              <w:rPr>
                <w:rFonts w:hint="default" w:ascii="Times New Roman" w:hAnsi="Times New Roman" w:cs="Times New Roman"/>
                <w:color w:val="auto"/>
                <w:sz w:val="24"/>
                <w:szCs w:val="24"/>
                <w:lang w:val="en-US" w:eastAsia="zh-CN"/>
              </w:rPr>
              <w:t>1t/a。废钢砂集中收集后暂存，定期</w:t>
            </w:r>
            <w:r>
              <w:rPr>
                <w:rFonts w:hint="default" w:ascii="Times New Roman" w:hAnsi="Times New Roman" w:cs="Times New Roman"/>
                <w:color w:val="auto"/>
                <w:sz w:val="24"/>
                <w:szCs w:val="24"/>
              </w:rPr>
              <w:t>外售</w:t>
            </w:r>
            <w:r>
              <w:rPr>
                <w:rFonts w:hint="default" w:ascii="Times New Roman" w:hAnsi="Times New Roman" w:cs="Times New Roman"/>
                <w:color w:val="auto"/>
                <w:sz w:val="24"/>
                <w:szCs w:val="24"/>
                <w:lang w:eastAsia="zh-CN"/>
              </w:rPr>
              <w:t>物资回收单位</w:t>
            </w:r>
            <w:r>
              <w:rPr>
                <w:rFonts w:hint="default" w:ascii="Times New Roman" w:hAnsi="Times New Roman" w:cs="Times New Roman"/>
                <w:color w:val="auto"/>
                <w:sz w:val="24"/>
                <w:szCs w:val="24"/>
              </w:rPr>
              <w:t>。</w:t>
            </w:r>
          </w:p>
          <w:p w14:paraId="26F10045">
            <w:pPr>
              <w:pStyle w:val="26"/>
              <w:spacing w:line="360" w:lineRule="auto"/>
              <w:ind w:firstLine="480" w:firstLineChars="200"/>
              <w:jc w:val="both"/>
              <w:rPr>
                <w:rFonts w:hint="default" w:ascii="Times New Roman" w:hAnsi="Times New Roman" w:cs="Times New Roman"/>
                <w:color w:val="auto"/>
                <w:sz w:val="24"/>
                <w:szCs w:val="24"/>
                <w:lang w:eastAsia="zh-CN"/>
              </w:rPr>
            </w:pPr>
            <w:r>
              <w:rPr>
                <w:rFonts w:hint="default" w:ascii="Times New Roman" w:hAnsi="Times New Roman" w:cs="Times New Roman"/>
                <w:color w:val="auto"/>
                <w:sz w:val="24"/>
                <w:szCs w:val="24"/>
                <w:lang w:eastAsia="zh-CN"/>
              </w:rPr>
              <w:t>④</w:t>
            </w:r>
            <w:r>
              <w:rPr>
                <w:rFonts w:hint="default" w:ascii="Times New Roman" w:hAnsi="Times New Roman" w:cs="Times New Roman"/>
                <w:color w:val="auto"/>
                <w:sz w:val="24"/>
                <w:szCs w:val="24"/>
                <w:lang w:val="en-US" w:eastAsia="zh-CN"/>
              </w:rPr>
              <w:t>除尘设施收集的粉尘</w:t>
            </w:r>
          </w:p>
          <w:p w14:paraId="2FA8AD2D">
            <w:pPr>
              <w:pStyle w:val="26"/>
              <w:spacing w:line="360" w:lineRule="auto"/>
              <w:ind w:firstLine="480" w:firstLineChars="200"/>
              <w:jc w:val="both"/>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rPr>
              <w:t>根据</w:t>
            </w:r>
            <w:r>
              <w:rPr>
                <w:rFonts w:hint="default" w:ascii="Times New Roman" w:hAnsi="Times New Roman" w:cs="Times New Roman"/>
                <w:color w:val="auto"/>
                <w:sz w:val="24"/>
                <w:szCs w:val="24"/>
                <w:lang w:eastAsia="zh-CN"/>
              </w:rPr>
              <w:t>建设单位</w:t>
            </w:r>
            <w:r>
              <w:rPr>
                <w:rFonts w:hint="default" w:ascii="Times New Roman" w:hAnsi="Times New Roman" w:cs="Times New Roman"/>
                <w:color w:val="auto"/>
                <w:sz w:val="24"/>
                <w:szCs w:val="24"/>
              </w:rPr>
              <w:t>提供资料</w:t>
            </w:r>
            <w:r>
              <w:rPr>
                <w:rFonts w:hint="default" w:ascii="Times New Roman" w:hAnsi="Times New Roman" w:cs="Times New Roman"/>
                <w:color w:val="auto"/>
                <w:sz w:val="24"/>
                <w:szCs w:val="24"/>
                <w:lang w:eastAsia="zh-CN"/>
              </w:rPr>
              <w:t>及工艺流程产污分析，项目切割、打磨、抛丸、喷砂等工序产生的粉尘废气均采用布袋除尘设施进行处理，</w:t>
            </w:r>
            <w:r>
              <w:rPr>
                <w:rFonts w:hint="default" w:ascii="Times New Roman" w:hAnsi="Times New Roman" w:cs="Times New Roman"/>
                <w:color w:val="auto"/>
                <w:sz w:val="24"/>
                <w:szCs w:val="24"/>
                <w:lang w:val="en-US" w:eastAsia="zh-CN"/>
              </w:rPr>
              <w:t>除尘设施收集的粉尘约16t/a。除尘设施收集的粉尘集中暂存，定期</w:t>
            </w:r>
            <w:r>
              <w:rPr>
                <w:rFonts w:hint="default" w:ascii="Times New Roman" w:hAnsi="Times New Roman" w:cs="Times New Roman"/>
                <w:color w:val="auto"/>
                <w:sz w:val="24"/>
                <w:szCs w:val="24"/>
              </w:rPr>
              <w:t>外售</w:t>
            </w:r>
            <w:r>
              <w:rPr>
                <w:rFonts w:hint="default" w:ascii="Times New Roman" w:hAnsi="Times New Roman" w:cs="Times New Roman"/>
                <w:color w:val="auto"/>
                <w:sz w:val="24"/>
                <w:szCs w:val="24"/>
                <w:lang w:eastAsia="zh-CN"/>
              </w:rPr>
              <w:t>物资回收单位</w:t>
            </w:r>
            <w:r>
              <w:rPr>
                <w:rFonts w:hint="default" w:ascii="Times New Roman" w:hAnsi="Times New Roman" w:cs="Times New Roman"/>
                <w:color w:val="auto"/>
                <w:sz w:val="24"/>
                <w:szCs w:val="24"/>
              </w:rPr>
              <w:t>。</w:t>
            </w:r>
          </w:p>
          <w:p w14:paraId="400B5D4B">
            <w:pPr>
              <w:pStyle w:val="26"/>
              <w:numPr>
                <w:ilvl w:val="0"/>
                <w:numId w:val="3"/>
              </w:numPr>
              <w:spacing w:line="360" w:lineRule="auto"/>
              <w:ind w:firstLine="480" w:firstLineChars="200"/>
              <w:rPr>
                <w:rFonts w:hint="eastAsia" w:ascii="Times New Roman" w:hAnsi="Times New Roman" w:eastAsia="宋体" w:cs="Times New Roman"/>
                <w:color w:val="auto"/>
                <w:sz w:val="24"/>
                <w:lang w:eastAsia="zh-CN"/>
              </w:rPr>
            </w:pPr>
            <w:r>
              <w:rPr>
                <w:rFonts w:hint="eastAsia" w:ascii="Times New Roman" w:hAnsi="Times New Roman" w:cs="Times New Roman"/>
                <w:color w:val="auto"/>
                <w:sz w:val="24"/>
                <w:lang w:eastAsia="zh-CN"/>
              </w:rPr>
              <w:t>危险废物</w:t>
            </w:r>
          </w:p>
          <w:p w14:paraId="56F4DCF3">
            <w:pPr>
              <w:spacing w:line="360" w:lineRule="auto"/>
              <w:ind w:firstLine="480" w:firstLineChars="200"/>
              <w:rPr>
                <w:rFonts w:hint="eastAsia" w:ascii="Times New Roman" w:hAnsi="Times New Roman" w:eastAsia="宋体" w:cs="Times New Roman"/>
                <w:color w:val="auto"/>
                <w:sz w:val="24"/>
                <w:lang w:eastAsia="zh-CN"/>
              </w:rPr>
            </w:pPr>
            <w:r>
              <w:rPr>
                <w:rFonts w:hint="eastAsia" w:ascii="Times New Roman" w:hAnsi="Times New Roman" w:cs="Times New Roman"/>
                <w:color w:val="auto"/>
                <w:sz w:val="24"/>
                <w:szCs w:val="24"/>
              </w:rPr>
              <w:t>根据业主提供资料</w:t>
            </w:r>
            <w:r>
              <w:rPr>
                <w:rFonts w:hint="eastAsia" w:ascii="Times New Roman" w:hAnsi="Times New Roman" w:cs="Times New Roman"/>
                <w:color w:val="auto"/>
                <w:sz w:val="24"/>
                <w:szCs w:val="24"/>
                <w:lang w:eastAsia="zh-CN"/>
              </w:rPr>
              <w:t>以及工艺流程产污环节分析</w:t>
            </w:r>
            <w:r>
              <w:rPr>
                <w:rFonts w:hint="eastAsia" w:ascii="Times New Roman" w:hAnsi="Times New Roman" w:cs="Times New Roman"/>
                <w:color w:val="auto"/>
                <w:sz w:val="24"/>
                <w:szCs w:val="24"/>
              </w:rPr>
              <w:t>，</w:t>
            </w:r>
            <w:r>
              <w:rPr>
                <w:rFonts w:hint="eastAsia" w:ascii="Times New Roman" w:hAnsi="Times New Roman" w:cs="Times New Roman"/>
                <w:color w:val="auto"/>
                <w:sz w:val="24"/>
                <w:szCs w:val="24"/>
                <w:lang w:eastAsia="zh-CN"/>
              </w:rPr>
              <w:t>项目危险废物主要</w:t>
            </w:r>
            <w:r>
              <w:rPr>
                <w:rFonts w:hint="eastAsia" w:cs="Times New Roman"/>
                <w:color w:val="auto"/>
                <w:sz w:val="24"/>
                <w:szCs w:val="24"/>
                <w:lang w:eastAsia="zh-CN"/>
              </w:rPr>
              <w:t>包括：设备维护工序产生的废润滑油、废润滑油空桶，电气测试工序产生的废柴油、</w:t>
            </w:r>
            <w:r>
              <w:rPr>
                <w:rFonts w:hint="eastAsia" w:ascii="Times New Roman" w:hAnsi="Times New Roman" w:cs="Times New Roman"/>
                <w:color w:val="auto"/>
                <w:sz w:val="24"/>
                <w:szCs w:val="24"/>
                <w:lang w:eastAsia="zh-CN"/>
              </w:rPr>
              <w:t>测试废气处理设施中替换的废</w:t>
            </w:r>
            <w:r>
              <w:rPr>
                <w:rFonts w:hint="eastAsia" w:cs="Times New Roman"/>
                <w:color w:val="auto"/>
                <w:sz w:val="24"/>
                <w:szCs w:val="24"/>
                <w:lang w:eastAsia="zh-CN"/>
              </w:rPr>
              <w:t>催化剂、脱脂除油槽中的槽渣</w:t>
            </w:r>
            <w:r>
              <w:rPr>
                <w:rFonts w:hint="default" w:ascii="Times New Roman" w:hAnsi="Times New Roman" w:cs="Times New Roman"/>
                <w:color w:val="auto"/>
                <w:sz w:val="24"/>
                <w:szCs w:val="24"/>
                <w:lang w:eastAsia="zh-CN"/>
              </w:rPr>
              <w:t>、废水处理设施压滤产生的泥饼</w:t>
            </w: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lang w:eastAsia="zh-CN"/>
              </w:rPr>
              <w:t>活性炭罐更换的废活性炭</w:t>
            </w:r>
            <w:r>
              <w:rPr>
                <w:rFonts w:hint="eastAsia" w:ascii="Times New Roman" w:hAnsi="Times New Roman" w:cs="Times New Roman"/>
                <w:color w:val="auto"/>
                <w:sz w:val="24"/>
                <w:szCs w:val="24"/>
                <w:lang w:eastAsia="zh-CN"/>
              </w:rPr>
              <w:t>以及脱脂清洗废液</w:t>
            </w:r>
            <w:r>
              <w:rPr>
                <w:rFonts w:hint="eastAsia" w:ascii="Times New Roman" w:hAnsi="Times New Roman" w:eastAsia="宋体" w:cs="Times New Roman"/>
                <w:color w:val="auto"/>
                <w:sz w:val="24"/>
                <w:lang w:eastAsia="zh-CN"/>
              </w:rPr>
              <w:t>。</w:t>
            </w:r>
          </w:p>
          <w:p w14:paraId="79856EF9">
            <w:pPr>
              <w:spacing w:line="360" w:lineRule="auto"/>
              <w:ind w:firstLine="480" w:firstLineChars="200"/>
              <w:rPr>
                <w:rFonts w:hint="default" w:ascii="Times New Roman" w:hAnsi="Times New Roman" w:cs="Times New Roman"/>
                <w:color w:val="auto"/>
                <w:sz w:val="24"/>
                <w:lang w:eastAsia="zh-CN"/>
              </w:rPr>
            </w:pPr>
            <w:r>
              <w:rPr>
                <w:rFonts w:hint="default" w:ascii="Times New Roman" w:hAnsi="Times New Roman" w:cs="Times New Roman"/>
                <w:color w:val="auto"/>
                <w:sz w:val="24"/>
                <w:lang w:eastAsia="zh-CN"/>
              </w:rPr>
              <w:t>①废</w:t>
            </w:r>
            <w:r>
              <w:rPr>
                <w:rFonts w:hint="eastAsia" w:cs="Times New Roman"/>
                <w:color w:val="auto"/>
                <w:sz w:val="24"/>
                <w:lang w:eastAsia="zh-CN"/>
              </w:rPr>
              <w:t>矾基</w:t>
            </w:r>
            <w:r>
              <w:rPr>
                <w:rFonts w:hint="default" w:ascii="Times New Roman" w:hAnsi="Times New Roman" w:cs="Times New Roman"/>
                <w:color w:val="auto"/>
                <w:sz w:val="24"/>
                <w:lang w:eastAsia="zh-CN"/>
              </w:rPr>
              <w:t>催化剂</w:t>
            </w:r>
          </w:p>
          <w:p w14:paraId="4C4E13CE">
            <w:pPr>
              <w:spacing w:line="360" w:lineRule="auto"/>
              <w:ind w:firstLine="480" w:firstLineChars="200"/>
              <w:rPr>
                <w:rFonts w:hint="default" w:ascii="Times New Roman" w:hAnsi="Times New Roman" w:eastAsia="宋体" w:cs="Times New Roman"/>
                <w:color w:val="auto"/>
                <w:sz w:val="24"/>
                <w:lang w:eastAsia="zh-CN"/>
              </w:rPr>
            </w:pPr>
            <w:r>
              <w:rPr>
                <w:rFonts w:hint="default" w:ascii="Times New Roman" w:hAnsi="Times New Roman" w:cs="Times New Roman"/>
                <w:color w:val="auto"/>
                <w:sz w:val="24"/>
                <w:lang w:eastAsia="zh-CN"/>
              </w:rPr>
              <w:t>根据建设单位提供材料，测试废气处理设施中催化剂</w:t>
            </w:r>
            <w:r>
              <w:rPr>
                <w:rFonts w:hint="eastAsia" w:cs="Times New Roman"/>
                <w:color w:val="auto"/>
                <w:sz w:val="24"/>
                <w:lang w:eastAsia="zh-CN"/>
              </w:rPr>
              <w:t>为矾基中温SCR催化剂，</w:t>
            </w:r>
            <w:r>
              <w:rPr>
                <w:rFonts w:hint="default" w:ascii="Times New Roman" w:hAnsi="Times New Roman" w:cs="Times New Roman"/>
                <w:color w:val="auto"/>
                <w:sz w:val="24"/>
                <w:lang w:eastAsia="zh-CN"/>
              </w:rPr>
              <w:t>使用年限约为</w:t>
            </w:r>
            <w:r>
              <w:rPr>
                <w:rFonts w:hint="default" w:ascii="Times New Roman" w:hAnsi="Times New Roman" w:cs="Times New Roman"/>
                <w:color w:val="auto"/>
                <w:sz w:val="24"/>
                <w:lang w:val="en-US" w:eastAsia="zh-CN"/>
              </w:rPr>
              <w:t>3年，到期后整体更换。</w:t>
            </w:r>
            <w:r>
              <w:rPr>
                <w:rFonts w:hint="default" w:ascii="Times New Roman" w:hAnsi="Times New Roman" w:cs="Times New Roman"/>
                <w:color w:val="auto"/>
                <w:sz w:val="24"/>
                <w:szCs w:val="24"/>
                <w:lang w:eastAsia="zh-CN"/>
              </w:rPr>
              <w:t>项目废催化剂产生量约</w:t>
            </w:r>
            <w:r>
              <w:rPr>
                <w:rFonts w:hint="default" w:ascii="Times New Roman" w:hAnsi="Times New Roman" w:eastAsia="宋体" w:cs="Times New Roman"/>
                <w:color w:val="auto"/>
                <w:sz w:val="24"/>
                <w:lang w:eastAsia="zh-CN"/>
              </w:rPr>
              <w:t>为</w:t>
            </w:r>
            <w:r>
              <w:rPr>
                <w:rFonts w:hint="default" w:ascii="Times New Roman" w:hAnsi="Times New Roman" w:cs="Times New Roman"/>
                <w:color w:val="auto"/>
                <w:sz w:val="24"/>
                <w:lang w:val="en-US" w:eastAsia="zh-CN"/>
              </w:rPr>
              <w:t>0.2</w:t>
            </w:r>
            <w:r>
              <w:rPr>
                <w:rFonts w:hint="default" w:ascii="Times New Roman" w:hAnsi="Times New Roman" w:eastAsia="宋体" w:cs="Times New Roman"/>
                <w:color w:val="auto"/>
                <w:sz w:val="24"/>
                <w:lang w:eastAsia="zh-CN"/>
              </w:rPr>
              <w:t>t/a。</w:t>
            </w:r>
          </w:p>
          <w:p w14:paraId="1B39731F">
            <w:pPr>
              <w:spacing w:line="360" w:lineRule="auto"/>
              <w:ind w:firstLine="480" w:firstLineChars="200"/>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根据《国家危险废物名录》（2025年版），废矾基催化剂属于危险废物，废物类别为HW</w:t>
            </w:r>
            <w:r>
              <w:rPr>
                <w:rFonts w:hint="default" w:ascii="Times New Roman" w:hAnsi="Times New Roman" w:cs="Times New Roman"/>
                <w:b w:val="0"/>
                <w:bCs w:val="0"/>
                <w:color w:val="auto"/>
                <w:sz w:val="24"/>
                <w:highlight w:val="none"/>
                <w:lang w:val="en-US" w:eastAsia="zh-CN"/>
              </w:rPr>
              <w:t>50废催化剂</w:t>
            </w:r>
            <w:r>
              <w:rPr>
                <w:rFonts w:hint="default" w:ascii="Times New Roman" w:hAnsi="Times New Roman" w:eastAsia="宋体" w:cs="Times New Roman"/>
                <w:b w:val="0"/>
                <w:bCs w:val="0"/>
                <w:color w:val="auto"/>
                <w:sz w:val="24"/>
                <w:highlight w:val="none"/>
                <w:lang w:val="en-US" w:eastAsia="zh-CN"/>
              </w:rPr>
              <w:t>，废物代码772-007-50烟气脱硝过程中产生的废钒钛系催化剂。</w:t>
            </w:r>
            <w:r>
              <w:rPr>
                <w:rFonts w:hint="default" w:ascii="Times New Roman" w:hAnsi="Times New Roman" w:cs="Times New Roman"/>
                <w:color w:val="auto"/>
                <w:sz w:val="24"/>
                <w:szCs w:val="24"/>
                <w:lang w:eastAsia="zh-CN"/>
              </w:rPr>
              <w:t>废催化剂料</w:t>
            </w:r>
            <w:r>
              <w:rPr>
                <w:rFonts w:hint="default" w:ascii="Times New Roman" w:hAnsi="Times New Roman" w:eastAsia="宋体" w:cs="Times New Roman"/>
                <w:b w:val="0"/>
                <w:bCs w:val="0"/>
                <w:color w:val="auto"/>
                <w:sz w:val="24"/>
                <w:highlight w:val="none"/>
                <w:lang w:val="en-US" w:eastAsia="zh-CN"/>
              </w:rPr>
              <w:t>妥善收集后暂存至危废暂存间中，定期委托有资质单位进行清运处置。</w:t>
            </w:r>
          </w:p>
          <w:p w14:paraId="310337C5">
            <w:pPr>
              <w:spacing w:line="360" w:lineRule="auto"/>
              <w:ind w:firstLine="480" w:firstLineChars="200"/>
              <w:rPr>
                <w:rFonts w:hint="default" w:ascii="Times New Roman" w:hAnsi="Times New Roman"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②</w:t>
            </w:r>
            <w:r>
              <w:rPr>
                <w:rFonts w:hint="default" w:ascii="Times New Roman" w:hAnsi="Times New Roman" w:cs="Times New Roman"/>
                <w:b w:val="0"/>
                <w:bCs w:val="0"/>
                <w:color w:val="auto"/>
                <w:sz w:val="24"/>
                <w:highlight w:val="none"/>
                <w:lang w:val="en-US" w:eastAsia="zh-CN"/>
              </w:rPr>
              <w:t>废润滑油、废润滑油空桶</w:t>
            </w:r>
          </w:p>
          <w:p w14:paraId="1C5DF95D">
            <w:pPr>
              <w:spacing w:line="360" w:lineRule="auto"/>
              <w:ind w:firstLine="480" w:firstLineChars="200"/>
              <w:rPr>
                <w:rFonts w:hint="default" w:ascii="Times New Roman" w:hAnsi="Times New Roman" w:eastAsia="宋体" w:cs="Times New Roman"/>
                <w:color w:val="auto"/>
                <w:sz w:val="24"/>
                <w:lang w:eastAsia="zh-CN"/>
              </w:rPr>
            </w:pPr>
            <w:r>
              <w:rPr>
                <w:rFonts w:hint="default" w:ascii="Times New Roman" w:hAnsi="Times New Roman" w:cs="Times New Roman"/>
                <w:color w:val="auto"/>
                <w:sz w:val="24"/>
                <w:lang w:eastAsia="zh-CN"/>
              </w:rPr>
              <w:t>根据建设单位提供材料，项目</w:t>
            </w:r>
            <w:r>
              <w:rPr>
                <w:rFonts w:hint="default" w:ascii="Times New Roman" w:hAnsi="Times New Roman" w:cs="Times New Roman"/>
                <w:color w:val="auto"/>
                <w:sz w:val="24"/>
                <w:szCs w:val="24"/>
                <w:lang w:eastAsia="zh-CN"/>
              </w:rPr>
              <w:t>设备维护工序产生少量的废润滑油、废润滑油空桶，项目废润滑油产生量约</w:t>
            </w:r>
            <w:r>
              <w:rPr>
                <w:rFonts w:hint="default" w:ascii="Times New Roman" w:hAnsi="Times New Roman" w:eastAsia="宋体" w:cs="Times New Roman"/>
                <w:color w:val="auto"/>
                <w:sz w:val="24"/>
                <w:lang w:eastAsia="zh-CN"/>
              </w:rPr>
              <w:t>为</w:t>
            </w:r>
            <w:r>
              <w:rPr>
                <w:rFonts w:hint="default" w:ascii="Times New Roman" w:hAnsi="Times New Roman" w:cs="Times New Roman"/>
                <w:color w:val="auto"/>
                <w:sz w:val="24"/>
                <w:lang w:val="en-US" w:eastAsia="zh-CN"/>
              </w:rPr>
              <w:t>0.1</w:t>
            </w:r>
            <w:r>
              <w:rPr>
                <w:rFonts w:hint="default" w:ascii="Times New Roman" w:hAnsi="Times New Roman" w:eastAsia="宋体" w:cs="Times New Roman"/>
                <w:color w:val="auto"/>
                <w:sz w:val="24"/>
                <w:lang w:eastAsia="zh-CN"/>
              </w:rPr>
              <w:t>t/a</w:t>
            </w:r>
            <w:r>
              <w:rPr>
                <w:rFonts w:hint="default" w:ascii="Times New Roman" w:hAnsi="Times New Roman" w:cs="Times New Roman"/>
                <w:color w:val="auto"/>
                <w:sz w:val="24"/>
                <w:lang w:eastAsia="zh-CN"/>
              </w:rPr>
              <w:t>，废润滑油空桶产生量约为</w:t>
            </w:r>
            <w:r>
              <w:rPr>
                <w:rFonts w:hint="default" w:ascii="Times New Roman" w:hAnsi="Times New Roman" w:cs="Times New Roman"/>
                <w:color w:val="auto"/>
                <w:sz w:val="24"/>
                <w:lang w:val="en-US" w:eastAsia="zh-CN"/>
              </w:rPr>
              <w:t>0.5t/a</w:t>
            </w:r>
            <w:r>
              <w:rPr>
                <w:rFonts w:hint="default" w:ascii="Times New Roman" w:hAnsi="Times New Roman" w:eastAsia="宋体" w:cs="Times New Roman"/>
                <w:color w:val="auto"/>
                <w:sz w:val="24"/>
                <w:lang w:eastAsia="zh-CN"/>
              </w:rPr>
              <w:t>。</w:t>
            </w:r>
          </w:p>
          <w:p w14:paraId="398937D5">
            <w:pPr>
              <w:spacing w:line="360" w:lineRule="auto"/>
              <w:ind w:firstLine="480" w:firstLineChars="200"/>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根据《国家危险废物名录》（2025年版），</w:t>
            </w:r>
            <w:r>
              <w:rPr>
                <w:rFonts w:hint="default" w:ascii="Times New Roman" w:hAnsi="Times New Roman" w:cs="Times New Roman"/>
                <w:b w:val="0"/>
                <w:bCs w:val="0"/>
                <w:color w:val="auto"/>
                <w:sz w:val="24"/>
                <w:highlight w:val="none"/>
                <w:lang w:val="en-US" w:eastAsia="zh-CN"/>
              </w:rPr>
              <w:t>废润滑油</w:t>
            </w:r>
            <w:r>
              <w:rPr>
                <w:rFonts w:hint="default" w:ascii="Times New Roman" w:hAnsi="Times New Roman" w:eastAsia="宋体" w:cs="Times New Roman"/>
                <w:b w:val="0"/>
                <w:bCs w:val="0"/>
                <w:color w:val="auto"/>
                <w:sz w:val="24"/>
                <w:highlight w:val="none"/>
                <w:lang w:val="en-US" w:eastAsia="zh-CN"/>
              </w:rPr>
              <w:t>属于危险废物，废物类别为HW</w:t>
            </w:r>
            <w:r>
              <w:rPr>
                <w:rFonts w:hint="default" w:ascii="Times New Roman" w:hAnsi="Times New Roman" w:cs="Times New Roman"/>
                <w:b w:val="0"/>
                <w:bCs w:val="0"/>
                <w:color w:val="auto"/>
                <w:sz w:val="24"/>
                <w:highlight w:val="none"/>
                <w:lang w:val="en-US" w:eastAsia="zh-CN"/>
              </w:rPr>
              <w:t>08废矿物油与含矿物油废物</w:t>
            </w:r>
            <w:r>
              <w:rPr>
                <w:rFonts w:hint="default" w:ascii="Times New Roman" w:hAnsi="Times New Roman" w:eastAsia="宋体" w:cs="Times New Roman"/>
                <w:b w:val="0"/>
                <w:bCs w:val="0"/>
                <w:color w:val="auto"/>
                <w:sz w:val="24"/>
                <w:highlight w:val="none"/>
                <w:lang w:val="en-US" w:eastAsia="zh-CN"/>
              </w:rPr>
              <w:t>，废物代码</w:t>
            </w:r>
            <w:r>
              <w:rPr>
                <w:rFonts w:hint="default" w:ascii="Times New Roman" w:hAnsi="Times New Roman" w:cs="Times New Roman"/>
                <w:b w:val="0"/>
                <w:bCs w:val="0"/>
                <w:color w:val="auto"/>
                <w:sz w:val="24"/>
                <w:highlight w:val="none"/>
                <w:lang w:val="en-US" w:eastAsia="zh-CN"/>
              </w:rPr>
              <w:t>900</w:t>
            </w:r>
            <w:r>
              <w:rPr>
                <w:rFonts w:hint="default" w:ascii="Times New Roman" w:hAnsi="Times New Roman" w:eastAsia="宋体" w:cs="Times New Roman"/>
                <w:b w:val="0"/>
                <w:bCs w:val="0"/>
                <w:color w:val="auto"/>
                <w:sz w:val="24"/>
                <w:highlight w:val="none"/>
                <w:lang w:val="en-US" w:eastAsia="zh-CN"/>
              </w:rPr>
              <w:t>-</w:t>
            </w:r>
            <w:r>
              <w:rPr>
                <w:rFonts w:hint="default" w:ascii="Times New Roman" w:hAnsi="Times New Roman" w:cs="Times New Roman"/>
                <w:b w:val="0"/>
                <w:bCs w:val="0"/>
                <w:color w:val="auto"/>
                <w:sz w:val="24"/>
                <w:highlight w:val="none"/>
                <w:lang w:val="en-US" w:eastAsia="zh-CN"/>
              </w:rPr>
              <w:t>214</w:t>
            </w:r>
            <w:r>
              <w:rPr>
                <w:rFonts w:hint="default" w:ascii="Times New Roman" w:hAnsi="Times New Roman" w:eastAsia="宋体" w:cs="Times New Roman"/>
                <w:b w:val="0"/>
                <w:bCs w:val="0"/>
                <w:color w:val="auto"/>
                <w:sz w:val="24"/>
                <w:highlight w:val="none"/>
                <w:lang w:val="en-US" w:eastAsia="zh-CN"/>
              </w:rPr>
              <w:t>-</w:t>
            </w:r>
            <w:r>
              <w:rPr>
                <w:rFonts w:hint="default" w:ascii="Times New Roman" w:hAnsi="Times New Roman" w:cs="Times New Roman"/>
                <w:b w:val="0"/>
                <w:bCs w:val="0"/>
                <w:color w:val="auto"/>
                <w:sz w:val="24"/>
                <w:highlight w:val="none"/>
                <w:lang w:val="en-US" w:eastAsia="zh-CN"/>
              </w:rPr>
              <w:t>08车辆、轮船及其它机械维修过程中产生的废发动机油、制动器油、自动变速器油、齿轮油等废润滑油</w:t>
            </w:r>
            <w:r>
              <w:rPr>
                <w:rFonts w:hint="default" w:ascii="Times New Roman" w:hAnsi="Times New Roman" w:eastAsia="宋体" w:cs="Times New Roman"/>
                <w:b w:val="0"/>
                <w:bCs w:val="0"/>
                <w:color w:val="auto"/>
                <w:sz w:val="24"/>
                <w:highlight w:val="none"/>
                <w:lang w:val="en-US" w:eastAsia="zh-CN"/>
              </w:rPr>
              <w:t>。</w:t>
            </w:r>
            <w:r>
              <w:rPr>
                <w:rFonts w:hint="default" w:ascii="Times New Roman" w:hAnsi="Times New Roman" w:cs="Times New Roman"/>
                <w:color w:val="auto"/>
                <w:sz w:val="24"/>
                <w:szCs w:val="24"/>
                <w:lang w:eastAsia="zh-CN"/>
              </w:rPr>
              <w:t>废润滑油空桶</w:t>
            </w:r>
            <w:r>
              <w:rPr>
                <w:rFonts w:hint="default" w:ascii="Times New Roman" w:hAnsi="Times New Roman" w:eastAsia="宋体" w:cs="Times New Roman"/>
                <w:b w:val="0"/>
                <w:bCs w:val="0"/>
                <w:color w:val="auto"/>
                <w:sz w:val="24"/>
                <w:highlight w:val="none"/>
                <w:lang w:val="en-US" w:eastAsia="zh-CN"/>
              </w:rPr>
              <w:t>属于危险废物，废物类别为HW</w:t>
            </w:r>
            <w:r>
              <w:rPr>
                <w:rFonts w:hint="default" w:ascii="Times New Roman" w:hAnsi="Times New Roman" w:cs="Times New Roman"/>
                <w:b w:val="0"/>
                <w:bCs w:val="0"/>
                <w:color w:val="auto"/>
                <w:sz w:val="24"/>
                <w:highlight w:val="none"/>
                <w:lang w:val="en-US" w:eastAsia="zh-CN"/>
              </w:rPr>
              <w:t>08废矿物油与含矿物油废物</w:t>
            </w:r>
            <w:r>
              <w:rPr>
                <w:rFonts w:hint="default" w:ascii="Times New Roman" w:hAnsi="Times New Roman" w:eastAsia="宋体" w:cs="Times New Roman"/>
                <w:b w:val="0"/>
                <w:bCs w:val="0"/>
                <w:color w:val="auto"/>
                <w:sz w:val="24"/>
                <w:highlight w:val="none"/>
                <w:lang w:val="en-US" w:eastAsia="zh-CN"/>
              </w:rPr>
              <w:t>，废物代码</w:t>
            </w:r>
            <w:r>
              <w:rPr>
                <w:rFonts w:hint="default" w:ascii="Times New Roman" w:hAnsi="Times New Roman" w:cs="Times New Roman"/>
                <w:b w:val="0"/>
                <w:bCs w:val="0"/>
                <w:color w:val="auto"/>
                <w:sz w:val="24"/>
                <w:highlight w:val="none"/>
                <w:lang w:val="en-US" w:eastAsia="zh-CN"/>
              </w:rPr>
              <w:t>900</w:t>
            </w:r>
            <w:r>
              <w:rPr>
                <w:rFonts w:hint="default" w:ascii="Times New Roman" w:hAnsi="Times New Roman" w:eastAsia="宋体" w:cs="Times New Roman"/>
                <w:b w:val="0"/>
                <w:bCs w:val="0"/>
                <w:color w:val="auto"/>
                <w:sz w:val="24"/>
                <w:highlight w:val="none"/>
                <w:lang w:val="en-US" w:eastAsia="zh-CN"/>
              </w:rPr>
              <w:t>-</w:t>
            </w:r>
            <w:r>
              <w:rPr>
                <w:rFonts w:hint="default" w:ascii="Times New Roman" w:hAnsi="Times New Roman" w:cs="Times New Roman"/>
                <w:b w:val="0"/>
                <w:bCs w:val="0"/>
                <w:color w:val="auto"/>
                <w:sz w:val="24"/>
                <w:highlight w:val="none"/>
                <w:lang w:val="en-US" w:eastAsia="zh-CN"/>
              </w:rPr>
              <w:t>249</w:t>
            </w:r>
            <w:r>
              <w:rPr>
                <w:rFonts w:hint="default" w:ascii="Times New Roman" w:hAnsi="Times New Roman" w:eastAsia="宋体" w:cs="Times New Roman"/>
                <w:b w:val="0"/>
                <w:bCs w:val="0"/>
                <w:color w:val="auto"/>
                <w:sz w:val="24"/>
                <w:highlight w:val="none"/>
                <w:lang w:val="en-US" w:eastAsia="zh-CN"/>
              </w:rPr>
              <w:t>-</w:t>
            </w:r>
            <w:r>
              <w:rPr>
                <w:rFonts w:hint="default" w:ascii="Times New Roman" w:hAnsi="Times New Roman" w:cs="Times New Roman"/>
                <w:b w:val="0"/>
                <w:bCs w:val="0"/>
                <w:color w:val="auto"/>
                <w:sz w:val="24"/>
                <w:highlight w:val="none"/>
                <w:lang w:val="en-US" w:eastAsia="zh-CN"/>
              </w:rPr>
              <w:t>08其他生产、销售、使用过程中产生的废矿物油及沾染矿物油的废弃包装物。废润滑油、废润滑油空桶</w:t>
            </w:r>
            <w:r>
              <w:rPr>
                <w:rFonts w:hint="default" w:ascii="Times New Roman" w:hAnsi="Times New Roman" w:eastAsia="宋体" w:cs="Times New Roman"/>
                <w:b w:val="0"/>
                <w:bCs w:val="0"/>
                <w:color w:val="auto"/>
                <w:sz w:val="24"/>
                <w:highlight w:val="none"/>
                <w:lang w:val="en-US" w:eastAsia="zh-CN"/>
              </w:rPr>
              <w:t>妥善收集后暂存至危废暂存间中，定期委托有资质单位进行清运处置。</w:t>
            </w:r>
          </w:p>
          <w:p w14:paraId="5C98299F">
            <w:pPr>
              <w:spacing w:line="360" w:lineRule="auto"/>
              <w:ind w:firstLine="480" w:firstLineChars="200"/>
              <w:rPr>
                <w:rFonts w:hint="default" w:ascii="Times New Roman" w:hAnsi="Times New Roman"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③</w:t>
            </w:r>
            <w:r>
              <w:rPr>
                <w:rFonts w:hint="default" w:ascii="Times New Roman" w:hAnsi="Times New Roman" w:cs="Times New Roman"/>
                <w:b w:val="0"/>
                <w:bCs w:val="0"/>
                <w:color w:val="auto"/>
                <w:sz w:val="24"/>
                <w:highlight w:val="none"/>
                <w:lang w:val="en-US" w:eastAsia="zh-CN"/>
              </w:rPr>
              <w:t>废柴油</w:t>
            </w:r>
          </w:p>
          <w:p w14:paraId="006C5DF5">
            <w:pPr>
              <w:spacing w:line="360" w:lineRule="auto"/>
              <w:ind w:firstLine="480" w:firstLineChars="200"/>
              <w:rPr>
                <w:rFonts w:hint="eastAsia" w:ascii="Times New Roman" w:hAnsi="Times New Roman" w:eastAsia="宋体" w:cs="Times New Roman"/>
                <w:color w:val="auto"/>
                <w:sz w:val="24"/>
                <w:lang w:eastAsia="zh-CN"/>
              </w:rPr>
            </w:pPr>
            <w:r>
              <w:rPr>
                <w:rFonts w:hint="eastAsia" w:ascii="Times New Roman" w:hAnsi="Times New Roman" w:cs="Times New Roman"/>
                <w:color w:val="auto"/>
                <w:sz w:val="24"/>
                <w:lang w:eastAsia="zh-CN"/>
              </w:rPr>
              <w:t>根据建设单位提供材料，</w:t>
            </w:r>
            <w:r>
              <w:rPr>
                <w:rFonts w:hint="eastAsia" w:cs="Times New Roman"/>
                <w:color w:val="auto"/>
                <w:sz w:val="24"/>
                <w:lang w:eastAsia="zh-CN"/>
              </w:rPr>
              <w:t>项目</w:t>
            </w:r>
            <w:r>
              <w:rPr>
                <w:rFonts w:hint="eastAsia" w:cs="Times New Roman"/>
                <w:color w:val="auto"/>
                <w:sz w:val="24"/>
                <w:szCs w:val="24"/>
                <w:lang w:eastAsia="zh-CN"/>
              </w:rPr>
              <w:t>电气测试工序产生少量的废柴油，</w:t>
            </w:r>
            <w:r>
              <w:rPr>
                <w:rFonts w:hint="eastAsia" w:ascii="Times New Roman" w:hAnsi="Times New Roman" w:cs="Times New Roman"/>
                <w:color w:val="auto"/>
                <w:sz w:val="24"/>
                <w:szCs w:val="24"/>
                <w:lang w:eastAsia="zh-CN"/>
              </w:rPr>
              <w:t>项目废柴油产生量约</w:t>
            </w:r>
            <w:r>
              <w:rPr>
                <w:rFonts w:hint="eastAsia" w:ascii="Times New Roman" w:hAnsi="Times New Roman" w:eastAsia="宋体" w:cs="Times New Roman"/>
                <w:color w:val="auto"/>
                <w:sz w:val="24"/>
                <w:lang w:eastAsia="zh-CN"/>
              </w:rPr>
              <w:t>为</w:t>
            </w:r>
            <w:r>
              <w:rPr>
                <w:rFonts w:hint="eastAsia" w:ascii="Times New Roman" w:hAnsi="Times New Roman" w:cs="Times New Roman"/>
                <w:color w:val="auto"/>
                <w:sz w:val="24"/>
                <w:lang w:val="en-US" w:eastAsia="zh-CN"/>
              </w:rPr>
              <w:t>0.</w:t>
            </w:r>
            <w:r>
              <w:rPr>
                <w:rFonts w:hint="eastAsia" w:cs="Times New Roman"/>
                <w:color w:val="auto"/>
                <w:sz w:val="24"/>
                <w:lang w:val="en-US" w:eastAsia="zh-CN"/>
              </w:rPr>
              <w:t>2</w:t>
            </w:r>
            <w:r>
              <w:rPr>
                <w:rFonts w:hint="eastAsia" w:ascii="Times New Roman" w:hAnsi="Times New Roman" w:eastAsia="宋体" w:cs="Times New Roman"/>
                <w:color w:val="auto"/>
                <w:sz w:val="24"/>
                <w:lang w:eastAsia="zh-CN"/>
              </w:rPr>
              <w:t>t/a。</w:t>
            </w:r>
          </w:p>
          <w:p w14:paraId="30665ABA">
            <w:pPr>
              <w:spacing w:line="360" w:lineRule="auto"/>
              <w:ind w:firstLine="480" w:firstLineChars="200"/>
              <w:rPr>
                <w:rFonts w:hint="default" w:ascii="Times New Roman" w:hAnsi="Times New Roman" w:eastAsia="宋体" w:cs="Times New Roman"/>
                <w:b w:val="0"/>
                <w:bCs w:val="0"/>
                <w:color w:val="auto"/>
                <w:sz w:val="24"/>
                <w:highlight w:val="none"/>
                <w:lang w:val="en-US" w:eastAsia="zh-CN"/>
              </w:rPr>
            </w:pPr>
            <w:r>
              <w:rPr>
                <w:rFonts w:hint="eastAsia" w:ascii="Times New Roman" w:hAnsi="Times New Roman" w:eastAsia="宋体" w:cs="Times New Roman"/>
                <w:b w:val="0"/>
                <w:bCs w:val="0"/>
                <w:color w:val="auto"/>
                <w:sz w:val="24"/>
                <w:highlight w:val="none"/>
                <w:lang w:val="en-US" w:eastAsia="zh-CN"/>
              </w:rPr>
              <w:t>根据《国家危险废物名录》（2025年版），</w:t>
            </w:r>
            <w:r>
              <w:rPr>
                <w:rFonts w:hint="eastAsia" w:cs="Times New Roman"/>
                <w:b w:val="0"/>
                <w:bCs w:val="0"/>
                <w:color w:val="auto"/>
                <w:sz w:val="24"/>
                <w:highlight w:val="none"/>
                <w:lang w:val="en-US" w:eastAsia="zh-CN"/>
              </w:rPr>
              <w:t>废柴油</w:t>
            </w:r>
            <w:r>
              <w:rPr>
                <w:rFonts w:hint="eastAsia" w:ascii="Times New Roman" w:hAnsi="Times New Roman" w:eastAsia="宋体" w:cs="Times New Roman"/>
                <w:b w:val="0"/>
                <w:bCs w:val="0"/>
                <w:color w:val="auto"/>
                <w:sz w:val="24"/>
                <w:highlight w:val="none"/>
                <w:lang w:val="en-US" w:eastAsia="zh-CN"/>
              </w:rPr>
              <w:t>属于危险废</w:t>
            </w:r>
            <w:r>
              <w:rPr>
                <w:rFonts w:hint="default" w:ascii="Times New Roman" w:hAnsi="Times New Roman" w:eastAsia="宋体" w:cs="Times New Roman"/>
                <w:b w:val="0"/>
                <w:bCs w:val="0"/>
                <w:color w:val="auto"/>
                <w:sz w:val="24"/>
                <w:highlight w:val="none"/>
                <w:lang w:val="en-US" w:eastAsia="zh-CN"/>
              </w:rPr>
              <w:t>物，废物类别为HW</w:t>
            </w:r>
            <w:r>
              <w:rPr>
                <w:rFonts w:hint="eastAsia" w:cs="Times New Roman"/>
                <w:b w:val="0"/>
                <w:bCs w:val="0"/>
                <w:color w:val="auto"/>
                <w:sz w:val="24"/>
                <w:highlight w:val="none"/>
                <w:lang w:val="en-US" w:eastAsia="zh-CN"/>
              </w:rPr>
              <w:t>08废矿物油与含矿物油废物</w:t>
            </w:r>
            <w:r>
              <w:rPr>
                <w:rFonts w:hint="default" w:ascii="Times New Roman" w:hAnsi="Times New Roman" w:eastAsia="宋体" w:cs="Times New Roman"/>
                <w:b w:val="0"/>
                <w:bCs w:val="0"/>
                <w:color w:val="auto"/>
                <w:sz w:val="24"/>
                <w:highlight w:val="none"/>
                <w:lang w:val="en-US" w:eastAsia="zh-CN"/>
              </w:rPr>
              <w:t>，废物代码</w:t>
            </w:r>
            <w:r>
              <w:rPr>
                <w:rFonts w:hint="eastAsia" w:cs="Times New Roman"/>
                <w:b w:val="0"/>
                <w:bCs w:val="0"/>
                <w:color w:val="auto"/>
                <w:sz w:val="24"/>
                <w:highlight w:val="none"/>
                <w:lang w:val="en-US" w:eastAsia="zh-CN"/>
              </w:rPr>
              <w:t>900</w:t>
            </w:r>
            <w:r>
              <w:rPr>
                <w:rFonts w:hint="default" w:ascii="Times New Roman" w:hAnsi="Times New Roman" w:eastAsia="宋体" w:cs="Times New Roman"/>
                <w:b w:val="0"/>
                <w:bCs w:val="0"/>
                <w:color w:val="auto"/>
                <w:sz w:val="24"/>
                <w:highlight w:val="none"/>
                <w:lang w:val="en-US" w:eastAsia="zh-CN"/>
              </w:rPr>
              <w:t>-</w:t>
            </w:r>
            <w:r>
              <w:rPr>
                <w:rFonts w:hint="eastAsia" w:cs="Times New Roman"/>
                <w:b w:val="0"/>
                <w:bCs w:val="0"/>
                <w:color w:val="auto"/>
                <w:sz w:val="24"/>
                <w:highlight w:val="none"/>
                <w:lang w:val="en-US" w:eastAsia="zh-CN"/>
              </w:rPr>
              <w:t>249</w:t>
            </w:r>
            <w:r>
              <w:rPr>
                <w:rFonts w:hint="default" w:ascii="Times New Roman" w:hAnsi="Times New Roman" w:eastAsia="宋体" w:cs="Times New Roman"/>
                <w:b w:val="0"/>
                <w:bCs w:val="0"/>
                <w:color w:val="auto"/>
                <w:sz w:val="24"/>
                <w:highlight w:val="none"/>
                <w:lang w:val="en-US" w:eastAsia="zh-CN"/>
              </w:rPr>
              <w:t>-</w:t>
            </w:r>
            <w:r>
              <w:rPr>
                <w:rFonts w:hint="eastAsia" w:cs="Times New Roman"/>
                <w:b w:val="0"/>
                <w:bCs w:val="0"/>
                <w:color w:val="auto"/>
                <w:sz w:val="24"/>
                <w:highlight w:val="none"/>
                <w:lang w:val="en-US" w:eastAsia="zh-CN"/>
              </w:rPr>
              <w:t>08其他生产、销售、使用过程中产生的废矿物油及沾染矿物油的废弃包装物。废柴油</w:t>
            </w:r>
            <w:r>
              <w:rPr>
                <w:rFonts w:hint="default" w:ascii="Times New Roman" w:hAnsi="Times New Roman" w:eastAsia="宋体" w:cs="Times New Roman"/>
                <w:b w:val="0"/>
                <w:bCs w:val="0"/>
                <w:color w:val="auto"/>
                <w:sz w:val="24"/>
                <w:highlight w:val="none"/>
                <w:lang w:val="en-US" w:eastAsia="zh-CN"/>
              </w:rPr>
              <w:t>妥善收集后暂存至危废暂存间中，定期委托</w:t>
            </w:r>
            <w:r>
              <w:rPr>
                <w:rFonts w:hint="eastAsia" w:ascii="Times New Roman" w:hAnsi="Times New Roman" w:eastAsia="宋体" w:cs="Times New Roman"/>
                <w:b w:val="0"/>
                <w:bCs w:val="0"/>
                <w:color w:val="auto"/>
                <w:sz w:val="24"/>
                <w:highlight w:val="none"/>
                <w:lang w:val="en-US" w:eastAsia="zh-CN"/>
              </w:rPr>
              <w:t>有资质单位</w:t>
            </w:r>
            <w:r>
              <w:rPr>
                <w:rFonts w:hint="default" w:ascii="Times New Roman" w:hAnsi="Times New Roman" w:eastAsia="宋体" w:cs="Times New Roman"/>
                <w:b w:val="0"/>
                <w:bCs w:val="0"/>
                <w:color w:val="auto"/>
                <w:sz w:val="24"/>
                <w:highlight w:val="none"/>
                <w:lang w:val="en-US" w:eastAsia="zh-CN"/>
              </w:rPr>
              <w:t>进行清运处置。</w:t>
            </w:r>
          </w:p>
          <w:p w14:paraId="14BF21D4">
            <w:pPr>
              <w:spacing w:line="360" w:lineRule="auto"/>
              <w:ind w:firstLine="480" w:firstLineChars="200"/>
              <w:rPr>
                <w:rFonts w:hint="default" w:ascii="Times New Roman" w:hAnsi="Times New Roman"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④</w:t>
            </w:r>
            <w:r>
              <w:rPr>
                <w:rFonts w:hint="eastAsia" w:ascii="Times New Roman" w:hAnsi="Times New Roman" w:cs="Times New Roman"/>
                <w:b w:val="0"/>
                <w:bCs w:val="0"/>
                <w:color w:val="auto"/>
                <w:sz w:val="24"/>
                <w:highlight w:val="none"/>
                <w:lang w:val="en-US" w:eastAsia="zh-CN"/>
              </w:rPr>
              <w:t>槽渣</w:t>
            </w:r>
          </w:p>
          <w:p w14:paraId="6EFF62BD">
            <w:pPr>
              <w:spacing w:line="360" w:lineRule="auto"/>
              <w:ind w:firstLine="480" w:firstLineChars="200"/>
              <w:rPr>
                <w:rFonts w:hint="default" w:ascii="Times New Roman" w:hAnsi="Times New Roman" w:eastAsia="宋体" w:cs="Times New Roman"/>
                <w:b w:val="0"/>
                <w:bCs w:val="0"/>
                <w:color w:val="auto"/>
                <w:sz w:val="24"/>
                <w:highlight w:val="none"/>
                <w:lang w:val="en-US" w:eastAsia="zh-CN"/>
              </w:rPr>
            </w:pPr>
            <w:r>
              <w:rPr>
                <w:rFonts w:hint="eastAsia" w:ascii="Times New Roman" w:hAnsi="Times New Roman" w:cs="Times New Roman"/>
                <w:color w:val="auto"/>
                <w:sz w:val="24"/>
                <w:lang w:eastAsia="zh-CN"/>
              </w:rPr>
              <w:t>根据建设单位提供材料，</w:t>
            </w:r>
            <w:r>
              <w:rPr>
                <w:rFonts w:hint="eastAsia" w:cs="Times New Roman"/>
                <w:color w:val="auto"/>
                <w:sz w:val="24"/>
                <w:highlight w:val="none"/>
                <w:lang w:val="en-US" w:eastAsia="zh-CN"/>
              </w:rPr>
              <w:t>项目脱脂除油槽中除油用水定期补充，并定期捞渣，槽渣产生量约为0.5t/a。</w:t>
            </w:r>
            <w:r>
              <w:rPr>
                <w:rFonts w:hint="eastAsia" w:ascii="Times New Roman" w:hAnsi="Times New Roman" w:eastAsia="宋体" w:cs="Times New Roman"/>
                <w:b w:val="0"/>
                <w:bCs w:val="0"/>
                <w:color w:val="auto"/>
                <w:sz w:val="24"/>
                <w:highlight w:val="none"/>
                <w:lang w:val="en-US" w:eastAsia="zh-CN"/>
              </w:rPr>
              <w:t>根据《国家危险废物名录》（2025年版），</w:t>
            </w:r>
            <w:r>
              <w:rPr>
                <w:rFonts w:hint="eastAsia" w:cs="Times New Roman"/>
                <w:b w:val="0"/>
                <w:bCs w:val="0"/>
                <w:color w:val="auto"/>
                <w:sz w:val="24"/>
                <w:highlight w:val="none"/>
                <w:lang w:val="en-US" w:eastAsia="zh-CN"/>
              </w:rPr>
              <w:t>槽渣</w:t>
            </w:r>
            <w:r>
              <w:rPr>
                <w:rFonts w:hint="eastAsia" w:ascii="Times New Roman" w:hAnsi="Times New Roman" w:eastAsia="宋体" w:cs="Times New Roman"/>
                <w:b w:val="0"/>
                <w:bCs w:val="0"/>
                <w:color w:val="auto"/>
                <w:sz w:val="24"/>
                <w:highlight w:val="none"/>
                <w:lang w:val="en-US" w:eastAsia="zh-CN"/>
              </w:rPr>
              <w:t>属于危险废</w:t>
            </w:r>
            <w:r>
              <w:rPr>
                <w:rFonts w:hint="default" w:ascii="Times New Roman" w:hAnsi="Times New Roman" w:eastAsia="宋体" w:cs="Times New Roman"/>
                <w:b w:val="0"/>
                <w:bCs w:val="0"/>
                <w:color w:val="auto"/>
                <w:sz w:val="24"/>
                <w:highlight w:val="none"/>
                <w:lang w:val="en-US" w:eastAsia="zh-CN"/>
              </w:rPr>
              <w:t>物，废物类别为HW</w:t>
            </w:r>
            <w:r>
              <w:rPr>
                <w:rFonts w:hint="eastAsia" w:cs="Times New Roman"/>
                <w:b w:val="0"/>
                <w:bCs w:val="0"/>
                <w:color w:val="auto"/>
                <w:sz w:val="24"/>
                <w:highlight w:val="none"/>
                <w:lang w:val="en-US" w:eastAsia="zh-CN"/>
              </w:rPr>
              <w:t>17表面处理废物</w:t>
            </w:r>
            <w:r>
              <w:rPr>
                <w:rFonts w:hint="default" w:ascii="Times New Roman" w:hAnsi="Times New Roman" w:eastAsia="宋体" w:cs="Times New Roman"/>
                <w:b w:val="0"/>
                <w:bCs w:val="0"/>
                <w:color w:val="auto"/>
                <w:sz w:val="24"/>
                <w:highlight w:val="none"/>
                <w:lang w:val="en-US" w:eastAsia="zh-CN"/>
              </w:rPr>
              <w:t>，废物代码</w:t>
            </w:r>
            <w:r>
              <w:rPr>
                <w:rFonts w:hint="eastAsia" w:cs="Times New Roman"/>
                <w:b w:val="0"/>
                <w:bCs w:val="0"/>
                <w:color w:val="auto"/>
                <w:sz w:val="24"/>
                <w:highlight w:val="none"/>
                <w:lang w:val="en-US" w:eastAsia="zh-CN"/>
              </w:rPr>
              <w:t>336</w:t>
            </w:r>
            <w:r>
              <w:rPr>
                <w:rFonts w:hint="default" w:ascii="Times New Roman" w:hAnsi="Times New Roman" w:eastAsia="宋体" w:cs="Times New Roman"/>
                <w:b w:val="0"/>
                <w:bCs w:val="0"/>
                <w:color w:val="auto"/>
                <w:sz w:val="24"/>
                <w:highlight w:val="none"/>
                <w:lang w:val="en-US" w:eastAsia="zh-CN"/>
              </w:rPr>
              <w:t>-</w:t>
            </w:r>
            <w:r>
              <w:rPr>
                <w:rFonts w:hint="eastAsia" w:cs="Times New Roman"/>
                <w:b w:val="0"/>
                <w:bCs w:val="0"/>
                <w:color w:val="auto"/>
                <w:sz w:val="24"/>
                <w:highlight w:val="none"/>
                <w:lang w:val="en-US" w:eastAsia="zh-CN"/>
              </w:rPr>
              <w:t>064</w:t>
            </w:r>
            <w:r>
              <w:rPr>
                <w:rFonts w:hint="default" w:ascii="Times New Roman" w:hAnsi="Times New Roman" w:eastAsia="宋体" w:cs="Times New Roman"/>
                <w:b w:val="0"/>
                <w:bCs w:val="0"/>
                <w:color w:val="auto"/>
                <w:sz w:val="24"/>
                <w:highlight w:val="none"/>
                <w:lang w:val="en-US" w:eastAsia="zh-CN"/>
              </w:rPr>
              <w:t>-</w:t>
            </w:r>
            <w:r>
              <w:rPr>
                <w:rFonts w:hint="eastAsia" w:cs="Times New Roman"/>
                <w:b w:val="0"/>
                <w:bCs w:val="0"/>
                <w:color w:val="auto"/>
                <w:sz w:val="24"/>
                <w:highlight w:val="none"/>
                <w:lang w:val="en-US" w:eastAsia="zh-CN"/>
              </w:rPr>
              <w:t>17金属或者塑料表面酸（碱）洗、除油、除锈（不包括喷砂除锈）、洗涤、磷化、出光、化抛工艺产生的废腐蚀液、废洗涤液、废槽液、槽渣和废水处理污泥（不包括：铝、镁材（板）表面酸（碱）洗、粗化、硫酸阳极处理、磷酸化学抛光废水处理污泥，铝电解电容器用铝电极箔化学腐蚀、非硼酸系化成液化成废水处理污泥，铝材挤压加工模具碱洗（煲模）废水处理污泥，碳钢酸洗除锈废水处理污泥）。废柴油</w:t>
            </w:r>
            <w:r>
              <w:rPr>
                <w:rFonts w:hint="default" w:ascii="Times New Roman" w:hAnsi="Times New Roman" w:eastAsia="宋体" w:cs="Times New Roman"/>
                <w:b w:val="0"/>
                <w:bCs w:val="0"/>
                <w:color w:val="auto"/>
                <w:sz w:val="24"/>
                <w:highlight w:val="none"/>
                <w:lang w:val="en-US" w:eastAsia="zh-CN"/>
              </w:rPr>
              <w:t>妥善收集后暂存至危废暂存间中，定期委托</w:t>
            </w:r>
            <w:r>
              <w:rPr>
                <w:rFonts w:hint="eastAsia" w:ascii="Times New Roman" w:hAnsi="Times New Roman" w:eastAsia="宋体" w:cs="Times New Roman"/>
                <w:b w:val="0"/>
                <w:bCs w:val="0"/>
                <w:color w:val="auto"/>
                <w:sz w:val="24"/>
                <w:highlight w:val="none"/>
                <w:lang w:val="en-US" w:eastAsia="zh-CN"/>
              </w:rPr>
              <w:t>有资质单位</w:t>
            </w:r>
            <w:r>
              <w:rPr>
                <w:rFonts w:hint="default" w:ascii="Times New Roman" w:hAnsi="Times New Roman" w:eastAsia="宋体" w:cs="Times New Roman"/>
                <w:b w:val="0"/>
                <w:bCs w:val="0"/>
                <w:color w:val="auto"/>
                <w:sz w:val="24"/>
                <w:highlight w:val="none"/>
                <w:lang w:val="en-US" w:eastAsia="zh-CN"/>
              </w:rPr>
              <w:t>进行清运处置。</w:t>
            </w:r>
          </w:p>
          <w:p w14:paraId="6DEC9E16">
            <w:pPr>
              <w:pStyle w:val="26"/>
              <w:spacing w:line="360" w:lineRule="auto"/>
              <w:ind w:firstLine="480" w:firstLineChars="200"/>
              <w:jc w:val="both"/>
              <w:rPr>
                <w:rFonts w:hint="default" w:ascii="Times New Roman" w:hAnsi="Times New Roman"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⑤泥饼</w:t>
            </w:r>
          </w:p>
          <w:p w14:paraId="1B584F32">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根据</w:t>
            </w:r>
            <w:r>
              <w:rPr>
                <w:rFonts w:hint="default" w:ascii="Times New Roman" w:hAnsi="Times New Roman" w:cs="Times New Roman"/>
                <w:color w:val="auto"/>
                <w:sz w:val="24"/>
                <w:szCs w:val="24"/>
                <w:lang w:eastAsia="zh-CN"/>
              </w:rPr>
              <w:t>建设单位</w:t>
            </w:r>
            <w:r>
              <w:rPr>
                <w:rFonts w:hint="default" w:ascii="Times New Roman" w:hAnsi="Times New Roman" w:cs="Times New Roman"/>
                <w:color w:val="auto"/>
                <w:sz w:val="24"/>
                <w:szCs w:val="24"/>
              </w:rPr>
              <w:t>提供资料</w:t>
            </w:r>
            <w:r>
              <w:rPr>
                <w:rFonts w:hint="default" w:ascii="Times New Roman" w:hAnsi="Times New Roman" w:cs="Times New Roman"/>
                <w:color w:val="auto"/>
                <w:sz w:val="24"/>
                <w:szCs w:val="24"/>
                <w:lang w:eastAsia="zh-CN"/>
              </w:rPr>
              <w:t>，项目脱脂清洗废水经厂区内自建污水处理设施处理后回用，污水处理设施污泥经压滤机处理后泥饼外运处置。</w:t>
            </w:r>
            <w:r>
              <w:rPr>
                <w:rFonts w:hint="default" w:ascii="Times New Roman" w:hAnsi="Times New Roman" w:cs="Times New Roman"/>
                <w:color w:val="auto"/>
                <w:sz w:val="24"/>
                <w:szCs w:val="24"/>
                <w:lang w:val="en-US" w:eastAsia="zh-CN"/>
              </w:rPr>
              <w:t>泥饼产生量</w:t>
            </w:r>
            <w:r>
              <w:rPr>
                <w:rFonts w:hint="default" w:ascii="Times New Roman" w:hAnsi="Times New Roman" w:cs="Times New Roman"/>
                <w:color w:val="auto"/>
                <w:sz w:val="24"/>
                <w:szCs w:val="24"/>
                <w:lang w:eastAsia="zh-CN"/>
              </w:rPr>
              <w:t>约</w:t>
            </w:r>
            <w:r>
              <w:rPr>
                <w:rFonts w:hint="default" w:ascii="Times New Roman" w:hAnsi="Times New Roman" w:cs="Times New Roman"/>
                <w:color w:val="auto"/>
                <w:sz w:val="24"/>
                <w:szCs w:val="24"/>
                <w:lang w:val="en-US" w:eastAsia="zh-CN"/>
              </w:rPr>
              <w:t>为50kg/d（15t/a）。</w:t>
            </w:r>
            <w:r>
              <w:rPr>
                <w:rFonts w:hint="eastAsia" w:ascii="Times New Roman" w:hAnsi="Times New Roman" w:eastAsia="宋体" w:cs="Times New Roman"/>
                <w:b w:val="0"/>
                <w:bCs w:val="0"/>
                <w:color w:val="auto"/>
                <w:sz w:val="24"/>
                <w:highlight w:val="none"/>
                <w:lang w:val="en-US" w:eastAsia="zh-CN"/>
              </w:rPr>
              <w:t>根据《国家危险废物名录》（2025年版），</w:t>
            </w:r>
            <w:r>
              <w:rPr>
                <w:rFonts w:hint="eastAsia" w:ascii="Times New Roman" w:hAnsi="Times New Roman" w:cs="Times New Roman"/>
                <w:color w:val="auto"/>
                <w:sz w:val="24"/>
                <w:szCs w:val="24"/>
                <w:lang w:val="en-US" w:eastAsia="zh-CN"/>
              </w:rPr>
              <w:t>泥饼</w:t>
            </w:r>
            <w:r>
              <w:rPr>
                <w:rFonts w:hint="eastAsia" w:ascii="Times New Roman" w:hAnsi="Times New Roman" w:eastAsia="宋体" w:cs="Times New Roman"/>
                <w:b w:val="0"/>
                <w:bCs w:val="0"/>
                <w:color w:val="auto"/>
                <w:sz w:val="24"/>
                <w:highlight w:val="none"/>
                <w:lang w:val="en-US" w:eastAsia="zh-CN"/>
              </w:rPr>
              <w:t>属于危险废</w:t>
            </w:r>
            <w:r>
              <w:rPr>
                <w:rFonts w:hint="default" w:ascii="Times New Roman" w:hAnsi="Times New Roman" w:eastAsia="宋体" w:cs="Times New Roman"/>
                <w:b w:val="0"/>
                <w:bCs w:val="0"/>
                <w:color w:val="auto"/>
                <w:sz w:val="24"/>
                <w:highlight w:val="none"/>
                <w:lang w:val="en-US" w:eastAsia="zh-CN"/>
              </w:rPr>
              <w:t>物，废物类别为HW</w:t>
            </w:r>
            <w:r>
              <w:rPr>
                <w:rFonts w:hint="eastAsia" w:cs="Times New Roman"/>
                <w:b w:val="0"/>
                <w:bCs w:val="0"/>
                <w:color w:val="auto"/>
                <w:sz w:val="24"/>
                <w:highlight w:val="none"/>
                <w:lang w:val="en-US" w:eastAsia="zh-CN"/>
              </w:rPr>
              <w:t>17表面处理废物</w:t>
            </w:r>
            <w:r>
              <w:rPr>
                <w:rFonts w:hint="default" w:ascii="Times New Roman" w:hAnsi="Times New Roman" w:eastAsia="宋体" w:cs="Times New Roman"/>
                <w:b w:val="0"/>
                <w:bCs w:val="0"/>
                <w:color w:val="auto"/>
                <w:sz w:val="24"/>
                <w:highlight w:val="none"/>
                <w:lang w:val="en-US" w:eastAsia="zh-CN"/>
              </w:rPr>
              <w:t>，废物代码</w:t>
            </w:r>
            <w:r>
              <w:rPr>
                <w:rFonts w:hint="eastAsia" w:cs="Times New Roman"/>
                <w:b w:val="0"/>
                <w:bCs w:val="0"/>
                <w:color w:val="auto"/>
                <w:sz w:val="24"/>
                <w:highlight w:val="none"/>
                <w:lang w:val="en-US" w:eastAsia="zh-CN"/>
              </w:rPr>
              <w:t>336</w:t>
            </w:r>
            <w:r>
              <w:rPr>
                <w:rFonts w:hint="default" w:ascii="Times New Roman" w:hAnsi="Times New Roman" w:eastAsia="宋体" w:cs="Times New Roman"/>
                <w:b w:val="0"/>
                <w:bCs w:val="0"/>
                <w:color w:val="auto"/>
                <w:sz w:val="24"/>
                <w:highlight w:val="none"/>
                <w:lang w:val="en-US" w:eastAsia="zh-CN"/>
              </w:rPr>
              <w:t>-</w:t>
            </w:r>
            <w:r>
              <w:rPr>
                <w:rFonts w:hint="eastAsia" w:cs="Times New Roman"/>
                <w:b w:val="0"/>
                <w:bCs w:val="0"/>
                <w:color w:val="auto"/>
                <w:sz w:val="24"/>
                <w:highlight w:val="none"/>
                <w:lang w:val="en-US" w:eastAsia="zh-CN"/>
              </w:rPr>
              <w:t>064</w:t>
            </w:r>
            <w:r>
              <w:rPr>
                <w:rFonts w:hint="default" w:ascii="Times New Roman" w:hAnsi="Times New Roman" w:eastAsia="宋体" w:cs="Times New Roman"/>
                <w:b w:val="0"/>
                <w:bCs w:val="0"/>
                <w:color w:val="auto"/>
                <w:sz w:val="24"/>
                <w:highlight w:val="none"/>
                <w:lang w:val="en-US" w:eastAsia="zh-CN"/>
              </w:rPr>
              <w:t>-</w:t>
            </w:r>
            <w:r>
              <w:rPr>
                <w:rFonts w:hint="eastAsia" w:cs="Times New Roman"/>
                <w:b w:val="0"/>
                <w:bCs w:val="0"/>
                <w:color w:val="auto"/>
                <w:sz w:val="24"/>
                <w:highlight w:val="none"/>
                <w:lang w:val="en-US" w:eastAsia="zh-CN"/>
              </w:rPr>
              <w:t>17金属或者塑料表面酸（碱）洗、除油、除锈（不包括喷砂除锈）、洗涤、磷化、出光、化抛工艺产生的废腐蚀液、废洗涤液、废槽液、槽渣和废水处理污泥（不包括：铝、镁材（板）表面酸（碱）洗、粗化、硫酸阳极处理、磷酸化学抛光废水处理污泥，铝电解电容器用铝电极箔化学腐蚀、非硼酸系化成液化成废水处理污泥，铝材挤压加工模具碱洗（煲模）废水处理污泥，碳钢酸洗除锈废水处理污泥）。</w:t>
            </w:r>
            <w:r>
              <w:rPr>
                <w:rFonts w:hint="eastAsia" w:ascii="Times New Roman" w:hAnsi="Times New Roman" w:cs="Times New Roman"/>
                <w:color w:val="auto"/>
                <w:sz w:val="24"/>
                <w:szCs w:val="24"/>
                <w:lang w:val="en-US" w:eastAsia="zh-CN"/>
              </w:rPr>
              <w:t>泥饼</w:t>
            </w:r>
            <w:r>
              <w:rPr>
                <w:rFonts w:hint="default" w:ascii="Times New Roman" w:hAnsi="Times New Roman" w:eastAsia="宋体" w:cs="Times New Roman"/>
                <w:b w:val="0"/>
                <w:bCs w:val="0"/>
                <w:color w:val="auto"/>
                <w:sz w:val="24"/>
                <w:highlight w:val="none"/>
                <w:lang w:val="en-US" w:eastAsia="zh-CN"/>
              </w:rPr>
              <w:t>妥善收集后暂存至危废暂存间中，定期委托</w:t>
            </w:r>
            <w:r>
              <w:rPr>
                <w:rFonts w:hint="eastAsia" w:ascii="Times New Roman" w:hAnsi="Times New Roman" w:eastAsia="宋体" w:cs="Times New Roman"/>
                <w:b w:val="0"/>
                <w:bCs w:val="0"/>
                <w:color w:val="auto"/>
                <w:sz w:val="24"/>
                <w:highlight w:val="none"/>
                <w:lang w:val="en-US" w:eastAsia="zh-CN"/>
              </w:rPr>
              <w:t>有资质单位</w:t>
            </w:r>
            <w:r>
              <w:rPr>
                <w:rFonts w:hint="default" w:ascii="Times New Roman" w:hAnsi="Times New Roman" w:eastAsia="宋体" w:cs="Times New Roman"/>
                <w:b w:val="0"/>
                <w:bCs w:val="0"/>
                <w:color w:val="auto"/>
                <w:sz w:val="24"/>
                <w:highlight w:val="none"/>
                <w:lang w:val="en-US" w:eastAsia="zh-CN"/>
              </w:rPr>
              <w:t>进行清运处置</w:t>
            </w:r>
            <w:r>
              <w:rPr>
                <w:rFonts w:hint="default" w:ascii="Times New Roman" w:hAnsi="Times New Roman" w:cs="Times New Roman"/>
                <w:color w:val="auto"/>
                <w:sz w:val="24"/>
                <w:szCs w:val="24"/>
              </w:rPr>
              <w:t>。</w:t>
            </w:r>
          </w:p>
          <w:p w14:paraId="4DFF26FE">
            <w:pPr>
              <w:pStyle w:val="26"/>
              <w:spacing w:line="360" w:lineRule="auto"/>
              <w:ind w:firstLine="480" w:firstLineChars="200"/>
              <w:jc w:val="both"/>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⑥</w:t>
            </w:r>
            <w:r>
              <w:rPr>
                <w:rFonts w:hint="default" w:ascii="Times New Roman" w:hAnsi="Times New Roman" w:cs="Times New Roman"/>
                <w:color w:val="auto"/>
                <w:sz w:val="24"/>
                <w:szCs w:val="24"/>
                <w:lang w:val="en-US" w:eastAsia="zh-CN"/>
              </w:rPr>
              <w:t>废活性炭</w:t>
            </w:r>
          </w:p>
          <w:p w14:paraId="0CF197BC">
            <w:pPr>
              <w:pStyle w:val="26"/>
              <w:spacing w:line="360" w:lineRule="auto"/>
              <w:ind w:firstLine="480" w:firstLineChars="2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根据</w:t>
            </w:r>
            <w:r>
              <w:rPr>
                <w:rFonts w:hint="default" w:ascii="Times New Roman" w:hAnsi="Times New Roman" w:cs="Times New Roman"/>
                <w:color w:val="auto"/>
                <w:sz w:val="24"/>
                <w:szCs w:val="24"/>
                <w:lang w:eastAsia="zh-CN"/>
              </w:rPr>
              <w:t>建设单位</w:t>
            </w:r>
            <w:r>
              <w:rPr>
                <w:rFonts w:hint="default" w:ascii="Times New Roman" w:hAnsi="Times New Roman" w:cs="Times New Roman"/>
                <w:color w:val="auto"/>
                <w:sz w:val="24"/>
                <w:szCs w:val="24"/>
              </w:rPr>
              <w:t>提供资料</w:t>
            </w:r>
            <w:r>
              <w:rPr>
                <w:rFonts w:hint="default" w:ascii="Times New Roman" w:hAnsi="Times New Roman" w:cs="Times New Roman"/>
                <w:color w:val="auto"/>
                <w:sz w:val="24"/>
                <w:szCs w:val="24"/>
                <w:lang w:eastAsia="zh-CN"/>
              </w:rPr>
              <w:t>，项目脱脂清洗废水经絮凝沉淀后流入活性炭吸附罐吸附处置，活性炭更换频次为每季度更换一次，每次更换</w:t>
            </w:r>
            <w:r>
              <w:rPr>
                <w:rFonts w:hint="default" w:ascii="Times New Roman" w:hAnsi="Times New Roman" w:cs="Times New Roman"/>
                <w:color w:val="auto"/>
                <w:sz w:val="24"/>
                <w:szCs w:val="24"/>
                <w:lang w:val="en-US" w:eastAsia="zh-CN"/>
              </w:rPr>
              <w:t>1t。因此废活性炭产生量约为4t/a。</w:t>
            </w:r>
            <w:r>
              <w:rPr>
                <w:rFonts w:hint="eastAsia" w:ascii="Times New Roman" w:hAnsi="Times New Roman" w:eastAsia="宋体" w:cs="Times New Roman"/>
                <w:b w:val="0"/>
                <w:bCs w:val="0"/>
                <w:color w:val="auto"/>
                <w:sz w:val="24"/>
                <w:highlight w:val="none"/>
                <w:lang w:val="en-US" w:eastAsia="zh-CN"/>
              </w:rPr>
              <w:t>根据《国家危险废物名录》（2025年版），废活性炭属于危废，废物类别为HW49其他废物，废物代码900-041-49含有或者沾染毒性、感染性危险废物的废弃的包装物、容器、过滤吸附介质。</w:t>
            </w:r>
            <w:r>
              <w:rPr>
                <w:rFonts w:hint="eastAsia" w:ascii="Times New Roman" w:hAnsi="Times New Roman" w:cs="Times New Roman"/>
                <w:color w:val="auto"/>
                <w:sz w:val="24"/>
                <w:szCs w:val="24"/>
                <w:lang w:val="en-US" w:eastAsia="zh-CN"/>
              </w:rPr>
              <w:t>废活性炭</w:t>
            </w:r>
            <w:r>
              <w:rPr>
                <w:rFonts w:hint="default" w:ascii="Times New Roman" w:hAnsi="Times New Roman" w:eastAsia="宋体" w:cs="Times New Roman"/>
                <w:b w:val="0"/>
                <w:bCs w:val="0"/>
                <w:color w:val="auto"/>
                <w:sz w:val="24"/>
                <w:highlight w:val="none"/>
                <w:lang w:val="en-US" w:eastAsia="zh-CN"/>
              </w:rPr>
              <w:t>妥善收集后暂存至危废暂存间中，定期委托</w:t>
            </w:r>
            <w:r>
              <w:rPr>
                <w:rFonts w:hint="eastAsia" w:ascii="Times New Roman" w:hAnsi="Times New Roman" w:eastAsia="宋体" w:cs="Times New Roman"/>
                <w:b w:val="0"/>
                <w:bCs w:val="0"/>
                <w:color w:val="auto"/>
                <w:sz w:val="24"/>
                <w:highlight w:val="none"/>
                <w:lang w:val="en-US" w:eastAsia="zh-CN"/>
              </w:rPr>
              <w:t>有资质单位</w:t>
            </w:r>
            <w:r>
              <w:rPr>
                <w:rFonts w:hint="default" w:ascii="Times New Roman" w:hAnsi="Times New Roman" w:eastAsia="宋体" w:cs="Times New Roman"/>
                <w:b w:val="0"/>
                <w:bCs w:val="0"/>
                <w:color w:val="auto"/>
                <w:sz w:val="24"/>
                <w:highlight w:val="none"/>
                <w:lang w:val="en-US" w:eastAsia="zh-CN"/>
              </w:rPr>
              <w:t>进行清运处置</w:t>
            </w:r>
            <w:r>
              <w:rPr>
                <w:rFonts w:hint="default" w:ascii="Times New Roman" w:hAnsi="Times New Roman" w:cs="Times New Roman"/>
                <w:color w:val="auto"/>
                <w:sz w:val="24"/>
                <w:szCs w:val="24"/>
              </w:rPr>
              <w:t>。</w:t>
            </w:r>
          </w:p>
          <w:p w14:paraId="7FA5913A">
            <w:pPr>
              <w:pStyle w:val="26"/>
              <w:spacing w:line="360" w:lineRule="auto"/>
              <w:ind w:firstLine="480" w:firstLineChars="200"/>
              <w:jc w:val="both"/>
              <w:rPr>
                <w:rFonts w:hint="default" w:ascii="Times New Roman" w:hAnsi="Times New Roman"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⑦</w:t>
            </w:r>
            <w:r>
              <w:rPr>
                <w:rFonts w:hint="eastAsia" w:ascii="Times New Roman" w:hAnsi="Times New Roman" w:cs="Times New Roman"/>
                <w:color w:val="auto"/>
                <w:sz w:val="24"/>
                <w:szCs w:val="24"/>
                <w:lang w:val="en-US" w:eastAsia="zh-CN"/>
              </w:rPr>
              <w:t>脱脂清洗废液</w:t>
            </w:r>
          </w:p>
          <w:p w14:paraId="08B1E26D">
            <w:pPr>
              <w:pStyle w:val="26"/>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rPr>
              <w:t>根据</w:t>
            </w:r>
            <w:r>
              <w:rPr>
                <w:rFonts w:hint="default" w:ascii="Times New Roman" w:hAnsi="Times New Roman" w:cs="Times New Roman"/>
                <w:color w:val="auto"/>
                <w:sz w:val="24"/>
                <w:szCs w:val="24"/>
                <w:lang w:eastAsia="zh-CN"/>
              </w:rPr>
              <w:t>建设单位</w:t>
            </w:r>
            <w:r>
              <w:rPr>
                <w:rFonts w:hint="default" w:ascii="Times New Roman" w:hAnsi="Times New Roman" w:cs="Times New Roman"/>
                <w:color w:val="auto"/>
                <w:sz w:val="24"/>
                <w:szCs w:val="24"/>
              </w:rPr>
              <w:t>提供资料</w:t>
            </w:r>
            <w:r>
              <w:rPr>
                <w:rFonts w:hint="default" w:ascii="Times New Roman" w:hAnsi="Times New Roman" w:cs="Times New Roman"/>
                <w:color w:val="auto"/>
                <w:sz w:val="24"/>
                <w:szCs w:val="24"/>
                <w:lang w:eastAsia="zh-CN"/>
              </w:rPr>
              <w:t>，项目脱脂清洗废水经絮凝沉淀后流入活性炭吸附罐吸附处置，少量废水流入再生浓水箱作为脱脂清洗废液处置，产生量约为</w:t>
            </w:r>
            <w:r>
              <w:rPr>
                <w:rFonts w:hint="default" w:ascii="Times New Roman" w:hAnsi="Times New Roman" w:cs="Times New Roman"/>
                <w:color w:val="auto"/>
                <w:sz w:val="24"/>
                <w:szCs w:val="24"/>
                <w:lang w:val="en-US" w:eastAsia="zh-CN"/>
              </w:rPr>
              <w:t>100kg/周（4.8t/a）。</w:t>
            </w:r>
            <w:r>
              <w:rPr>
                <w:rFonts w:hint="default" w:ascii="Times New Roman" w:hAnsi="Times New Roman" w:eastAsia="宋体" w:cs="Times New Roman"/>
                <w:b w:val="0"/>
                <w:bCs w:val="0"/>
                <w:color w:val="auto"/>
                <w:sz w:val="24"/>
                <w:highlight w:val="none"/>
                <w:lang w:val="en-US" w:eastAsia="zh-CN"/>
              </w:rPr>
              <w:t>根据《国家危险废物名录》（2025年版），</w:t>
            </w:r>
            <w:r>
              <w:rPr>
                <w:rFonts w:hint="default" w:ascii="Times New Roman" w:hAnsi="Times New Roman" w:cs="Times New Roman"/>
                <w:color w:val="auto"/>
                <w:sz w:val="24"/>
                <w:szCs w:val="24"/>
                <w:lang w:eastAsia="zh-CN"/>
              </w:rPr>
              <w:t>脱脂清洗废液</w:t>
            </w:r>
            <w:r>
              <w:rPr>
                <w:rFonts w:hint="default" w:ascii="Times New Roman" w:hAnsi="Times New Roman" w:eastAsia="宋体" w:cs="Times New Roman"/>
                <w:b w:val="0"/>
                <w:bCs w:val="0"/>
                <w:color w:val="auto"/>
                <w:sz w:val="24"/>
                <w:highlight w:val="none"/>
                <w:lang w:val="en-US" w:eastAsia="zh-CN"/>
              </w:rPr>
              <w:t>属于危废，HW</w:t>
            </w:r>
            <w:r>
              <w:rPr>
                <w:rFonts w:hint="default" w:ascii="Times New Roman" w:hAnsi="Times New Roman" w:cs="Times New Roman"/>
                <w:b w:val="0"/>
                <w:bCs w:val="0"/>
                <w:color w:val="auto"/>
                <w:sz w:val="24"/>
                <w:highlight w:val="none"/>
                <w:lang w:val="en-US" w:eastAsia="zh-CN"/>
              </w:rPr>
              <w:t>17表面处理废物</w:t>
            </w:r>
            <w:r>
              <w:rPr>
                <w:rFonts w:hint="default" w:ascii="Times New Roman" w:hAnsi="Times New Roman" w:eastAsia="宋体" w:cs="Times New Roman"/>
                <w:b w:val="0"/>
                <w:bCs w:val="0"/>
                <w:color w:val="auto"/>
                <w:sz w:val="24"/>
                <w:highlight w:val="none"/>
                <w:lang w:val="en-US" w:eastAsia="zh-CN"/>
              </w:rPr>
              <w:t>，废物代码</w:t>
            </w:r>
            <w:r>
              <w:rPr>
                <w:rFonts w:hint="default" w:ascii="Times New Roman" w:hAnsi="Times New Roman" w:cs="Times New Roman"/>
                <w:b w:val="0"/>
                <w:bCs w:val="0"/>
                <w:color w:val="auto"/>
                <w:sz w:val="24"/>
                <w:highlight w:val="none"/>
                <w:lang w:val="en-US" w:eastAsia="zh-CN"/>
              </w:rPr>
              <w:t>336</w:t>
            </w:r>
            <w:r>
              <w:rPr>
                <w:rFonts w:hint="default" w:ascii="Times New Roman" w:hAnsi="Times New Roman" w:eastAsia="宋体" w:cs="Times New Roman"/>
                <w:b w:val="0"/>
                <w:bCs w:val="0"/>
                <w:color w:val="auto"/>
                <w:sz w:val="24"/>
                <w:highlight w:val="none"/>
                <w:lang w:val="en-US" w:eastAsia="zh-CN"/>
              </w:rPr>
              <w:t>-</w:t>
            </w:r>
            <w:r>
              <w:rPr>
                <w:rFonts w:hint="default" w:ascii="Times New Roman" w:hAnsi="Times New Roman" w:cs="Times New Roman"/>
                <w:b w:val="0"/>
                <w:bCs w:val="0"/>
                <w:color w:val="auto"/>
                <w:sz w:val="24"/>
                <w:highlight w:val="none"/>
                <w:lang w:val="en-US" w:eastAsia="zh-CN"/>
              </w:rPr>
              <w:t>064</w:t>
            </w:r>
            <w:r>
              <w:rPr>
                <w:rFonts w:hint="default" w:ascii="Times New Roman" w:hAnsi="Times New Roman" w:eastAsia="宋体" w:cs="Times New Roman"/>
                <w:b w:val="0"/>
                <w:bCs w:val="0"/>
                <w:color w:val="auto"/>
                <w:sz w:val="24"/>
                <w:highlight w:val="none"/>
                <w:lang w:val="en-US" w:eastAsia="zh-CN"/>
              </w:rPr>
              <w:t>-</w:t>
            </w:r>
            <w:r>
              <w:rPr>
                <w:rFonts w:hint="default" w:ascii="Times New Roman" w:hAnsi="Times New Roman" w:cs="Times New Roman"/>
                <w:b w:val="0"/>
                <w:bCs w:val="0"/>
                <w:color w:val="auto"/>
                <w:sz w:val="24"/>
                <w:highlight w:val="none"/>
                <w:lang w:val="en-US" w:eastAsia="zh-CN"/>
              </w:rPr>
              <w:t>17金属或者塑料表面酸（碱）洗、除油、除锈（不包括喷砂除锈）、洗涤、磷化</w:t>
            </w:r>
            <w:r>
              <w:rPr>
                <w:rFonts w:hint="eastAsia" w:cs="Times New Roman"/>
                <w:b w:val="0"/>
                <w:bCs w:val="0"/>
                <w:color w:val="auto"/>
                <w:sz w:val="24"/>
                <w:highlight w:val="none"/>
                <w:lang w:val="en-US" w:eastAsia="zh-CN"/>
              </w:rPr>
              <w:t>、出光、化抛工艺产生的废腐蚀液、废洗涤液、废槽液、槽渣和废水处理污泥（不包括：铝、镁材（板）表面酸（碱）洗、粗化、硫酸阳极处理、磷酸化学抛光废水处理污泥，铝电解电容器用铝电极箔化学腐蚀、非硼酸系化成液化成废水处理污泥，铝材挤压加工模具碱洗（煲模）废水处理污泥，碳钢酸洗除锈废水处理污泥）。</w:t>
            </w:r>
            <w:r>
              <w:rPr>
                <w:rFonts w:hint="eastAsia" w:ascii="Times New Roman" w:hAnsi="Times New Roman" w:cs="Times New Roman"/>
                <w:color w:val="auto"/>
                <w:sz w:val="24"/>
                <w:szCs w:val="24"/>
                <w:lang w:val="en-US" w:eastAsia="zh-CN"/>
              </w:rPr>
              <w:t>脱脂清洗废液</w:t>
            </w:r>
            <w:r>
              <w:rPr>
                <w:rFonts w:hint="default" w:ascii="Times New Roman" w:hAnsi="Times New Roman" w:cs="Times New Roman"/>
                <w:color w:val="auto"/>
                <w:sz w:val="24"/>
                <w:szCs w:val="24"/>
                <w:lang w:val="en-US" w:eastAsia="zh-CN"/>
              </w:rPr>
              <w:t>集中收集后暂存，定期</w:t>
            </w:r>
            <w:r>
              <w:rPr>
                <w:rFonts w:hint="eastAsia" w:ascii="Times New Roman" w:hAnsi="Times New Roman" w:cs="Times New Roman"/>
                <w:color w:val="auto"/>
                <w:sz w:val="24"/>
                <w:szCs w:val="24"/>
                <w:lang w:eastAsia="zh-CN"/>
              </w:rPr>
              <w:t>委托相关单位清运处置</w:t>
            </w:r>
            <w:r>
              <w:rPr>
                <w:rFonts w:hint="default" w:ascii="Times New Roman" w:hAnsi="Times New Roman" w:cs="Times New Roman"/>
                <w:color w:val="auto"/>
                <w:sz w:val="24"/>
                <w:szCs w:val="24"/>
              </w:rPr>
              <w:t>。</w:t>
            </w:r>
          </w:p>
          <w:p w14:paraId="4D3EE33E">
            <w:pPr>
              <w:pStyle w:val="44"/>
              <w:spacing w:line="360" w:lineRule="auto"/>
              <w:ind w:firstLine="480" w:firstLineChars="200"/>
              <w:jc w:val="both"/>
              <w:rPr>
                <w:color w:val="auto"/>
              </w:rPr>
            </w:pPr>
            <w:r>
              <w:rPr>
                <w:rFonts w:hint="eastAsia"/>
                <w:color w:val="auto"/>
                <w:lang w:eastAsia="zh-CN"/>
              </w:rPr>
              <w:t>项目</w:t>
            </w:r>
            <w:r>
              <w:rPr>
                <w:rFonts w:hint="eastAsia"/>
                <w:color w:val="auto"/>
              </w:rPr>
              <w:t>固体污染物产生排放情况具体如下：</w:t>
            </w:r>
          </w:p>
          <w:p w14:paraId="01A03802">
            <w:pPr>
              <w:keepNext/>
              <w:keepLines/>
              <w:jc w:val="center"/>
              <w:outlineLvl w:val="1"/>
              <w:rPr>
                <w:b/>
                <w:color w:val="auto"/>
                <w:szCs w:val="21"/>
              </w:rPr>
            </w:pPr>
            <w:r>
              <w:rPr>
                <w:b/>
                <w:color w:val="auto"/>
                <w:szCs w:val="21"/>
              </w:rPr>
              <w:t>表4</w:t>
            </w:r>
            <w:r>
              <w:rPr>
                <w:rFonts w:hint="eastAsia"/>
                <w:b/>
                <w:color w:val="auto"/>
                <w:szCs w:val="21"/>
              </w:rPr>
              <w:t>.</w:t>
            </w:r>
            <w:r>
              <w:rPr>
                <w:rFonts w:hint="eastAsia"/>
                <w:b/>
                <w:color w:val="auto"/>
                <w:szCs w:val="21"/>
                <w:lang w:val="en-US" w:eastAsia="zh-CN"/>
              </w:rPr>
              <w:t>2-9</w:t>
            </w:r>
            <w:r>
              <w:rPr>
                <w:rFonts w:hint="eastAsia"/>
                <w:b/>
                <w:color w:val="auto"/>
                <w:szCs w:val="21"/>
              </w:rPr>
              <w:t>固废</w:t>
            </w:r>
            <w:r>
              <w:rPr>
                <w:b/>
                <w:color w:val="auto"/>
                <w:szCs w:val="21"/>
              </w:rPr>
              <w:t>治理情况一览表</w:t>
            </w:r>
          </w:p>
          <w:tbl>
            <w:tblPr>
              <w:tblStyle w:val="32"/>
              <w:tblW w:w="8098" w:type="dxa"/>
              <w:tblInd w:w="5"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29"/>
              <w:gridCol w:w="994"/>
              <w:gridCol w:w="1164"/>
              <w:gridCol w:w="1149"/>
              <w:gridCol w:w="1045"/>
              <w:gridCol w:w="1210"/>
              <w:gridCol w:w="896"/>
              <w:gridCol w:w="1111"/>
            </w:tblGrid>
            <w:tr w14:paraId="4238542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29" w:type="dxa"/>
                  <w:tcMar>
                    <w:top w:w="0" w:type="dxa"/>
                    <w:left w:w="51" w:type="dxa"/>
                    <w:bottom w:w="0" w:type="dxa"/>
                    <w:right w:w="51" w:type="dxa"/>
                  </w:tcMar>
                  <w:vAlign w:val="center"/>
                </w:tcPr>
                <w:p w14:paraId="70CB10F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序号</w:t>
                  </w:r>
                </w:p>
              </w:tc>
              <w:tc>
                <w:tcPr>
                  <w:tcW w:w="994" w:type="dxa"/>
                  <w:tcMar>
                    <w:top w:w="0" w:type="dxa"/>
                    <w:left w:w="51" w:type="dxa"/>
                    <w:bottom w:w="0" w:type="dxa"/>
                    <w:right w:w="51" w:type="dxa"/>
                  </w:tcMar>
                  <w:vAlign w:val="center"/>
                </w:tcPr>
                <w:p w14:paraId="448E00C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产生环节</w:t>
                  </w:r>
                </w:p>
              </w:tc>
              <w:tc>
                <w:tcPr>
                  <w:tcW w:w="1164" w:type="dxa"/>
                  <w:tcMar>
                    <w:top w:w="0" w:type="dxa"/>
                    <w:left w:w="51" w:type="dxa"/>
                    <w:bottom w:w="0" w:type="dxa"/>
                    <w:right w:w="51" w:type="dxa"/>
                  </w:tcMar>
                  <w:vAlign w:val="center"/>
                </w:tcPr>
                <w:p w14:paraId="6652EF2E">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固废名称</w:t>
                  </w:r>
                </w:p>
              </w:tc>
              <w:tc>
                <w:tcPr>
                  <w:tcW w:w="1149" w:type="dxa"/>
                  <w:tcMar>
                    <w:top w:w="0" w:type="dxa"/>
                    <w:left w:w="51" w:type="dxa"/>
                    <w:bottom w:w="0" w:type="dxa"/>
                    <w:right w:w="51" w:type="dxa"/>
                  </w:tcMar>
                  <w:vAlign w:val="center"/>
                </w:tcPr>
                <w:p w14:paraId="6560FB5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属性</w:t>
                  </w:r>
                </w:p>
              </w:tc>
              <w:tc>
                <w:tcPr>
                  <w:tcW w:w="1045" w:type="dxa"/>
                  <w:tcMar>
                    <w:top w:w="0" w:type="dxa"/>
                    <w:left w:w="51" w:type="dxa"/>
                    <w:bottom w:w="0" w:type="dxa"/>
                    <w:right w:w="51" w:type="dxa"/>
                  </w:tcMar>
                  <w:vAlign w:val="center"/>
                </w:tcPr>
                <w:p w14:paraId="4DED336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废物类别</w:t>
                  </w:r>
                </w:p>
              </w:tc>
              <w:tc>
                <w:tcPr>
                  <w:tcW w:w="1210" w:type="dxa"/>
                  <w:tcMar>
                    <w:top w:w="0" w:type="dxa"/>
                    <w:left w:w="51" w:type="dxa"/>
                    <w:bottom w:w="0" w:type="dxa"/>
                    <w:right w:w="51" w:type="dxa"/>
                  </w:tcMar>
                  <w:vAlign w:val="center"/>
                </w:tcPr>
                <w:p w14:paraId="55B56F7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废物代码</w:t>
                  </w:r>
                </w:p>
              </w:tc>
              <w:tc>
                <w:tcPr>
                  <w:tcW w:w="896" w:type="dxa"/>
                  <w:tcMar>
                    <w:top w:w="0" w:type="dxa"/>
                    <w:left w:w="51" w:type="dxa"/>
                    <w:bottom w:w="0" w:type="dxa"/>
                    <w:right w:w="51" w:type="dxa"/>
                  </w:tcMar>
                  <w:vAlign w:val="center"/>
                </w:tcPr>
                <w:p w14:paraId="2605F9AE">
                  <w:pPr>
                    <w:jc w:val="center"/>
                    <w:rPr>
                      <w:rFonts w:hint="eastAsia"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rPr>
                    <w:t>产生量</w:t>
                  </w:r>
                  <w:r>
                    <w:rPr>
                      <w:rFonts w:hint="eastAsia" w:cs="Times New Roman"/>
                      <w:color w:val="auto"/>
                      <w:sz w:val="21"/>
                      <w:szCs w:val="21"/>
                      <w:lang w:eastAsia="zh-CN"/>
                    </w:rPr>
                    <w:t>（</w:t>
                  </w:r>
                  <w:r>
                    <w:rPr>
                      <w:rFonts w:hint="eastAsia" w:cs="Times New Roman"/>
                      <w:color w:val="auto"/>
                      <w:sz w:val="21"/>
                      <w:szCs w:val="21"/>
                      <w:lang w:val="en-US" w:eastAsia="zh-CN"/>
                    </w:rPr>
                    <w:t>t/a</w:t>
                  </w:r>
                  <w:r>
                    <w:rPr>
                      <w:rFonts w:hint="eastAsia" w:cs="Times New Roman"/>
                      <w:color w:val="auto"/>
                      <w:sz w:val="21"/>
                      <w:szCs w:val="21"/>
                      <w:lang w:eastAsia="zh-CN"/>
                    </w:rPr>
                    <w:t>）</w:t>
                  </w:r>
                </w:p>
              </w:tc>
              <w:tc>
                <w:tcPr>
                  <w:tcW w:w="1111" w:type="dxa"/>
                  <w:tcMar>
                    <w:top w:w="0" w:type="dxa"/>
                    <w:left w:w="51" w:type="dxa"/>
                    <w:bottom w:w="0" w:type="dxa"/>
                    <w:right w:w="51" w:type="dxa"/>
                  </w:tcMar>
                  <w:vAlign w:val="center"/>
                </w:tcPr>
                <w:p w14:paraId="3FA5FECE">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处置方式</w:t>
                  </w:r>
                </w:p>
              </w:tc>
            </w:tr>
            <w:tr w14:paraId="0AB278D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29" w:type="dxa"/>
                  <w:tcMar>
                    <w:top w:w="0" w:type="dxa"/>
                    <w:left w:w="51" w:type="dxa"/>
                    <w:bottom w:w="0" w:type="dxa"/>
                    <w:right w:w="51" w:type="dxa"/>
                  </w:tcMar>
                  <w:vAlign w:val="center"/>
                </w:tcPr>
                <w:p w14:paraId="462F23F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994" w:type="dxa"/>
                  <w:tcMar>
                    <w:top w:w="0" w:type="dxa"/>
                    <w:left w:w="51" w:type="dxa"/>
                    <w:bottom w:w="0" w:type="dxa"/>
                    <w:right w:w="51" w:type="dxa"/>
                  </w:tcMar>
                  <w:vAlign w:val="center"/>
                </w:tcPr>
                <w:p w14:paraId="4E344A9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职工生活</w:t>
                  </w:r>
                </w:p>
              </w:tc>
              <w:tc>
                <w:tcPr>
                  <w:tcW w:w="1164" w:type="dxa"/>
                  <w:tcMar>
                    <w:top w:w="0" w:type="dxa"/>
                    <w:left w:w="51" w:type="dxa"/>
                    <w:bottom w:w="0" w:type="dxa"/>
                    <w:right w:w="51" w:type="dxa"/>
                  </w:tcMar>
                  <w:vAlign w:val="center"/>
                </w:tcPr>
                <w:p w14:paraId="37F4CE1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生活垃圾</w:t>
                  </w:r>
                </w:p>
              </w:tc>
              <w:tc>
                <w:tcPr>
                  <w:tcW w:w="1149" w:type="dxa"/>
                  <w:tcMar>
                    <w:top w:w="0" w:type="dxa"/>
                    <w:left w:w="51" w:type="dxa"/>
                    <w:bottom w:w="0" w:type="dxa"/>
                    <w:right w:w="51" w:type="dxa"/>
                  </w:tcMar>
                  <w:vAlign w:val="center"/>
                </w:tcPr>
                <w:p w14:paraId="0B753CD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生活垃圾</w:t>
                  </w:r>
                </w:p>
              </w:tc>
              <w:tc>
                <w:tcPr>
                  <w:tcW w:w="1045" w:type="dxa"/>
                  <w:tcMar>
                    <w:top w:w="0" w:type="dxa"/>
                    <w:left w:w="51" w:type="dxa"/>
                    <w:bottom w:w="0" w:type="dxa"/>
                    <w:right w:w="51" w:type="dxa"/>
                  </w:tcMar>
                  <w:vAlign w:val="center"/>
                </w:tcPr>
                <w:p w14:paraId="2F08790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1210" w:type="dxa"/>
                  <w:tcMar>
                    <w:top w:w="0" w:type="dxa"/>
                    <w:left w:w="51" w:type="dxa"/>
                    <w:bottom w:w="0" w:type="dxa"/>
                    <w:right w:w="51" w:type="dxa"/>
                  </w:tcMar>
                  <w:vAlign w:val="center"/>
                </w:tcPr>
                <w:p w14:paraId="03787AE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896" w:type="dxa"/>
                  <w:tcMar>
                    <w:top w:w="0" w:type="dxa"/>
                    <w:left w:w="51" w:type="dxa"/>
                    <w:bottom w:w="0" w:type="dxa"/>
                    <w:right w:w="51" w:type="dxa"/>
                  </w:tcMar>
                  <w:vAlign w:val="center"/>
                </w:tcPr>
                <w:p w14:paraId="151008FB">
                  <w:pPr>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4</w:t>
                  </w:r>
                  <w:r>
                    <w:rPr>
                      <w:rFonts w:hint="default" w:ascii="Times New Roman" w:hAnsi="Times New Roman" w:cs="Times New Roman"/>
                      <w:color w:val="auto"/>
                      <w:sz w:val="21"/>
                      <w:szCs w:val="21"/>
                      <w:lang w:val="en-US" w:eastAsia="zh-CN"/>
                    </w:rPr>
                    <w:t>5</w:t>
                  </w:r>
                </w:p>
              </w:tc>
              <w:tc>
                <w:tcPr>
                  <w:tcW w:w="1111" w:type="dxa"/>
                  <w:tcMar>
                    <w:top w:w="0" w:type="dxa"/>
                    <w:left w:w="51" w:type="dxa"/>
                    <w:bottom w:w="0" w:type="dxa"/>
                    <w:right w:w="51" w:type="dxa"/>
                  </w:tcMar>
                  <w:vAlign w:val="center"/>
                </w:tcPr>
                <w:p w14:paraId="16CFE3A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由环卫部</w:t>
                  </w:r>
                </w:p>
                <w:p w14:paraId="1703446E">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门定期清运处理</w:t>
                  </w:r>
                </w:p>
              </w:tc>
            </w:tr>
            <w:tr w14:paraId="4DE14B9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29" w:type="dxa"/>
                  <w:tcMar>
                    <w:top w:w="0" w:type="dxa"/>
                    <w:left w:w="51" w:type="dxa"/>
                    <w:bottom w:w="0" w:type="dxa"/>
                    <w:right w:w="51" w:type="dxa"/>
                  </w:tcMar>
                  <w:vAlign w:val="center"/>
                </w:tcPr>
                <w:p w14:paraId="4D1E7C7E">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994" w:type="dxa"/>
                  <w:tcMar>
                    <w:top w:w="0" w:type="dxa"/>
                    <w:left w:w="51" w:type="dxa"/>
                    <w:bottom w:w="0" w:type="dxa"/>
                    <w:right w:w="51" w:type="dxa"/>
                  </w:tcMar>
                  <w:vAlign w:val="center"/>
                </w:tcPr>
                <w:p w14:paraId="5A31FB77">
                  <w:pPr>
                    <w:jc w:val="center"/>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lang w:eastAsia="zh-CN"/>
                    </w:rPr>
                    <w:t>包装</w:t>
                  </w:r>
                </w:p>
              </w:tc>
              <w:tc>
                <w:tcPr>
                  <w:tcW w:w="1164" w:type="dxa"/>
                  <w:tcMar>
                    <w:top w:w="0" w:type="dxa"/>
                    <w:left w:w="51" w:type="dxa"/>
                    <w:bottom w:w="0" w:type="dxa"/>
                    <w:right w:w="51" w:type="dxa"/>
                  </w:tcMar>
                  <w:vAlign w:val="center"/>
                </w:tcPr>
                <w:p w14:paraId="39C871DB">
                  <w:pPr>
                    <w:jc w:val="center"/>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lang w:eastAsia="zh-CN"/>
                    </w:rPr>
                    <w:t>废包装材料</w:t>
                  </w:r>
                </w:p>
              </w:tc>
              <w:tc>
                <w:tcPr>
                  <w:tcW w:w="1149" w:type="dxa"/>
                  <w:tcMar>
                    <w:top w:w="0" w:type="dxa"/>
                    <w:left w:w="51" w:type="dxa"/>
                    <w:bottom w:w="0" w:type="dxa"/>
                    <w:right w:w="51" w:type="dxa"/>
                  </w:tcMar>
                  <w:vAlign w:val="center"/>
                </w:tcPr>
                <w:p w14:paraId="52A8E48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一般固废</w:t>
                  </w:r>
                </w:p>
              </w:tc>
              <w:tc>
                <w:tcPr>
                  <w:tcW w:w="1045" w:type="dxa"/>
                  <w:tcMar>
                    <w:top w:w="0" w:type="dxa"/>
                    <w:left w:w="51" w:type="dxa"/>
                    <w:bottom w:w="0" w:type="dxa"/>
                    <w:right w:w="51" w:type="dxa"/>
                  </w:tcMar>
                  <w:vAlign w:val="center"/>
                </w:tcPr>
                <w:p w14:paraId="288850E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1210" w:type="dxa"/>
                  <w:tcMar>
                    <w:top w:w="0" w:type="dxa"/>
                    <w:left w:w="51" w:type="dxa"/>
                    <w:bottom w:w="0" w:type="dxa"/>
                    <w:right w:w="51" w:type="dxa"/>
                  </w:tcMar>
                  <w:vAlign w:val="center"/>
                </w:tcPr>
                <w:p w14:paraId="5F369FA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896" w:type="dxa"/>
                  <w:tcMar>
                    <w:top w:w="0" w:type="dxa"/>
                    <w:left w:w="51" w:type="dxa"/>
                    <w:bottom w:w="0" w:type="dxa"/>
                    <w:right w:w="51" w:type="dxa"/>
                  </w:tcMar>
                  <w:vAlign w:val="center"/>
                </w:tcPr>
                <w:p w14:paraId="3BC1032A">
                  <w:pPr>
                    <w:jc w:val="center"/>
                    <w:rPr>
                      <w:rFonts w:hint="default" w:ascii="Times New Roman" w:hAnsi="Times New Roman" w:cs="Times New Roman"/>
                      <w:color w:val="auto"/>
                      <w:sz w:val="21"/>
                      <w:szCs w:val="21"/>
                      <w:lang w:val="en-US"/>
                    </w:rPr>
                  </w:pPr>
                  <w:r>
                    <w:rPr>
                      <w:rFonts w:hint="eastAsia" w:cs="Times New Roman"/>
                      <w:color w:val="auto"/>
                      <w:sz w:val="21"/>
                      <w:szCs w:val="21"/>
                      <w:lang w:val="en-US" w:eastAsia="zh-CN"/>
                    </w:rPr>
                    <w:t>2</w:t>
                  </w:r>
                </w:p>
              </w:tc>
              <w:tc>
                <w:tcPr>
                  <w:tcW w:w="1111" w:type="dxa"/>
                  <w:vMerge w:val="restart"/>
                  <w:tcMar>
                    <w:top w:w="0" w:type="dxa"/>
                    <w:left w:w="51" w:type="dxa"/>
                    <w:bottom w:w="0" w:type="dxa"/>
                    <w:right w:w="51" w:type="dxa"/>
                  </w:tcMar>
                  <w:vAlign w:val="center"/>
                </w:tcPr>
                <w:p w14:paraId="0F9D6168">
                  <w:pPr>
                    <w:jc w:val="center"/>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lang w:eastAsia="zh-CN"/>
                    </w:rPr>
                    <w:t>外售</w:t>
                  </w:r>
                  <w:r>
                    <w:rPr>
                      <w:rFonts w:hint="eastAsia" w:cs="Times New Roman"/>
                      <w:color w:val="auto"/>
                      <w:sz w:val="21"/>
                      <w:szCs w:val="21"/>
                      <w:lang w:eastAsia="zh-CN"/>
                    </w:rPr>
                    <w:t>物资</w:t>
                  </w:r>
                  <w:r>
                    <w:rPr>
                      <w:rFonts w:hint="default" w:ascii="Times New Roman" w:hAnsi="Times New Roman" w:cs="Times New Roman"/>
                      <w:color w:val="auto"/>
                      <w:sz w:val="21"/>
                      <w:szCs w:val="21"/>
                      <w:lang w:eastAsia="zh-CN"/>
                    </w:rPr>
                    <w:t>回收单位</w:t>
                  </w:r>
                </w:p>
              </w:tc>
            </w:tr>
            <w:tr w14:paraId="2CB438E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29" w:type="dxa"/>
                  <w:tcMar>
                    <w:top w:w="0" w:type="dxa"/>
                    <w:left w:w="51" w:type="dxa"/>
                    <w:bottom w:w="0" w:type="dxa"/>
                    <w:right w:w="51" w:type="dxa"/>
                  </w:tcMar>
                  <w:vAlign w:val="center"/>
                </w:tcPr>
                <w:p w14:paraId="43EC24EE">
                  <w:pPr>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3</w:t>
                  </w:r>
                </w:p>
              </w:tc>
              <w:tc>
                <w:tcPr>
                  <w:tcW w:w="994" w:type="dxa"/>
                  <w:tcMar>
                    <w:top w:w="0" w:type="dxa"/>
                    <w:left w:w="51" w:type="dxa"/>
                    <w:bottom w:w="0" w:type="dxa"/>
                    <w:right w:w="51" w:type="dxa"/>
                  </w:tcMar>
                  <w:vAlign w:val="center"/>
                </w:tcPr>
                <w:p w14:paraId="0989CED1">
                  <w:pPr>
                    <w:jc w:val="center"/>
                    <w:rPr>
                      <w:rFonts w:hint="default" w:ascii="Times New Roman" w:hAnsi="Times New Roman" w:cs="Times New Roman"/>
                      <w:color w:val="auto"/>
                      <w:sz w:val="21"/>
                      <w:szCs w:val="21"/>
                      <w:lang w:eastAsia="zh-CN"/>
                    </w:rPr>
                  </w:pPr>
                  <w:r>
                    <w:rPr>
                      <w:rFonts w:hint="eastAsia" w:cs="Times New Roman"/>
                      <w:color w:val="auto"/>
                      <w:sz w:val="21"/>
                      <w:szCs w:val="21"/>
                      <w:lang w:eastAsia="zh-CN"/>
                    </w:rPr>
                    <w:t>激光切割</w:t>
                  </w:r>
                </w:p>
              </w:tc>
              <w:tc>
                <w:tcPr>
                  <w:tcW w:w="1164" w:type="dxa"/>
                  <w:tcMar>
                    <w:top w:w="0" w:type="dxa"/>
                    <w:left w:w="51" w:type="dxa"/>
                    <w:bottom w:w="0" w:type="dxa"/>
                    <w:right w:w="51" w:type="dxa"/>
                  </w:tcMar>
                  <w:vAlign w:val="center"/>
                </w:tcPr>
                <w:p w14:paraId="43E708A7">
                  <w:pPr>
                    <w:jc w:val="center"/>
                    <w:rPr>
                      <w:rFonts w:hint="default" w:ascii="Times New Roman" w:hAnsi="Times New Roman" w:cs="Times New Roman"/>
                      <w:color w:val="auto"/>
                      <w:sz w:val="21"/>
                      <w:szCs w:val="21"/>
                      <w:lang w:eastAsia="zh-CN"/>
                    </w:rPr>
                  </w:pPr>
                  <w:r>
                    <w:rPr>
                      <w:rFonts w:hint="eastAsia" w:cs="Times New Roman"/>
                      <w:color w:val="auto"/>
                      <w:sz w:val="21"/>
                      <w:szCs w:val="21"/>
                      <w:lang w:eastAsia="zh-CN"/>
                    </w:rPr>
                    <w:t>废边角料</w:t>
                  </w:r>
                </w:p>
              </w:tc>
              <w:tc>
                <w:tcPr>
                  <w:tcW w:w="1149" w:type="dxa"/>
                  <w:tcMar>
                    <w:top w:w="0" w:type="dxa"/>
                    <w:left w:w="51" w:type="dxa"/>
                    <w:bottom w:w="0" w:type="dxa"/>
                    <w:right w:w="51" w:type="dxa"/>
                  </w:tcMar>
                  <w:vAlign w:val="center"/>
                </w:tcPr>
                <w:p w14:paraId="6CE2D65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一般固废</w:t>
                  </w:r>
                </w:p>
              </w:tc>
              <w:tc>
                <w:tcPr>
                  <w:tcW w:w="1045" w:type="dxa"/>
                  <w:tcMar>
                    <w:top w:w="0" w:type="dxa"/>
                    <w:left w:w="51" w:type="dxa"/>
                    <w:bottom w:w="0" w:type="dxa"/>
                    <w:right w:w="51" w:type="dxa"/>
                  </w:tcMar>
                  <w:vAlign w:val="center"/>
                </w:tcPr>
                <w:p w14:paraId="250D92C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1210" w:type="dxa"/>
                  <w:tcMar>
                    <w:top w:w="0" w:type="dxa"/>
                    <w:left w:w="51" w:type="dxa"/>
                    <w:bottom w:w="0" w:type="dxa"/>
                    <w:right w:w="51" w:type="dxa"/>
                  </w:tcMar>
                  <w:vAlign w:val="center"/>
                </w:tcPr>
                <w:p w14:paraId="58F299C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896" w:type="dxa"/>
                  <w:tcMar>
                    <w:top w:w="0" w:type="dxa"/>
                    <w:left w:w="51" w:type="dxa"/>
                    <w:bottom w:w="0" w:type="dxa"/>
                    <w:right w:w="51" w:type="dxa"/>
                  </w:tcMar>
                  <w:vAlign w:val="center"/>
                </w:tcPr>
                <w:p w14:paraId="3D50708C">
                  <w:pPr>
                    <w:jc w:val="center"/>
                    <w:rPr>
                      <w:rFonts w:hint="default" w:cs="Times New Roman"/>
                      <w:color w:val="auto"/>
                      <w:sz w:val="21"/>
                      <w:szCs w:val="21"/>
                      <w:lang w:val="en-US" w:eastAsia="zh-CN"/>
                    </w:rPr>
                  </w:pPr>
                  <w:r>
                    <w:rPr>
                      <w:rFonts w:hint="eastAsia" w:cs="Times New Roman"/>
                      <w:color w:val="auto"/>
                      <w:sz w:val="21"/>
                      <w:szCs w:val="21"/>
                      <w:lang w:val="en-US" w:eastAsia="zh-CN"/>
                    </w:rPr>
                    <w:t>37</w:t>
                  </w:r>
                </w:p>
              </w:tc>
              <w:tc>
                <w:tcPr>
                  <w:tcW w:w="1111" w:type="dxa"/>
                  <w:vMerge w:val="continue"/>
                  <w:tcMar>
                    <w:top w:w="0" w:type="dxa"/>
                    <w:left w:w="51" w:type="dxa"/>
                    <w:bottom w:w="0" w:type="dxa"/>
                    <w:right w:w="51" w:type="dxa"/>
                  </w:tcMar>
                  <w:vAlign w:val="center"/>
                </w:tcPr>
                <w:p w14:paraId="712B4B7A">
                  <w:pPr>
                    <w:jc w:val="center"/>
                    <w:rPr>
                      <w:rFonts w:hint="default" w:ascii="Times New Roman" w:hAnsi="Times New Roman" w:cs="Times New Roman"/>
                      <w:color w:val="auto"/>
                      <w:sz w:val="21"/>
                      <w:szCs w:val="21"/>
                      <w:lang w:eastAsia="zh-CN"/>
                    </w:rPr>
                  </w:pPr>
                </w:p>
              </w:tc>
            </w:tr>
            <w:tr w14:paraId="2051293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29" w:type="dxa"/>
                  <w:shd w:val="clear" w:color="auto" w:fill="auto"/>
                  <w:tcMar>
                    <w:top w:w="0" w:type="dxa"/>
                    <w:left w:w="51" w:type="dxa"/>
                    <w:bottom w:w="0" w:type="dxa"/>
                    <w:right w:w="51" w:type="dxa"/>
                  </w:tcMar>
                  <w:vAlign w:val="center"/>
                </w:tcPr>
                <w:p w14:paraId="0E504D74">
                  <w:pPr>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4</w:t>
                  </w:r>
                </w:p>
              </w:tc>
              <w:tc>
                <w:tcPr>
                  <w:tcW w:w="994" w:type="dxa"/>
                  <w:shd w:val="clear" w:color="auto" w:fill="auto"/>
                  <w:tcMar>
                    <w:top w:w="0" w:type="dxa"/>
                    <w:left w:w="51" w:type="dxa"/>
                    <w:bottom w:w="0" w:type="dxa"/>
                    <w:right w:w="51" w:type="dxa"/>
                  </w:tcMar>
                  <w:vAlign w:val="center"/>
                </w:tcPr>
                <w:p w14:paraId="50886A2E">
                  <w:pPr>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eastAsia="zh-CN"/>
                    </w:rPr>
                    <w:t>喷砂</w:t>
                  </w:r>
                </w:p>
              </w:tc>
              <w:tc>
                <w:tcPr>
                  <w:tcW w:w="1164" w:type="dxa"/>
                  <w:shd w:val="clear" w:color="auto" w:fill="auto"/>
                  <w:tcMar>
                    <w:top w:w="0" w:type="dxa"/>
                    <w:left w:w="51" w:type="dxa"/>
                    <w:bottom w:w="0" w:type="dxa"/>
                    <w:right w:w="51" w:type="dxa"/>
                  </w:tcMar>
                  <w:vAlign w:val="center"/>
                </w:tcPr>
                <w:p w14:paraId="5ADA935C">
                  <w:pPr>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eastAsia="zh-CN"/>
                    </w:rPr>
                    <w:t>废钢砂</w:t>
                  </w:r>
                </w:p>
              </w:tc>
              <w:tc>
                <w:tcPr>
                  <w:tcW w:w="1149" w:type="dxa"/>
                  <w:shd w:val="clear" w:color="auto" w:fill="auto"/>
                  <w:tcMar>
                    <w:top w:w="0" w:type="dxa"/>
                    <w:left w:w="51" w:type="dxa"/>
                    <w:bottom w:w="0" w:type="dxa"/>
                    <w:right w:w="51" w:type="dxa"/>
                  </w:tcMar>
                  <w:vAlign w:val="center"/>
                </w:tcPr>
                <w:p w14:paraId="69EA298A">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一般固废</w:t>
                  </w:r>
                </w:p>
              </w:tc>
              <w:tc>
                <w:tcPr>
                  <w:tcW w:w="1045" w:type="dxa"/>
                  <w:shd w:val="clear" w:color="auto" w:fill="auto"/>
                  <w:tcMar>
                    <w:top w:w="0" w:type="dxa"/>
                    <w:left w:w="51" w:type="dxa"/>
                    <w:bottom w:w="0" w:type="dxa"/>
                    <w:right w:w="51" w:type="dxa"/>
                  </w:tcMar>
                  <w:vAlign w:val="center"/>
                </w:tcPr>
                <w:p w14:paraId="49D22401">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w:t>
                  </w:r>
                </w:p>
              </w:tc>
              <w:tc>
                <w:tcPr>
                  <w:tcW w:w="1210" w:type="dxa"/>
                  <w:shd w:val="clear" w:color="auto" w:fill="auto"/>
                  <w:tcMar>
                    <w:top w:w="0" w:type="dxa"/>
                    <w:left w:w="51" w:type="dxa"/>
                    <w:bottom w:w="0" w:type="dxa"/>
                    <w:right w:w="51" w:type="dxa"/>
                  </w:tcMar>
                  <w:vAlign w:val="center"/>
                </w:tcPr>
                <w:p w14:paraId="25700EBC">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w:t>
                  </w:r>
                </w:p>
              </w:tc>
              <w:tc>
                <w:tcPr>
                  <w:tcW w:w="896" w:type="dxa"/>
                  <w:shd w:val="clear" w:color="auto" w:fill="auto"/>
                  <w:tcMar>
                    <w:top w:w="0" w:type="dxa"/>
                    <w:left w:w="51" w:type="dxa"/>
                    <w:bottom w:w="0" w:type="dxa"/>
                    <w:right w:w="51" w:type="dxa"/>
                  </w:tcMar>
                  <w:vAlign w:val="center"/>
                </w:tcPr>
                <w:p w14:paraId="37A7E865">
                  <w:pPr>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1</w:t>
                  </w:r>
                </w:p>
              </w:tc>
              <w:tc>
                <w:tcPr>
                  <w:tcW w:w="1111" w:type="dxa"/>
                  <w:vMerge w:val="continue"/>
                  <w:shd w:val="clear" w:color="auto" w:fill="auto"/>
                  <w:tcMar>
                    <w:top w:w="0" w:type="dxa"/>
                    <w:left w:w="51" w:type="dxa"/>
                    <w:bottom w:w="0" w:type="dxa"/>
                    <w:right w:w="51" w:type="dxa"/>
                  </w:tcMar>
                  <w:vAlign w:val="center"/>
                </w:tcPr>
                <w:p w14:paraId="68BA997F">
                  <w:pPr>
                    <w:jc w:val="center"/>
                    <w:rPr>
                      <w:rFonts w:hint="default" w:ascii="Times New Roman" w:hAnsi="Times New Roman" w:eastAsia="宋体" w:cs="Times New Roman"/>
                      <w:color w:val="auto"/>
                      <w:kern w:val="2"/>
                      <w:sz w:val="21"/>
                      <w:szCs w:val="21"/>
                      <w:lang w:val="en-US" w:eastAsia="zh-CN" w:bidi="ar-SA"/>
                    </w:rPr>
                  </w:pPr>
                </w:p>
              </w:tc>
            </w:tr>
            <w:tr w14:paraId="1B48F73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29" w:type="dxa"/>
                  <w:tcMar>
                    <w:top w:w="0" w:type="dxa"/>
                    <w:left w:w="51" w:type="dxa"/>
                    <w:bottom w:w="0" w:type="dxa"/>
                    <w:right w:w="51" w:type="dxa"/>
                  </w:tcMar>
                  <w:vAlign w:val="center"/>
                </w:tcPr>
                <w:p w14:paraId="573D170A">
                  <w:pPr>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5</w:t>
                  </w:r>
                </w:p>
              </w:tc>
              <w:tc>
                <w:tcPr>
                  <w:tcW w:w="994" w:type="dxa"/>
                  <w:shd w:val="clear" w:color="auto" w:fill="auto"/>
                  <w:tcMar>
                    <w:top w:w="0" w:type="dxa"/>
                    <w:left w:w="51" w:type="dxa"/>
                    <w:bottom w:w="0" w:type="dxa"/>
                    <w:right w:w="51" w:type="dxa"/>
                  </w:tcMar>
                  <w:vAlign w:val="center"/>
                </w:tcPr>
                <w:p w14:paraId="2F5AC147">
                  <w:pPr>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eastAsia="zh-CN"/>
                    </w:rPr>
                    <w:t>废气除尘系统</w:t>
                  </w:r>
                </w:p>
              </w:tc>
              <w:tc>
                <w:tcPr>
                  <w:tcW w:w="1164" w:type="dxa"/>
                  <w:shd w:val="clear" w:color="auto" w:fill="auto"/>
                  <w:tcMar>
                    <w:top w:w="0" w:type="dxa"/>
                    <w:left w:w="51" w:type="dxa"/>
                    <w:bottom w:w="0" w:type="dxa"/>
                    <w:right w:w="51" w:type="dxa"/>
                  </w:tcMar>
                  <w:vAlign w:val="center"/>
                </w:tcPr>
                <w:p w14:paraId="6F060608">
                  <w:pPr>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eastAsia="zh-CN"/>
                    </w:rPr>
                    <w:t>除尘设施收集粉尘</w:t>
                  </w:r>
                </w:p>
              </w:tc>
              <w:tc>
                <w:tcPr>
                  <w:tcW w:w="1149" w:type="dxa"/>
                  <w:shd w:val="clear" w:color="auto" w:fill="auto"/>
                  <w:tcMar>
                    <w:top w:w="0" w:type="dxa"/>
                    <w:left w:w="51" w:type="dxa"/>
                    <w:bottom w:w="0" w:type="dxa"/>
                    <w:right w:w="51" w:type="dxa"/>
                  </w:tcMar>
                  <w:vAlign w:val="center"/>
                </w:tcPr>
                <w:p w14:paraId="3EEF722F">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一般固废</w:t>
                  </w:r>
                </w:p>
              </w:tc>
              <w:tc>
                <w:tcPr>
                  <w:tcW w:w="1045" w:type="dxa"/>
                  <w:shd w:val="clear" w:color="auto" w:fill="auto"/>
                  <w:tcMar>
                    <w:top w:w="0" w:type="dxa"/>
                    <w:left w:w="51" w:type="dxa"/>
                    <w:bottom w:w="0" w:type="dxa"/>
                    <w:right w:w="51" w:type="dxa"/>
                  </w:tcMar>
                  <w:vAlign w:val="center"/>
                </w:tcPr>
                <w:p w14:paraId="2683777B">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w:t>
                  </w:r>
                </w:p>
              </w:tc>
              <w:tc>
                <w:tcPr>
                  <w:tcW w:w="1210" w:type="dxa"/>
                  <w:shd w:val="clear" w:color="auto" w:fill="auto"/>
                  <w:tcMar>
                    <w:top w:w="0" w:type="dxa"/>
                    <w:left w:w="51" w:type="dxa"/>
                    <w:bottom w:w="0" w:type="dxa"/>
                    <w:right w:w="51" w:type="dxa"/>
                  </w:tcMar>
                  <w:vAlign w:val="center"/>
                </w:tcPr>
                <w:p w14:paraId="2297EC5B">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w:t>
                  </w:r>
                </w:p>
              </w:tc>
              <w:tc>
                <w:tcPr>
                  <w:tcW w:w="896" w:type="dxa"/>
                  <w:shd w:val="clear" w:color="auto" w:fill="auto"/>
                  <w:tcMar>
                    <w:top w:w="0" w:type="dxa"/>
                    <w:left w:w="51" w:type="dxa"/>
                    <w:bottom w:w="0" w:type="dxa"/>
                    <w:right w:w="51" w:type="dxa"/>
                  </w:tcMar>
                  <w:vAlign w:val="center"/>
                </w:tcPr>
                <w:p w14:paraId="16E4469D">
                  <w:pPr>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16</w:t>
                  </w:r>
                </w:p>
              </w:tc>
              <w:tc>
                <w:tcPr>
                  <w:tcW w:w="1111" w:type="dxa"/>
                  <w:vMerge w:val="continue"/>
                  <w:shd w:val="clear" w:color="auto" w:fill="auto"/>
                  <w:tcMar>
                    <w:top w:w="0" w:type="dxa"/>
                    <w:left w:w="51" w:type="dxa"/>
                    <w:bottom w:w="0" w:type="dxa"/>
                    <w:right w:w="51" w:type="dxa"/>
                  </w:tcMar>
                  <w:vAlign w:val="center"/>
                </w:tcPr>
                <w:p w14:paraId="4DD4502C">
                  <w:pPr>
                    <w:jc w:val="center"/>
                    <w:rPr>
                      <w:rFonts w:hint="default" w:ascii="Times New Roman" w:hAnsi="Times New Roman" w:eastAsia="宋体" w:cs="Times New Roman"/>
                      <w:color w:val="auto"/>
                      <w:kern w:val="2"/>
                      <w:sz w:val="21"/>
                      <w:szCs w:val="21"/>
                      <w:lang w:val="en-US" w:eastAsia="zh-CN" w:bidi="ar-SA"/>
                    </w:rPr>
                  </w:pPr>
                </w:p>
              </w:tc>
            </w:tr>
            <w:tr w14:paraId="4F523C7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29" w:type="dxa"/>
                  <w:tcMar>
                    <w:top w:w="0" w:type="dxa"/>
                    <w:left w:w="51" w:type="dxa"/>
                    <w:bottom w:w="0" w:type="dxa"/>
                    <w:right w:w="51" w:type="dxa"/>
                  </w:tcMar>
                  <w:vAlign w:val="center"/>
                </w:tcPr>
                <w:p w14:paraId="19A938F7">
                  <w:pPr>
                    <w:jc w:val="center"/>
                    <w:rPr>
                      <w:rFonts w:hint="default" w:cs="Times New Roman"/>
                      <w:color w:val="auto"/>
                      <w:sz w:val="21"/>
                      <w:szCs w:val="21"/>
                      <w:lang w:val="en-US" w:eastAsia="zh-CN"/>
                    </w:rPr>
                  </w:pPr>
                  <w:r>
                    <w:rPr>
                      <w:rFonts w:hint="eastAsia" w:cs="Times New Roman"/>
                      <w:color w:val="auto"/>
                      <w:sz w:val="21"/>
                      <w:szCs w:val="21"/>
                      <w:lang w:val="en-US" w:eastAsia="zh-CN"/>
                    </w:rPr>
                    <w:t>6</w:t>
                  </w:r>
                </w:p>
              </w:tc>
              <w:tc>
                <w:tcPr>
                  <w:tcW w:w="994" w:type="dxa"/>
                  <w:tcMar>
                    <w:top w:w="0" w:type="dxa"/>
                    <w:left w:w="51" w:type="dxa"/>
                    <w:bottom w:w="0" w:type="dxa"/>
                    <w:right w:w="51" w:type="dxa"/>
                  </w:tcMar>
                  <w:vAlign w:val="center"/>
                </w:tcPr>
                <w:p w14:paraId="356F52F4">
                  <w:pPr>
                    <w:jc w:val="center"/>
                    <w:rPr>
                      <w:rFonts w:hint="eastAsia" w:cs="Times New Roman"/>
                      <w:color w:val="auto"/>
                      <w:sz w:val="21"/>
                      <w:szCs w:val="21"/>
                      <w:lang w:eastAsia="zh-CN"/>
                    </w:rPr>
                  </w:pPr>
                  <w:r>
                    <w:rPr>
                      <w:rFonts w:hint="eastAsia" w:cs="Times New Roman"/>
                      <w:color w:val="auto"/>
                      <w:sz w:val="21"/>
                      <w:szCs w:val="21"/>
                      <w:lang w:eastAsia="zh-CN"/>
                    </w:rPr>
                    <w:t>废水处理</w:t>
                  </w:r>
                </w:p>
              </w:tc>
              <w:tc>
                <w:tcPr>
                  <w:tcW w:w="1164" w:type="dxa"/>
                  <w:tcMar>
                    <w:top w:w="0" w:type="dxa"/>
                    <w:left w:w="51" w:type="dxa"/>
                    <w:bottom w:w="0" w:type="dxa"/>
                    <w:right w:w="51" w:type="dxa"/>
                  </w:tcMar>
                  <w:vAlign w:val="center"/>
                </w:tcPr>
                <w:p w14:paraId="6D0B0C9F">
                  <w:pPr>
                    <w:jc w:val="center"/>
                    <w:rPr>
                      <w:rFonts w:hint="eastAsia" w:cs="Times New Roman"/>
                      <w:color w:val="auto"/>
                      <w:sz w:val="21"/>
                      <w:szCs w:val="21"/>
                      <w:lang w:eastAsia="zh-CN"/>
                    </w:rPr>
                  </w:pPr>
                  <w:r>
                    <w:rPr>
                      <w:rFonts w:hint="eastAsia" w:cs="Times New Roman"/>
                      <w:color w:val="auto"/>
                      <w:sz w:val="21"/>
                      <w:szCs w:val="21"/>
                      <w:lang w:eastAsia="zh-CN"/>
                    </w:rPr>
                    <w:t>泥饼</w:t>
                  </w:r>
                </w:p>
              </w:tc>
              <w:tc>
                <w:tcPr>
                  <w:tcW w:w="1149" w:type="dxa"/>
                  <w:tcMar>
                    <w:top w:w="0" w:type="dxa"/>
                    <w:left w:w="51" w:type="dxa"/>
                    <w:bottom w:w="0" w:type="dxa"/>
                    <w:right w:w="51" w:type="dxa"/>
                  </w:tcMar>
                  <w:vAlign w:val="center"/>
                </w:tcPr>
                <w:p w14:paraId="0CCC4A9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CN"/>
                    </w:rPr>
                    <w:t>危险废物</w:t>
                  </w:r>
                </w:p>
              </w:tc>
              <w:tc>
                <w:tcPr>
                  <w:tcW w:w="1045" w:type="dxa"/>
                  <w:tcMar>
                    <w:top w:w="0" w:type="dxa"/>
                    <w:left w:w="51" w:type="dxa"/>
                    <w:bottom w:w="0" w:type="dxa"/>
                    <w:right w:w="51" w:type="dxa"/>
                  </w:tcMar>
                  <w:vAlign w:val="center"/>
                </w:tcPr>
                <w:p w14:paraId="0E1D6F07">
                  <w:pPr>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HW</w:t>
                  </w:r>
                  <w:r>
                    <w:rPr>
                      <w:rFonts w:hint="eastAsia" w:cs="Times New Roman"/>
                      <w:color w:val="auto"/>
                      <w:sz w:val="21"/>
                      <w:szCs w:val="21"/>
                      <w:lang w:val="en-US" w:eastAsia="zh-CN"/>
                    </w:rPr>
                    <w:t>17</w:t>
                  </w:r>
                </w:p>
              </w:tc>
              <w:tc>
                <w:tcPr>
                  <w:tcW w:w="1210" w:type="dxa"/>
                  <w:tcMar>
                    <w:top w:w="0" w:type="dxa"/>
                    <w:left w:w="51" w:type="dxa"/>
                    <w:bottom w:w="0" w:type="dxa"/>
                    <w:right w:w="51" w:type="dxa"/>
                  </w:tcMar>
                  <w:vAlign w:val="center"/>
                </w:tcPr>
                <w:p w14:paraId="5458E367">
                  <w:pPr>
                    <w:jc w:val="center"/>
                    <w:rPr>
                      <w:rFonts w:hint="default" w:ascii="Times New Roman" w:hAnsi="Times New Roman" w:cs="Times New Roman"/>
                      <w:color w:val="auto"/>
                      <w:sz w:val="21"/>
                      <w:szCs w:val="21"/>
                      <w:lang w:val="en-US" w:eastAsia="zh-CN"/>
                    </w:rPr>
                  </w:pPr>
                  <w:r>
                    <w:rPr>
                      <w:rFonts w:hint="eastAsia" w:cs="Times New Roman"/>
                      <w:color w:val="auto"/>
                      <w:kern w:val="2"/>
                      <w:sz w:val="21"/>
                      <w:szCs w:val="21"/>
                      <w:lang w:val="en-US" w:eastAsia="zh-CN" w:bidi="ar-SA"/>
                    </w:rPr>
                    <w:t>336</w:t>
                  </w:r>
                  <w:r>
                    <w:rPr>
                      <w:rFonts w:hint="default" w:ascii="Times New Roman" w:hAnsi="Times New Roman" w:eastAsia="宋体" w:cs="Times New Roman"/>
                      <w:color w:val="auto"/>
                      <w:kern w:val="2"/>
                      <w:sz w:val="21"/>
                      <w:szCs w:val="21"/>
                      <w:lang w:val="en-US" w:eastAsia="zh-CN" w:bidi="ar-SA"/>
                    </w:rPr>
                    <w:t>-0</w:t>
                  </w:r>
                  <w:r>
                    <w:rPr>
                      <w:rFonts w:hint="eastAsia" w:cs="Times New Roman"/>
                      <w:color w:val="auto"/>
                      <w:kern w:val="2"/>
                      <w:sz w:val="21"/>
                      <w:szCs w:val="21"/>
                      <w:lang w:val="en-US" w:eastAsia="zh-CN" w:bidi="ar-SA"/>
                    </w:rPr>
                    <w:t>64</w:t>
                  </w:r>
                  <w:r>
                    <w:rPr>
                      <w:rFonts w:hint="default" w:ascii="Times New Roman" w:hAnsi="Times New Roman" w:eastAsia="宋体" w:cs="Times New Roman"/>
                      <w:color w:val="auto"/>
                      <w:kern w:val="2"/>
                      <w:sz w:val="21"/>
                      <w:szCs w:val="21"/>
                      <w:lang w:val="en-US" w:eastAsia="zh-CN" w:bidi="ar-SA"/>
                    </w:rPr>
                    <w:t>-</w:t>
                  </w:r>
                  <w:r>
                    <w:rPr>
                      <w:rFonts w:hint="eastAsia" w:cs="Times New Roman"/>
                      <w:color w:val="auto"/>
                      <w:kern w:val="2"/>
                      <w:sz w:val="21"/>
                      <w:szCs w:val="21"/>
                      <w:lang w:val="en-US" w:eastAsia="zh-CN" w:bidi="ar-SA"/>
                    </w:rPr>
                    <w:t>17</w:t>
                  </w:r>
                </w:p>
              </w:tc>
              <w:tc>
                <w:tcPr>
                  <w:tcW w:w="896" w:type="dxa"/>
                  <w:tcMar>
                    <w:top w:w="0" w:type="dxa"/>
                    <w:left w:w="51" w:type="dxa"/>
                    <w:bottom w:w="0" w:type="dxa"/>
                    <w:right w:w="51" w:type="dxa"/>
                  </w:tcMar>
                  <w:vAlign w:val="center"/>
                </w:tcPr>
                <w:p w14:paraId="796336B1">
                  <w:pPr>
                    <w:jc w:val="center"/>
                    <w:rPr>
                      <w:rFonts w:hint="default" w:cs="Times New Roman"/>
                      <w:color w:val="auto"/>
                      <w:sz w:val="21"/>
                      <w:szCs w:val="21"/>
                      <w:lang w:val="en-US" w:eastAsia="zh-CN"/>
                    </w:rPr>
                  </w:pPr>
                  <w:r>
                    <w:rPr>
                      <w:rFonts w:hint="eastAsia" w:cs="Times New Roman"/>
                      <w:color w:val="auto"/>
                      <w:sz w:val="21"/>
                      <w:szCs w:val="21"/>
                      <w:lang w:val="en-US" w:eastAsia="zh-CN"/>
                    </w:rPr>
                    <w:t>15</w:t>
                  </w:r>
                </w:p>
              </w:tc>
              <w:tc>
                <w:tcPr>
                  <w:tcW w:w="1111" w:type="dxa"/>
                  <w:vMerge w:val="restart"/>
                  <w:tcMar>
                    <w:top w:w="0" w:type="dxa"/>
                    <w:left w:w="51" w:type="dxa"/>
                    <w:bottom w:w="0" w:type="dxa"/>
                    <w:right w:w="51" w:type="dxa"/>
                  </w:tcMar>
                  <w:vAlign w:val="center"/>
                </w:tcPr>
                <w:p w14:paraId="1643857A">
                  <w:pPr>
                    <w:jc w:val="center"/>
                    <w:rPr>
                      <w:rFonts w:hint="default" w:ascii="Times New Roman" w:hAnsi="Times New Roman" w:cs="Times New Roman"/>
                      <w:color w:val="auto"/>
                      <w:sz w:val="21"/>
                      <w:szCs w:val="21"/>
                      <w:lang w:eastAsia="zh-CN"/>
                    </w:rPr>
                  </w:pPr>
                  <w:r>
                    <w:rPr>
                      <w:rFonts w:hint="default" w:ascii="Times New Roman" w:hAnsi="Times New Roman" w:eastAsia="宋体" w:cs="Times New Roman"/>
                      <w:b w:val="0"/>
                      <w:bCs w:val="0"/>
                      <w:color w:val="auto"/>
                      <w:sz w:val="21"/>
                      <w:szCs w:val="21"/>
                      <w:highlight w:val="none"/>
                      <w:lang w:val="en-US" w:eastAsia="zh-CN"/>
                    </w:rPr>
                    <w:t>暂存于危废暂存间中，定期委托</w:t>
                  </w:r>
                  <w:r>
                    <w:rPr>
                      <w:rFonts w:hint="eastAsia" w:cs="Times New Roman"/>
                      <w:b w:val="0"/>
                      <w:bCs w:val="0"/>
                      <w:color w:val="auto"/>
                      <w:sz w:val="21"/>
                      <w:szCs w:val="21"/>
                      <w:highlight w:val="none"/>
                      <w:lang w:val="en-US" w:eastAsia="zh-CN"/>
                    </w:rPr>
                    <w:t>有资质单位</w:t>
                  </w:r>
                  <w:r>
                    <w:rPr>
                      <w:rFonts w:hint="default" w:ascii="Times New Roman" w:hAnsi="Times New Roman" w:eastAsia="宋体" w:cs="Times New Roman"/>
                      <w:b w:val="0"/>
                      <w:bCs w:val="0"/>
                      <w:color w:val="auto"/>
                      <w:sz w:val="21"/>
                      <w:szCs w:val="21"/>
                      <w:highlight w:val="none"/>
                      <w:lang w:val="en-US" w:eastAsia="zh-CN"/>
                    </w:rPr>
                    <w:t>进行清运处置。</w:t>
                  </w:r>
                </w:p>
              </w:tc>
            </w:tr>
            <w:tr w14:paraId="01A9340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29" w:type="dxa"/>
                  <w:tcMar>
                    <w:top w:w="0" w:type="dxa"/>
                    <w:left w:w="51" w:type="dxa"/>
                    <w:bottom w:w="0" w:type="dxa"/>
                    <w:right w:w="51" w:type="dxa"/>
                  </w:tcMar>
                  <w:vAlign w:val="center"/>
                </w:tcPr>
                <w:p w14:paraId="4C8A8953">
                  <w:pPr>
                    <w:jc w:val="center"/>
                    <w:rPr>
                      <w:rFonts w:hint="default" w:cs="Times New Roman"/>
                      <w:color w:val="auto"/>
                      <w:sz w:val="21"/>
                      <w:szCs w:val="21"/>
                      <w:lang w:val="en-US" w:eastAsia="zh-CN"/>
                    </w:rPr>
                  </w:pPr>
                  <w:r>
                    <w:rPr>
                      <w:rFonts w:hint="eastAsia" w:cs="Times New Roman"/>
                      <w:color w:val="auto"/>
                      <w:sz w:val="21"/>
                      <w:szCs w:val="21"/>
                      <w:lang w:val="en-US" w:eastAsia="zh-CN"/>
                    </w:rPr>
                    <w:t>7</w:t>
                  </w:r>
                </w:p>
              </w:tc>
              <w:tc>
                <w:tcPr>
                  <w:tcW w:w="994" w:type="dxa"/>
                  <w:shd w:val="clear" w:color="auto" w:fill="auto"/>
                  <w:tcMar>
                    <w:top w:w="0" w:type="dxa"/>
                    <w:left w:w="51" w:type="dxa"/>
                    <w:bottom w:w="0" w:type="dxa"/>
                    <w:right w:w="51" w:type="dxa"/>
                  </w:tcMar>
                  <w:vAlign w:val="center"/>
                </w:tcPr>
                <w:p w14:paraId="6E868BF6">
                  <w:pPr>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eastAsia="zh-CN"/>
                    </w:rPr>
                    <w:t>废水处理</w:t>
                  </w:r>
                </w:p>
              </w:tc>
              <w:tc>
                <w:tcPr>
                  <w:tcW w:w="1164" w:type="dxa"/>
                  <w:shd w:val="clear" w:color="auto" w:fill="auto"/>
                  <w:tcMar>
                    <w:top w:w="0" w:type="dxa"/>
                    <w:left w:w="51" w:type="dxa"/>
                    <w:bottom w:w="0" w:type="dxa"/>
                    <w:right w:w="51" w:type="dxa"/>
                  </w:tcMar>
                  <w:vAlign w:val="center"/>
                </w:tcPr>
                <w:p w14:paraId="7529EF48">
                  <w:pPr>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废活性炭</w:t>
                  </w:r>
                </w:p>
              </w:tc>
              <w:tc>
                <w:tcPr>
                  <w:tcW w:w="1149" w:type="dxa"/>
                  <w:tcMar>
                    <w:top w:w="0" w:type="dxa"/>
                    <w:left w:w="51" w:type="dxa"/>
                    <w:bottom w:w="0" w:type="dxa"/>
                    <w:right w:w="51" w:type="dxa"/>
                  </w:tcMar>
                  <w:vAlign w:val="center"/>
                </w:tcPr>
                <w:p w14:paraId="694AF0C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CN"/>
                    </w:rPr>
                    <w:t>危险废物</w:t>
                  </w:r>
                </w:p>
              </w:tc>
              <w:tc>
                <w:tcPr>
                  <w:tcW w:w="1045" w:type="dxa"/>
                  <w:tcMar>
                    <w:top w:w="0" w:type="dxa"/>
                    <w:left w:w="51" w:type="dxa"/>
                    <w:bottom w:w="0" w:type="dxa"/>
                    <w:right w:w="51" w:type="dxa"/>
                  </w:tcMar>
                  <w:vAlign w:val="center"/>
                </w:tcPr>
                <w:p w14:paraId="67FCB534">
                  <w:pPr>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HW</w:t>
                  </w:r>
                  <w:r>
                    <w:rPr>
                      <w:rFonts w:hint="eastAsia" w:cs="Times New Roman"/>
                      <w:color w:val="auto"/>
                      <w:sz w:val="21"/>
                      <w:szCs w:val="21"/>
                      <w:lang w:val="en-US" w:eastAsia="zh-CN"/>
                    </w:rPr>
                    <w:t>49</w:t>
                  </w:r>
                </w:p>
              </w:tc>
              <w:tc>
                <w:tcPr>
                  <w:tcW w:w="1210" w:type="dxa"/>
                  <w:tcMar>
                    <w:top w:w="0" w:type="dxa"/>
                    <w:left w:w="51" w:type="dxa"/>
                    <w:bottom w:w="0" w:type="dxa"/>
                    <w:right w:w="51" w:type="dxa"/>
                  </w:tcMar>
                  <w:vAlign w:val="center"/>
                </w:tcPr>
                <w:p w14:paraId="6CBCC5A9">
                  <w:pPr>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900-041-49</w:t>
                  </w:r>
                </w:p>
              </w:tc>
              <w:tc>
                <w:tcPr>
                  <w:tcW w:w="896" w:type="dxa"/>
                  <w:tcMar>
                    <w:top w:w="0" w:type="dxa"/>
                    <w:left w:w="51" w:type="dxa"/>
                    <w:bottom w:w="0" w:type="dxa"/>
                    <w:right w:w="51" w:type="dxa"/>
                  </w:tcMar>
                  <w:vAlign w:val="center"/>
                </w:tcPr>
                <w:p w14:paraId="6FC699D3">
                  <w:pPr>
                    <w:jc w:val="center"/>
                    <w:rPr>
                      <w:rFonts w:hint="default" w:cs="Times New Roman"/>
                      <w:color w:val="auto"/>
                      <w:sz w:val="21"/>
                      <w:szCs w:val="21"/>
                      <w:lang w:val="en-US" w:eastAsia="zh-CN"/>
                    </w:rPr>
                  </w:pPr>
                  <w:r>
                    <w:rPr>
                      <w:rFonts w:hint="eastAsia" w:cs="Times New Roman"/>
                      <w:color w:val="auto"/>
                      <w:sz w:val="21"/>
                      <w:szCs w:val="21"/>
                      <w:lang w:val="en-US" w:eastAsia="zh-CN"/>
                    </w:rPr>
                    <w:t>4</w:t>
                  </w:r>
                </w:p>
              </w:tc>
              <w:tc>
                <w:tcPr>
                  <w:tcW w:w="1111" w:type="dxa"/>
                  <w:vMerge w:val="continue"/>
                  <w:tcMar>
                    <w:top w:w="0" w:type="dxa"/>
                    <w:left w:w="51" w:type="dxa"/>
                    <w:bottom w:w="0" w:type="dxa"/>
                    <w:right w:w="51" w:type="dxa"/>
                  </w:tcMar>
                  <w:vAlign w:val="center"/>
                </w:tcPr>
                <w:p w14:paraId="47F8E5AF">
                  <w:pPr>
                    <w:jc w:val="center"/>
                    <w:rPr>
                      <w:rFonts w:hint="default" w:ascii="Times New Roman" w:hAnsi="Times New Roman" w:cs="Times New Roman"/>
                      <w:color w:val="auto"/>
                      <w:sz w:val="21"/>
                      <w:szCs w:val="21"/>
                      <w:lang w:eastAsia="zh-CN"/>
                    </w:rPr>
                  </w:pPr>
                </w:p>
              </w:tc>
            </w:tr>
            <w:tr w14:paraId="2A74E59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29" w:type="dxa"/>
                  <w:tcMar>
                    <w:top w:w="0" w:type="dxa"/>
                    <w:left w:w="51" w:type="dxa"/>
                    <w:bottom w:w="0" w:type="dxa"/>
                    <w:right w:w="51" w:type="dxa"/>
                  </w:tcMar>
                  <w:vAlign w:val="center"/>
                </w:tcPr>
                <w:p w14:paraId="5257B356">
                  <w:pPr>
                    <w:jc w:val="center"/>
                    <w:rPr>
                      <w:rFonts w:hint="default" w:cs="Times New Roman"/>
                      <w:color w:val="auto"/>
                      <w:sz w:val="21"/>
                      <w:szCs w:val="21"/>
                      <w:lang w:val="en-US" w:eastAsia="zh-CN"/>
                    </w:rPr>
                  </w:pPr>
                  <w:r>
                    <w:rPr>
                      <w:rFonts w:hint="eastAsia" w:cs="Times New Roman"/>
                      <w:color w:val="auto"/>
                      <w:sz w:val="21"/>
                      <w:szCs w:val="21"/>
                      <w:lang w:val="en-US" w:eastAsia="zh-CN"/>
                    </w:rPr>
                    <w:t>8</w:t>
                  </w:r>
                </w:p>
              </w:tc>
              <w:tc>
                <w:tcPr>
                  <w:tcW w:w="994" w:type="dxa"/>
                  <w:shd w:val="clear" w:color="auto" w:fill="auto"/>
                  <w:tcMar>
                    <w:top w:w="0" w:type="dxa"/>
                    <w:left w:w="51" w:type="dxa"/>
                    <w:bottom w:w="0" w:type="dxa"/>
                    <w:right w:w="51" w:type="dxa"/>
                  </w:tcMar>
                  <w:vAlign w:val="center"/>
                </w:tcPr>
                <w:p w14:paraId="0E1465ED">
                  <w:pPr>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eastAsia="zh-CN"/>
                    </w:rPr>
                    <w:t>废水处理</w:t>
                  </w:r>
                </w:p>
              </w:tc>
              <w:tc>
                <w:tcPr>
                  <w:tcW w:w="1164" w:type="dxa"/>
                  <w:shd w:val="clear" w:color="auto" w:fill="auto"/>
                  <w:tcMar>
                    <w:top w:w="0" w:type="dxa"/>
                    <w:left w:w="51" w:type="dxa"/>
                    <w:bottom w:w="0" w:type="dxa"/>
                    <w:right w:w="51" w:type="dxa"/>
                  </w:tcMar>
                  <w:vAlign w:val="center"/>
                </w:tcPr>
                <w:p w14:paraId="61AD78FD">
                  <w:pPr>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eastAsia="zh-CN"/>
                    </w:rPr>
                    <w:t>脱脂清洗废液</w:t>
                  </w:r>
                </w:p>
              </w:tc>
              <w:tc>
                <w:tcPr>
                  <w:tcW w:w="1149" w:type="dxa"/>
                  <w:tcMar>
                    <w:top w:w="0" w:type="dxa"/>
                    <w:left w:w="51" w:type="dxa"/>
                    <w:bottom w:w="0" w:type="dxa"/>
                    <w:right w:w="51" w:type="dxa"/>
                  </w:tcMar>
                  <w:vAlign w:val="center"/>
                </w:tcPr>
                <w:p w14:paraId="2B6E324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CN"/>
                    </w:rPr>
                    <w:t>危险废物</w:t>
                  </w:r>
                </w:p>
              </w:tc>
              <w:tc>
                <w:tcPr>
                  <w:tcW w:w="1045" w:type="dxa"/>
                  <w:tcMar>
                    <w:top w:w="0" w:type="dxa"/>
                    <w:left w:w="51" w:type="dxa"/>
                    <w:bottom w:w="0" w:type="dxa"/>
                    <w:right w:w="51" w:type="dxa"/>
                  </w:tcMar>
                  <w:vAlign w:val="center"/>
                </w:tcPr>
                <w:p w14:paraId="6669479F">
                  <w:pPr>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HW</w:t>
                  </w:r>
                  <w:r>
                    <w:rPr>
                      <w:rFonts w:hint="eastAsia" w:cs="Times New Roman"/>
                      <w:color w:val="auto"/>
                      <w:sz w:val="21"/>
                      <w:szCs w:val="21"/>
                      <w:lang w:val="en-US" w:eastAsia="zh-CN"/>
                    </w:rPr>
                    <w:t>17</w:t>
                  </w:r>
                </w:p>
              </w:tc>
              <w:tc>
                <w:tcPr>
                  <w:tcW w:w="1210" w:type="dxa"/>
                  <w:tcMar>
                    <w:top w:w="0" w:type="dxa"/>
                    <w:left w:w="51" w:type="dxa"/>
                    <w:bottom w:w="0" w:type="dxa"/>
                    <w:right w:w="51" w:type="dxa"/>
                  </w:tcMar>
                  <w:vAlign w:val="center"/>
                </w:tcPr>
                <w:p w14:paraId="57B7B09A">
                  <w:pPr>
                    <w:jc w:val="center"/>
                    <w:rPr>
                      <w:rFonts w:hint="default" w:ascii="Times New Roman" w:hAnsi="Times New Roman" w:cs="Times New Roman"/>
                      <w:color w:val="auto"/>
                      <w:sz w:val="21"/>
                      <w:szCs w:val="21"/>
                      <w:lang w:val="en-US" w:eastAsia="zh-CN"/>
                    </w:rPr>
                  </w:pPr>
                  <w:r>
                    <w:rPr>
                      <w:rFonts w:hint="eastAsia" w:cs="Times New Roman"/>
                      <w:color w:val="auto"/>
                      <w:kern w:val="2"/>
                      <w:sz w:val="21"/>
                      <w:szCs w:val="21"/>
                      <w:lang w:val="en-US" w:eastAsia="zh-CN" w:bidi="ar-SA"/>
                    </w:rPr>
                    <w:t>336</w:t>
                  </w:r>
                  <w:r>
                    <w:rPr>
                      <w:rFonts w:hint="default" w:ascii="Times New Roman" w:hAnsi="Times New Roman" w:eastAsia="宋体" w:cs="Times New Roman"/>
                      <w:color w:val="auto"/>
                      <w:kern w:val="2"/>
                      <w:sz w:val="21"/>
                      <w:szCs w:val="21"/>
                      <w:lang w:val="en-US" w:eastAsia="zh-CN" w:bidi="ar-SA"/>
                    </w:rPr>
                    <w:t>-0</w:t>
                  </w:r>
                  <w:r>
                    <w:rPr>
                      <w:rFonts w:hint="eastAsia" w:cs="Times New Roman"/>
                      <w:color w:val="auto"/>
                      <w:kern w:val="2"/>
                      <w:sz w:val="21"/>
                      <w:szCs w:val="21"/>
                      <w:lang w:val="en-US" w:eastAsia="zh-CN" w:bidi="ar-SA"/>
                    </w:rPr>
                    <w:t>64</w:t>
                  </w:r>
                  <w:r>
                    <w:rPr>
                      <w:rFonts w:hint="default" w:ascii="Times New Roman" w:hAnsi="Times New Roman" w:eastAsia="宋体" w:cs="Times New Roman"/>
                      <w:color w:val="auto"/>
                      <w:kern w:val="2"/>
                      <w:sz w:val="21"/>
                      <w:szCs w:val="21"/>
                      <w:lang w:val="en-US" w:eastAsia="zh-CN" w:bidi="ar-SA"/>
                    </w:rPr>
                    <w:t>-</w:t>
                  </w:r>
                  <w:r>
                    <w:rPr>
                      <w:rFonts w:hint="eastAsia" w:cs="Times New Roman"/>
                      <w:color w:val="auto"/>
                      <w:kern w:val="2"/>
                      <w:sz w:val="21"/>
                      <w:szCs w:val="21"/>
                      <w:lang w:val="en-US" w:eastAsia="zh-CN" w:bidi="ar-SA"/>
                    </w:rPr>
                    <w:t>17</w:t>
                  </w:r>
                </w:p>
              </w:tc>
              <w:tc>
                <w:tcPr>
                  <w:tcW w:w="896" w:type="dxa"/>
                  <w:tcMar>
                    <w:top w:w="0" w:type="dxa"/>
                    <w:left w:w="51" w:type="dxa"/>
                    <w:bottom w:w="0" w:type="dxa"/>
                    <w:right w:w="51" w:type="dxa"/>
                  </w:tcMar>
                  <w:vAlign w:val="center"/>
                </w:tcPr>
                <w:p w14:paraId="34C0C0E9">
                  <w:pPr>
                    <w:jc w:val="center"/>
                    <w:rPr>
                      <w:rFonts w:hint="default" w:cs="Times New Roman"/>
                      <w:color w:val="auto"/>
                      <w:sz w:val="21"/>
                      <w:szCs w:val="21"/>
                      <w:lang w:val="en-US" w:eastAsia="zh-CN"/>
                    </w:rPr>
                  </w:pPr>
                  <w:r>
                    <w:rPr>
                      <w:rFonts w:hint="eastAsia" w:cs="Times New Roman"/>
                      <w:color w:val="auto"/>
                      <w:sz w:val="21"/>
                      <w:szCs w:val="21"/>
                      <w:lang w:val="en-US" w:eastAsia="zh-CN"/>
                    </w:rPr>
                    <w:t>4.8</w:t>
                  </w:r>
                </w:p>
              </w:tc>
              <w:tc>
                <w:tcPr>
                  <w:tcW w:w="1111" w:type="dxa"/>
                  <w:vMerge w:val="continue"/>
                  <w:tcMar>
                    <w:top w:w="0" w:type="dxa"/>
                    <w:left w:w="51" w:type="dxa"/>
                    <w:bottom w:w="0" w:type="dxa"/>
                    <w:right w:w="51" w:type="dxa"/>
                  </w:tcMar>
                  <w:vAlign w:val="center"/>
                </w:tcPr>
                <w:p w14:paraId="3E358256">
                  <w:pPr>
                    <w:jc w:val="center"/>
                    <w:rPr>
                      <w:rFonts w:hint="default" w:ascii="Times New Roman" w:hAnsi="Times New Roman" w:cs="Times New Roman"/>
                      <w:color w:val="auto"/>
                      <w:sz w:val="21"/>
                      <w:szCs w:val="21"/>
                      <w:lang w:eastAsia="zh-CN"/>
                    </w:rPr>
                  </w:pPr>
                </w:p>
              </w:tc>
            </w:tr>
            <w:tr w14:paraId="794064B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29" w:type="dxa"/>
                  <w:vMerge w:val="restart"/>
                  <w:tcMar>
                    <w:top w:w="0" w:type="dxa"/>
                    <w:left w:w="51" w:type="dxa"/>
                    <w:bottom w:w="0" w:type="dxa"/>
                    <w:right w:w="51" w:type="dxa"/>
                  </w:tcMar>
                  <w:vAlign w:val="center"/>
                </w:tcPr>
                <w:p w14:paraId="220AAAA2">
                  <w:pPr>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9</w:t>
                  </w:r>
                </w:p>
              </w:tc>
              <w:tc>
                <w:tcPr>
                  <w:tcW w:w="994" w:type="dxa"/>
                  <w:vMerge w:val="restart"/>
                  <w:tcMar>
                    <w:top w:w="0" w:type="dxa"/>
                    <w:left w:w="51" w:type="dxa"/>
                    <w:bottom w:w="0" w:type="dxa"/>
                    <w:right w:w="51" w:type="dxa"/>
                  </w:tcMar>
                  <w:vAlign w:val="center"/>
                </w:tcPr>
                <w:p w14:paraId="3B7C8B6C">
                  <w:pPr>
                    <w:jc w:val="center"/>
                    <w:rPr>
                      <w:rFonts w:hint="default" w:ascii="Times New Roman" w:hAnsi="Times New Roman" w:cs="Times New Roman"/>
                      <w:color w:val="auto"/>
                      <w:sz w:val="21"/>
                      <w:szCs w:val="21"/>
                      <w:lang w:eastAsia="zh-CN"/>
                    </w:rPr>
                  </w:pPr>
                  <w:r>
                    <w:rPr>
                      <w:rFonts w:hint="eastAsia"/>
                      <w:color w:val="auto"/>
                      <w:kern w:val="0"/>
                      <w:szCs w:val="21"/>
                      <w:lang w:val="en-US" w:eastAsia="zh-CN"/>
                    </w:rPr>
                    <w:t>设备维护</w:t>
                  </w:r>
                </w:p>
              </w:tc>
              <w:tc>
                <w:tcPr>
                  <w:tcW w:w="1164" w:type="dxa"/>
                  <w:tcMar>
                    <w:top w:w="0" w:type="dxa"/>
                    <w:left w:w="51" w:type="dxa"/>
                    <w:bottom w:w="0" w:type="dxa"/>
                    <w:right w:w="51" w:type="dxa"/>
                  </w:tcMar>
                  <w:vAlign w:val="center"/>
                </w:tcPr>
                <w:p w14:paraId="6E7730EB">
                  <w:pPr>
                    <w:jc w:val="center"/>
                    <w:rPr>
                      <w:rFonts w:hint="default" w:ascii="Times New Roman" w:hAnsi="Times New Roman" w:cs="Times New Roman"/>
                      <w:color w:val="auto"/>
                      <w:sz w:val="21"/>
                      <w:szCs w:val="21"/>
                      <w:lang w:eastAsia="zh-CN"/>
                    </w:rPr>
                  </w:pPr>
                  <w:r>
                    <w:rPr>
                      <w:rFonts w:hint="default" w:ascii="Times New Roman" w:hAnsi="Times New Roman" w:eastAsia="宋体" w:cs="Times New Roman"/>
                      <w:color w:val="auto"/>
                      <w:sz w:val="21"/>
                      <w:szCs w:val="21"/>
                      <w:lang w:eastAsia="zh-CN"/>
                    </w:rPr>
                    <w:t>废</w:t>
                  </w:r>
                  <w:r>
                    <w:rPr>
                      <w:rFonts w:hint="eastAsia" w:cs="Times New Roman"/>
                      <w:color w:val="auto"/>
                      <w:sz w:val="21"/>
                      <w:szCs w:val="21"/>
                      <w:lang w:eastAsia="zh-CN"/>
                    </w:rPr>
                    <w:t>润滑</w:t>
                  </w:r>
                  <w:r>
                    <w:rPr>
                      <w:rFonts w:hint="default" w:ascii="Times New Roman" w:hAnsi="Times New Roman" w:eastAsia="宋体" w:cs="Times New Roman"/>
                      <w:color w:val="auto"/>
                      <w:sz w:val="21"/>
                      <w:szCs w:val="21"/>
                      <w:lang w:eastAsia="zh-CN"/>
                    </w:rPr>
                    <w:t>油</w:t>
                  </w:r>
                </w:p>
              </w:tc>
              <w:tc>
                <w:tcPr>
                  <w:tcW w:w="1149" w:type="dxa"/>
                  <w:tcMar>
                    <w:top w:w="0" w:type="dxa"/>
                    <w:left w:w="51" w:type="dxa"/>
                    <w:bottom w:w="0" w:type="dxa"/>
                    <w:right w:w="51" w:type="dxa"/>
                  </w:tcMar>
                  <w:vAlign w:val="center"/>
                </w:tcPr>
                <w:p w14:paraId="3813C41F">
                  <w:pPr>
                    <w:jc w:val="center"/>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lang w:eastAsia="zh-CN"/>
                    </w:rPr>
                    <w:t>危险废物</w:t>
                  </w:r>
                </w:p>
              </w:tc>
              <w:tc>
                <w:tcPr>
                  <w:tcW w:w="1045" w:type="dxa"/>
                  <w:tcMar>
                    <w:top w:w="0" w:type="dxa"/>
                    <w:left w:w="51" w:type="dxa"/>
                    <w:bottom w:w="0" w:type="dxa"/>
                    <w:right w:w="51" w:type="dxa"/>
                  </w:tcMar>
                  <w:vAlign w:val="center"/>
                </w:tcPr>
                <w:p w14:paraId="5623DB28">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HW08</w:t>
                  </w:r>
                </w:p>
              </w:tc>
              <w:tc>
                <w:tcPr>
                  <w:tcW w:w="1210" w:type="dxa"/>
                  <w:tcMar>
                    <w:top w:w="0" w:type="dxa"/>
                    <w:left w:w="51" w:type="dxa"/>
                    <w:bottom w:w="0" w:type="dxa"/>
                    <w:right w:w="51" w:type="dxa"/>
                  </w:tcMar>
                  <w:vAlign w:val="center"/>
                </w:tcPr>
                <w:p w14:paraId="43237FB8">
                  <w:pPr>
                    <w:jc w:val="center"/>
                    <w:rPr>
                      <w:rFonts w:hint="default" w:ascii="Times New Roman" w:hAnsi="Times New Roman" w:cs="Times New Roman"/>
                      <w:color w:val="auto"/>
                      <w:sz w:val="21"/>
                      <w:szCs w:val="21"/>
                    </w:rPr>
                  </w:pPr>
                  <w:r>
                    <w:rPr>
                      <w:rFonts w:hint="default" w:ascii="Times New Roman" w:hAnsi="Times New Roman" w:eastAsia="宋体" w:cs="Times New Roman"/>
                      <w:b w:val="0"/>
                      <w:bCs w:val="0"/>
                      <w:color w:val="auto"/>
                      <w:sz w:val="21"/>
                      <w:szCs w:val="21"/>
                      <w:highlight w:val="none"/>
                      <w:lang w:val="en-US" w:eastAsia="zh-CN"/>
                    </w:rPr>
                    <w:t>900-2</w:t>
                  </w:r>
                  <w:r>
                    <w:rPr>
                      <w:rFonts w:hint="eastAsia" w:cs="Times New Roman"/>
                      <w:b w:val="0"/>
                      <w:bCs w:val="0"/>
                      <w:color w:val="auto"/>
                      <w:sz w:val="21"/>
                      <w:szCs w:val="21"/>
                      <w:highlight w:val="none"/>
                      <w:lang w:val="en-US" w:eastAsia="zh-CN"/>
                    </w:rPr>
                    <w:t>14</w:t>
                  </w:r>
                  <w:r>
                    <w:rPr>
                      <w:rFonts w:hint="default" w:ascii="Times New Roman" w:hAnsi="Times New Roman" w:eastAsia="宋体" w:cs="Times New Roman"/>
                      <w:b w:val="0"/>
                      <w:bCs w:val="0"/>
                      <w:color w:val="auto"/>
                      <w:sz w:val="21"/>
                      <w:szCs w:val="21"/>
                      <w:highlight w:val="none"/>
                      <w:lang w:val="en-US" w:eastAsia="zh-CN"/>
                    </w:rPr>
                    <w:t>-08</w:t>
                  </w:r>
                </w:p>
              </w:tc>
              <w:tc>
                <w:tcPr>
                  <w:tcW w:w="896" w:type="dxa"/>
                  <w:tcMar>
                    <w:top w:w="0" w:type="dxa"/>
                    <w:left w:w="51" w:type="dxa"/>
                    <w:bottom w:w="0" w:type="dxa"/>
                    <w:right w:w="51" w:type="dxa"/>
                  </w:tcMar>
                  <w:vAlign w:val="center"/>
                </w:tcPr>
                <w:p w14:paraId="4C8BB398">
                  <w:pPr>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0.1</w:t>
                  </w:r>
                </w:p>
              </w:tc>
              <w:tc>
                <w:tcPr>
                  <w:tcW w:w="1111" w:type="dxa"/>
                  <w:vMerge w:val="continue"/>
                  <w:tcMar>
                    <w:top w:w="0" w:type="dxa"/>
                    <w:left w:w="51" w:type="dxa"/>
                    <w:bottom w:w="0" w:type="dxa"/>
                    <w:right w:w="51" w:type="dxa"/>
                  </w:tcMar>
                  <w:vAlign w:val="center"/>
                </w:tcPr>
                <w:p w14:paraId="1761044F">
                  <w:pPr>
                    <w:jc w:val="center"/>
                    <w:rPr>
                      <w:rFonts w:hint="default" w:ascii="Times New Roman" w:hAnsi="Times New Roman" w:cs="Times New Roman"/>
                      <w:color w:val="auto"/>
                      <w:sz w:val="21"/>
                      <w:szCs w:val="21"/>
                      <w:lang w:eastAsia="zh-CN"/>
                    </w:rPr>
                  </w:pPr>
                </w:p>
              </w:tc>
            </w:tr>
            <w:tr w14:paraId="7B0EFF0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29" w:type="dxa"/>
                  <w:vMerge w:val="continue"/>
                  <w:tcMar>
                    <w:top w:w="0" w:type="dxa"/>
                    <w:left w:w="51" w:type="dxa"/>
                    <w:bottom w:w="0" w:type="dxa"/>
                    <w:right w:w="51" w:type="dxa"/>
                  </w:tcMar>
                  <w:vAlign w:val="center"/>
                </w:tcPr>
                <w:p w14:paraId="02A39AD4">
                  <w:pPr>
                    <w:jc w:val="center"/>
                    <w:rPr>
                      <w:rFonts w:hint="default" w:ascii="Times New Roman" w:hAnsi="Times New Roman" w:eastAsia="宋体" w:cs="Times New Roman"/>
                      <w:color w:val="auto"/>
                      <w:sz w:val="21"/>
                      <w:szCs w:val="21"/>
                      <w:lang w:val="en-US" w:eastAsia="zh-CN"/>
                    </w:rPr>
                  </w:pPr>
                </w:p>
              </w:tc>
              <w:tc>
                <w:tcPr>
                  <w:tcW w:w="994" w:type="dxa"/>
                  <w:vMerge w:val="continue"/>
                  <w:tcMar>
                    <w:top w:w="0" w:type="dxa"/>
                    <w:left w:w="51" w:type="dxa"/>
                    <w:bottom w:w="0" w:type="dxa"/>
                    <w:right w:w="51" w:type="dxa"/>
                  </w:tcMar>
                  <w:vAlign w:val="center"/>
                </w:tcPr>
                <w:p w14:paraId="0F65F0A3">
                  <w:pPr>
                    <w:jc w:val="center"/>
                    <w:rPr>
                      <w:rFonts w:hint="default" w:ascii="Times New Roman" w:hAnsi="Times New Roman" w:cs="Times New Roman"/>
                      <w:color w:val="auto"/>
                      <w:sz w:val="21"/>
                      <w:szCs w:val="21"/>
                      <w:lang w:eastAsia="zh-CN"/>
                    </w:rPr>
                  </w:pPr>
                </w:p>
              </w:tc>
              <w:tc>
                <w:tcPr>
                  <w:tcW w:w="1164" w:type="dxa"/>
                  <w:tcMar>
                    <w:top w:w="0" w:type="dxa"/>
                    <w:left w:w="51" w:type="dxa"/>
                    <w:bottom w:w="0" w:type="dxa"/>
                    <w:right w:w="51" w:type="dxa"/>
                  </w:tcMar>
                  <w:vAlign w:val="center"/>
                </w:tcPr>
                <w:p w14:paraId="4E18D83B">
                  <w:pPr>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废</w:t>
                  </w:r>
                  <w:r>
                    <w:rPr>
                      <w:rFonts w:hint="eastAsia" w:cs="Times New Roman"/>
                      <w:color w:val="auto"/>
                      <w:sz w:val="21"/>
                      <w:szCs w:val="21"/>
                      <w:lang w:val="en-US" w:eastAsia="zh-CN"/>
                    </w:rPr>
                    <w:t>润滑油</w:t>
                  </w:r>
                  <w:r>
                    <w:rPr>
                      <w:rFonts w:hint="default" w:ascii="Times New Roman" w:hAnsi="Times New Roman" w:cs="Times New Roman"/>
                      <w:color w:val="auto"/>
                      <w:sz w:val="21"/>
                      <w:szCs w:val="21"/>
                      <w:lang w:val="en-US" w:eastAsia="zh-CN"/>
                    </w:rPr>
                    <w:t>空桶</w:t>
                  </w:r>
                </w:p>
              </w:tc>
              <w:tc>
                <w:tcPr>
                  <w:tcW w:w="1149" w:type="dxa"/>
                  <w:shd w:val="clear" w:color="auto" w:fill="auto"/>
                  <w:tcMar>
                    <w:top w:w="0" w:type="dxa"/>
                    <w:left w:w="51" w:type="dxa"/>
                    <w:bottom w:w="0" w:type="dxa"/>
                    <w:right w:w="51" w:type="dxa"/>
                  </w:tcMar>
                  <w:vAlign w:val="center"/>
                </w:tcPr>
                <w:p w14:paraId="2E62F23F">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eastAsia="zh-CN"/>
                    </w:rPr>
                    <w:t>危险废物</w:t>
                  </w:r>
                </w:p>
              </w:tc>
              <w:tc>
                <w:tcPr>
                  <w:tcW w:w="1045" w:type="dxa"/>
                  <w:shd w:val="clear" w:color="auto" w:fill="auto"/>
                  <w:tcMar>
                    <w:top w:w="0" w:type="dxa"/>
                    <w:left w:w="51" w:type="dxa"/>
                    <w:bottom w:w="0" w:type="dxa"/>
                    <w:right w:w="51" w:type="dxa"/>
                  </w:tcMar>
                  <w:vAlign w:val="center"/>
                </w:tcPr>
                <w:p w14:paraId="506E2BEA">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HW08</w:t>
                  </w:r>
                </w:p>
              </w:tc>
              <w:tc>
                <w:tcPr>
                  <w:tcW w:w="1210" w:type="dxa"/>
                  <w:shd w:val="clear" w:color="auto" w:fill="auto"/>
                  <w:tcMar>
                    <w:top w:w="0" w:type="dxa"/>
                    <w:left w:w="51" w:type="dxa"/>
                    <w:bottom w:w="0" w:type="dxa"/>
                    <w:right w:w="51" w:type="dxa"/>
                  </w:tcMar>
                  <w:vAlign w:val="center"/>
                </w:tcPr>
                <w:p w14:paraId="683099DD">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 w:val="0"/>
                      <w:bCs w:val="0"/>
                      <w:color w:val="auto"/>
                      <w:sz w:val="21"/>
                      <w:szCs w:val="21"/>
                      <w:highlight w:val="none"/>
                      <w:lang w:val="en-US" w:eastAsia="zh-CN"/>
                    </w:rPr>
                    <w:t>900-249-08</w:t>
                  </w:r>
                </w:p>
              </w:tc>
              <w:tc>
                <w:tcPr>
                  <w:tcW w:w="896" w:type="dxa"/>
                  <w:shd w:val="clear" w:color="auto" w:fill="auto"/>
                  <w:tcMar>
                    <w:top w:w="0" w:type="dxa"/>
                    <w:left w:w="51" w:type="dxa"/>
                    <w:bottom w:w="0" w:type="dxa"/>
                    <w:right w:w="51" w:type="dxa"/>
                  </w:tcMar>
                  <w:vAlign w:val="center"/>
                </w:tcPr>
                <w:p w14:paraId="0205F218">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0.5</w:t>
                  </w:r>
                </w:p>
              </w:tc>
              <w:tc>
                <w:tcPr>
                  <w:tcW w:w="1111" w:type="dxa"/>
                  <w:vMerge w:val="continue"/>
                  <w:tcMar>
                    <w:top w:w="0" w:type="dxa"/>
                    <w:left w:w="51" w:type="dxa"/>
                    <w:bottom w:w="0" w:type="dxa"/>
                    <w:right w:w="51" w:type="dxa"/>
                  </w:tcMar>
                  <w:vAlign w:val="center"/>
                </w:tcPr>
                <w:p w14:paraId="6FDFB2CA">
                  <w:pPr>
                    <w:jc w:val="center"/>
                    <w:rPr>
                      <w:rFonts w:hint="default" w:ascii="Times New Roman" w:hAnsi="Times New Roman" w:cs="Times New Roman"/>
                      <w:color w:val="auto"/>
                      <w:sz w:val="21"/>
                      <w:szCs w:val="21"/>
                      <w:lang w:eastAsia="zh-CN"/>
                    </w:rPr>
                  </w:pPr>
                </w:p>
              </w:tc>
            </w:tr>
            <w:tr w14:paraId="2F38CBB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29" w:type="dxa"/>
                  <w:tcMar>
                    <w:top w:w="0" w:type="dxa"/>
                    <w:left w:w="51" w:type="dxa"/>
                    <w:bottom w:w="0" w:type="dxa"/>
                    <w:right w:w="51" w:type="dxa"/>
                  </w:tcMar>
                  <w:vAlign w:val="center"/>
                </w:tcPr>
                <w:p w14:paraId="1EE68DEF">
                  <w:pPr>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10</w:t>
                  </w:r>
                </w:p>
              </w:tc>
              <w:tc>
                <w:tcPr>
                  <w:tcW w:w="994" w:type="dxa"/>
                  <w:tcMar>
                    <w:top w:w="0" w:type="dxa"/>
                    <w:left w:w="51" w:type="dxa"/>
                    <w:bottom w:w="0" w:type="dxa"/>
                    <w:right w:w="51" w:type="dxa"/>
                  </w:tcMar>
                  <w:vAlign w:val="center"/>
                </w:tcPr>
                <w:p w14:paraId="7D6462A9">
                  <w:pPr>
                    <w:jc w:val="center"/>
                    <w:rPr>
                      <w:rFonts w:hint="default" w:ascii="Times New Roman" w:hAnsi="Times New Roman" w:cs="Times New Roman"/>
                      <w:color w:val="auto"/>
                      <w:sz w:val="21"/>
                      <w:szCs w:val="21"/>
                      <w:lang w:eastAsia="zh-CN"/>
                    </w:rPr>
                  </w:pPr>
                  <w:r>
                    <w:rPr>
                      <w:rFonts w:hint="eastAsia" w:cs="Times New Roman"/>
                      <w:color w:val="auto"/>
                      <w:sz w:val="21"/>
                      <w:szCs w:val="21"/>
                      <w:lang w:eastAsia="zh-CN"/>
                    </w:rPr>
                    <w:t>电气测试</w:t>
                  </w:r>
                </w:p>
              </w:tc>
              <w:tc>
                <w:tcPr>
                  <w:tcW w:w="1164" w:type="dxa"/>
                  <w:tcMar>
                    <w:top w:w="0" w:type="dxa"/>
                    <w:left w:w="51" w:type="dxa"/>
                    <w:bottom w:w="0" w:type="dxa"/>
                    <w:right w:w="51" w:type="dxa"/>
                  </w:tcMar>
                  <w:vAlign w:val="center"/>
                </w:tcPr>
                <w:p w14:paraId="4B188D92">
                  <w:pPr>
                    <w:jc w:val="center"/>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废柴油</w:t>
                  </w:r>
                </w:p>
              </w:tc>
              <w:tc>
                <w:tcPr>
                  <w:tcW w:w="1149" w:type="dxa"/>
                  <w:shd w:val="clear" w:color="auto" w:fill="auto"/>
                  <w:tcMar>
                    <w:top w:w="0" w:type="dxa"/>
                    <w:left w:w="51" w:type="dxa"/>
                    <w:bottom w:w="0" w:type="dxa"/>
                    <w:right w:w="51" w:type="dxa"/>
                  </w:tcMar>
                  <w:vAlign w:val="center"/>
                </w:tcPr>
                <w:p w14:paraId="6F1EA81F">
                  <w:pPr>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危险废物</w:t>
                  </w:r>
                </w:p>
              </w:tc>
              <w:tc>
                <w:tcPr>
                  <w:tcW w:w="1045" w:type="dxa"/>
                  <w:shd w:val="clear" w:color="auto" w:fill="auto"/>
                  <w:tcMar>
                    <w:top w:w="0" w:type="dxa"/>
                    <w:left w:w="51" w:type="dxa"/>
                    <w:bottom w:w="0" w:type="dxa"/>
                    <w:right w:w="51" w:type="dxa"/>
                  </w:tcMar>
                  <w:vAlign w:val="center"/>
                </w:tcPr>
                <w:p w14:paraId="5F7984DD">
                  <w:pPr>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HW08</w:t>
                  </w:r>
                </w:p>
              </w:tc>
              <w:tc>
                <w:tcPr>
                  <w:tcW w:w="1210" w:type="dxa"/>
                  <w:shd w:val="clear" w:color="auto" w:fill="auto"/>
                  <w:tcMar>
                    <w:top w:w="0" w:type="dxa"/>
                    <w:left w:w="51" w:type="dxa"/>
                    <w:bottom w:w="0" w:type="dxa"/>
                    <w:right w:w="51" w:type="dxa"/>
                  </w:tcMar>
                  <w:vAlign w:val="center"/>
                </w:tcPr>
                <w:p w14:paraId="420B3507">
                  <w:pPr>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900-249-08</w:t>
                  </w:r>
                </w:p>
              </w:tc>
              <w:tc>
                <w:tcPr>
                  <w:tcW w:w="896" w:type="dxa"/>
                  <w:shd w:val="clear" w:color="auto" w:fill="auto"/>
                  <w:tcMar>
                    <w:top w:w="0" w:type="dxa"/>
                    <w:left w:w="51" w:type="dxa"/>
                    <w:bottom w:w="0" w:type="dxa"/>
                    <w:right w:w="51" w:type="dxa"/>
                  </w:tcMar>
                  <w:vAlign w:val="center"/>
                </w:tcPr>
                <w:p w14:paraId="1EC9A72B">
                  <w:pPr>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w:t>
                  </w:r>
                  <w:r>
                    <w:rPr>
                      <w:rFonts w:hint="eastAsia" w:ascii="Times New Roman" w:hAnsi="Times New Roman" w:cs="Times New Roman"/>
                      <w:color w:val="auto"/>
                      <w:sz w:val="21"/>
                      <w:szCs w:val="21"/>
                      <w:lang w:val="en-US" w:eastAsia="zh-CN"/>
                    </w:rPr>
                    <w:t>2</w:t>
                  </w:r>
                </w:p>
              </w:tc>
              <w:tc>
                <w:tcPr>
                  <w:tcW w:w="1111" w:type="dxa"/>
                  <w:vMerge w:val="continue"/>
                  <w:tcMar>
                    <w:top w:w="0" w:type="dxa"/>
                    <w:left w:w="51" w:type="dxa"/>
                    <w:bottom w:w="0" w:type="dxa"/>
                    <w:right w:w="51" w:type="dxa"/>
                  </w:tcMar>
                  <w:vAlign w:val="center"/>
                </w:tcPr>
                <w:p w14:paraId="128F64BC">
                  <w:pPr>
                    <w:jc w:val="center"/>
                    <w:rPr>
                      <w:rFonts w:hint="default" w:ascii="Times New Roman" w:hAnsi="Times New Roman" w:cs="Times New Roman"/>
                      <w:color w:val="auto"/>
                      <w:sz w:val="21"/>
                      <w:szCs w:val="21"/>
                      <w:lang w:eastAsia="zh-CN"/>
                    </w:rPr>
                  </w:pPr>
                </w:p>
              </w:tc>
            </w:tr>
            <w:tr w14:paraId="106DD2E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29" w:type="dxa"/>
                  <w:tcMar>
                    <w:top w:w="0" w:type="dxa"/>
                    <w:left w:w="51" w:type="dxa"/>
                    <w:bottom w:w="0" w:type="dxa"/>
                    <w:right w:w="51" w:type="dxa"/>
                  </w:tcMar>
                  <w:vAlign w:val="center"/>
                </w:tcPr>
                <w:p w14:paraId="513915D8">
                  <w:pPr>
                    <w:jc w:val="center"/>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11</w:t>
                  </w:r>
                </w:p>
              </w:tc>
              <w:tc>
                <w:tcPr>
                  <w:tcW w:w="994" w:type="dxa"/>
                  <w:tcMar>
                    <w:top w:w="0" w:type="dxa"/>
                    <w:left w:w="51" w:type="dxa"/>
                    <w:bottom w:w="0" w:type="dxa"/>
                    <w:right w:w="51" w:type="dxa"/>
                  </w:tcMar>
                  <w:vAlign w:val="center"/>
                </w:tcPr>
                <w:p w14:paraId="0E737BE1">
                  <w:pPr>
                    <w:jc w:val="center"/>
                    <w:rPr>
                      <w:rFonts w:hint="default" w:ascii="Times New Roman" w:hAnsi="Times New Roman" w:cs="Times New Roman"/>
                      <w:color w:val="auto"/>
                      <w:sz w:val="21"/>
                      <w:szCs w:val="21"/>
                      <w:lang w:eastAsia="zh-CN"/>
                    </w:rPr>
                  </w:pPr>
                  <w:r>
                    <w:rPr>
                      <w:rFonts w:hint="eastAsia" w:cs="Times New Roman"/>
                      <w:color w:val="auto"/>
                      <w:sz w:val="21"/>
                      <w:szCs w:val="21"/>
                      <w:lang w:eastAsia="zh-CN"/>
                    </w:rPr>
                    <w:t>废气脱硝系统</w:t>
                  </w:r>
                </w:p>
              </w:tc>
              <w:tc>
                <w:tcPr>
                  <w:tcW w:w="1164" w:type="dxa"/>
                  <w:tcMar>
                    <w:top w:w="0" w:type="dxa"/>
                    <w:left w:w="51" w:type="dxa"/>
                    <w:bottom w:w="0" w:type="dxa"/>
                    <w:right w:w="51" w:type="dxa"/>
                  </w:tcMar>
                  <w:vAlign w:val="center"/>
                </w:tcPr>
                <w:p w14:paraId="37E47D6C">
                  <w:pPr>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废矾基催化剂</w:t>
                  </w:r>
                </w:p>
              </w:tc>
              <w:tc>
                <w:tcPr>
                  <w:tcW w:w="1149" w:type="dxa"/>
                  <w:shd w:val="clear" w:color="auto" w:fill="auto"/>
                  <w:tcMar>
                    <w:top w:w="0" w:type="dxa"/>
                    <w:left w:w="51" w:type="dxa"/>
                    <w:bottom w:w="0" w:type="dxa"/>
                    <w:right w:w="51" w:type="dxa"/>
                  </w:tcMar>
                  <w:vAlign w:val="center"/>
                </w:tcPr>
                <w:p w14:paraId="24FB7AED">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eastAsia="zh-CN"/>
                    </w:rPr>
                    <w:t>危险废物</w:t>
                  </w:r>
                </w:p>
              </w:tc>
              <w:tc>
                <w:tcPr>
                  <w:tcW w:w="1045" w:type="dxa"/>
                  <w:shd w:val="clear" w:color="auto" w:fill="auto"/>
                  <w:tcMar>
                    <w:top w:w="0" w:type="dxa"/>
                    <w:left w:w="51" w:type="dxa"/>
                    <w:bottom w:w="0" w:type="dxa"/>
                    <w:right w:w="51" w:type="dxa"/>
                  </w:tcMar>
                  <w:vAlign w:val="center"/>
                </w:tcPr>
                <w:p w14:paraId="30810F59">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HW</w:t>
                  </w:r>
                  <w:r>
                    <w:rPr>
                      <w:rFonts w:hint="eastAsia" w:cs="Times New Roman"/>
                      <w:color w:val="auto"/>
                      <w:sz w:val="21"/>
                      <w:szCs w:val="21"/>
                      <w:lang w:val="en-US" w:eastAsia="zh-CN"/>
                    </w:rPr>
                    <w:t>50</w:t>
                  </w:r>
                </w:p>
              </w:tc>
              <w:tc>
                <w:tcPr>
                  <w:tcW w:w="1210" w:type="dxa"/>
                  <w:shd w:val="clear" w:color="auto" w:fill="auto"/>
                  <w:tcMar>
                    <w:top w:w="0" w:type="dxa"/>
                    <w:left w:w="51" w:type="dxa"/>
                    <w:bottom w:w="0" w:type="dxa"/>
                    <w:right w:w="51" w:type="dxa"/>
                  </w:tcMar>
                  <w:vAlign w:val="center"/>
                </w:tcPr>
                <w:p w14:paraId="1066EDA9">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772-007-50</w:t>
                  </w:r>
                </w:p>
              </w:tc>
              <w:tc>
                <w:tcPr>
                  <w:tcW w:w="896" w:type="dxa"/>
                  <w:tcMar>
                    <w:top w:w="0" w:type="dxa"/>
                    <w:left w:w="51" w:type="dxa"/>
                    <w:bottom w:w="0" w:type="dxa"/>
                    <w:right w:w="51" w:type="dxa"/>
                  </w:tcMar>
                  <w:vAlign w:val="center"/>
                </w:tcPr>
                <w:p w14:paraId="672A5533">
                  <w:pPr>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w:t>
                  </w:r>
                  <w:r>
                    <w:rPr>
                      <w:rFonts w:hint="eastAsia" w:cs="Times New Roman"/>
                      <w:color w:val="auto"/>
                      <w:sz w:val="21"/>
                      <w:szCs w:val="21"/>
                      <w:lang w:val="en-US" w:eastAsia="zh-CN"/>
                    </w:rPr>
                    <w:t>2</w:t>
                  </w:r>
                </w:p>
              </w:tc>
              <w:tc>
                <w:tcPr>
                  <w:tcW w:w="1111" w:type="dxa"/>
                  <w:vMerge w:val="continue"/>
                  <w:tcMar>
                    <w:top w:w="0" w:type="dxa"/>
                    <w:left w:w="51" w:type="dxa"/>
                    <w:bottom w:w="0" w:type="dxa"/>
                    <w:right w:w="51" w:type="dxa"/>
                  </w:tcMar>
                  <w:vAlign w:val="center"/>
                </w:tcPr>
                <w:p w14:paraId="7597FD86">
                  <w:pPr>
                    <w:jc w:val="center"/>
                    <w:rPr>
                      <w:rFonts w:hint="default" w:ascii="Times New Roman" w:hAnsi="Times New Roman" w:cs="Times New Roman"/>
                      <w:color w:val="auto"/>
                      <w:sz w:val="21"/>
                      <w:szCs w:val="21"/>
                      <w:lang w:eastAsia="zh-CN"/>
                    </w:rPr>
                  </w:pPr>
                </w:p>
              </w:tc>
            </w:tr>
            <w:tr w14:paraId="30C2300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29" w:type="dxa"/>
                  <w:tcMar>
                    <w:top w:w="0" w:type="dxa"/>
                    <w:left w:w="51" w:type="dxa"/>
                    <w:bottom w:w="0" w:type="dxa"/>
                    <w:right w:w="51" w:type="dxa"/>
                  </w:tcMar>
                  <w:vAlign w:val="center"/>
                </w:tcPr>
                <w:p w14:paraId="2DAC7030">
                  <w:pPr>
                    <w:jc w:val="center"/>
                    <w:rPr>
                      <w:rFonts w:hint="default" w:cs="Times New Roman"/>
                      <w:color w:val="auto"/>
                      <w:sz w:val="21"/>
                      <w:szCs w:val="21"/>
                      <w:lang w:val="en-US" w:eastAsia="zh-CN"/>
                    </w:rPr>
                  </w:pPr>
                  <w:r>
                    <w:rPr>
                      <w:rFonts w:hint="eastAsia" w:cs="Times New Roman"/>
                      <w:color w:val="auto"/>
                      <w:sz w:val="21"/>
                      <w:szCs w:val="21"/>
                      <w:lang w:val="en-US" w:eastAsia="zh-CN"/>
                    </w:rPr>
                    <w:t>12</w:t>
                  </w:r>
                </w:p>
              </w:tc>
              <w:tc>
                <w:tcPr>
                  <w:tcW w:w="994" w:type="dxa"/>
                  <w:tcMar>
                    <w:top w:w="0" w:type="dxa"/>
                    <w:left w:w="51" w:type="dxa"/>
                    <w:bottom w:w="0" w:type="dxa"/>
                    <w:right w:w="51" w:type="dxa"/>
                  </w:tcMar>
                  <w:vAlign w:val="center"/>
                </w:tcPr>
                <w:p w14:paraId="23781EAF">
                  <w:pPr>
                    <w:jc w:val="center"/>
                    <w:rPr>
                      <w:rFonts w:hint="eastAsia" w:cs="Times New Roman"/>
                      <w:color w:val="auto"/>
                      <w:sz w:val="21"/>
                      <w:szCs w:val="21"/>
                      <w:lang w:eastAsia="zh-CN"/>
                    </w:rPr>
                  </w:pPr>
                  <w:r>
                    <w:rPr>
                      <w:rFonts w:hint="eastAsia" w:cs="Times New Roman"/>
                      <w:color w:val="auto"/>
                      <w:sz w:val="21"/>
                      <w:szCs w:val="21"/>
                      <w:lang w:eastAsia="zh-CN"/>
                    </w:rPr>
                    <w:t>脱脂除油槽</w:t>
                  </w:r>
                </w:p>
              </w:tc>
              <w:tc>
                <w:tcPr>
                  <w:tcW w:w="1164" w:type="dxa"/>
                  <w:tcMar>
                    <w:top w:w="0" w:type="dxa"/>
                    <w:left w:w="51" w:type="dxa"/>
                    <w:bottom w:w="0" w:type="dxa"/>
                    <w:right w:w="51" w:type="dxa"/>
                  </w:tcMar>
                  <w:vAlign w:val="center"/>
                </w:tcPr>
                <w:p w14:paraId="76DC4A64">
                  <w:pPr>
                    <w:jc w:val="center"/>
                    <w:rPr>
                      <w:rFonts w:hint="eastAsia" w:cs="Times New Roman"/>
                      <w:color w:val="auto"/>
                      <w:sz w:val="21"/>
                      <w:szCs w:val="21"/>
                      <w:lang w:eastAsia="zh-CN"/>
                    </w:rPr>
                  </w:pPr>
                  <w:r>
                    <w:rPr>
                      <w:rFonts w:hint="eastAsia" w:cs="Times New Roman"/>
                      <w:color w:val="auto"/>
                      <w:sz w:val="21"/>
                      <w:szCs w:val="21"/>
                      <w:lang w:eastAsia="zh-CN"/>
                    </w:rPr>
                    <w:t>槽渣</w:t>
                  </w:r>
                </w:p>
              </w:tc>
              <w:tc>
                <w:tcPr>
                  <w:tcW w:w="1149" w:type="dxa"/>
                  <w:shd w:val="clear" w:color="auto" w:fill="auto"/>
                  <w:tcMar>
                    <w:top w:w="0" w:type="dxa"/>
                    <w:left w:w="51" w:type="dxa"/>
                    <w:bottom w:w="0" w:type="dxa"/>
                    <w:right w:w="51" w:type="dxa"/>
                  </w:tcMar>
                  <w:vAlign w:val="center"/>
                </w:tcPr>
                <w:p w14:paraId="677DEFAD">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eastAsia="zh-CN"/>
                    </w:rPr>
                    <w:t>危险废物</w:t>
                  </w:r>
                </w:p>
              </w:tc>
              <w:tc>
                <w:tcPr>
                  <w:tcW w:w="1045" w:type="dxa"/>
                  <w:shd w:val="clear" w:color="auto" w:fill="auto"/>
                  <w:tcMar>
                    <w:top w:w="0" w:type="dxa"/>
                    <w:left w:w="51" w:type="dxa"/>
                    <w:bottom w:w="0" w:type="dxa"/>
                    <w:right w:w="51" w:type="dxa"/>
                  </w:tcMar>
                  <w:vAlign w:val="center"/>
                </w:tcPr>
                <w:p w14:paraId="5BFB65FD">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HW</w:t>
                  </w:r>
                  <w:r>
                    <w:rPr>
                      <w:rFonts w:hint="eastAsia" w:cs="Times New Roman"/>
                      <w:color w:val="auto"/>
                      <w:sz w:val="21"/>
                      <w:szCs w:val="21"/>
                      <w:lang w:val="en-US" w:eastAsia="zh-CN"/>
                    </w:rPr>
                    <w:t>17</w:t>
                  </w:r>
                </w:p>
              </w:tc>
              <w:tc>
                <w:tcPr>
                  <w:tcW w:w="1210" w:type="dxa"/>
                  <w:shd w:val="clear" w:color="auto" w:fill="auto"/>
                  <w:tcMar>
                    <w:top w:w="0" w:type="dxa"/>
                    <w:left w:w="51" w:type="dxa"/>
                    <w:bottom w:w="0" w:type="dxa"/>
                    <w:right w:w="51" w:type="dxa"/>
                  </w:tcMar>
                  <w:vAlign w:val="center"/>
                </w:tcPr>
                <w:p w14:paraId="133F6DF1">
                  <w:pPr>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336</w:t>
                  </w:r>
                  <w:r>
                    <w:rPr>
                      <w:rFonts w:hint="default" w:ascii="Times New Roman" w:hAnsi="Times New Roman" w:eastAsia="宋体" w:cs="Times New Roman"/>
                      <w:color w:val="auto"/>
                      <w:kern w:val="2"/>
                      <w:sz w:val="21"/>
                      <w:szCs w:val="21"/>
                      <w:lang w:val="en-US" w:eastAsia="zh-CN" w:bidi="ar-SA"/>
                    </w:rPr>
                    <w:t>-0</w:t>
                  </w:r>
                  <w:r>
                    <w:rPr>
                      <w:rFonts w:hint="eastAsia" w:cs="Times New Roman"/>
                      <w:color w:val="auto"/>
                      <w:kern w:val="2"/>
                      <w:sz w:val="21"/>
                      <w:szCs w:val="21"/>
                      <w:lang w:val="en-US" w:eastAsia="zh-CN" w:bidi="ar-SA"/>
                    </w:rPr>
                    <w:t>64</w:t>
                  </w:r>
                  <w:r>
                    <w:rPr>
                      <w:rFonts w:hint="default" w:ascii="Times New Roman" w:hAnsi="Times New Roman" w:eastAsia="宋体" w:cs="Times New Roman"/>
                      <w:color w:val="auto"/>
                      <w:kern w:val="2"/>
                      <w:sz w:val="21"/>
                      <w:szCs w:val="21"/>
                      <w:lang w:val="en-US" w:eastAsia="zh-CN" w:bidi="ar-SA"/>
                    </w:rPr>
                    <w:t>-</w:t>
                  </w:r>
                  <w:r>
                    <w:rPr>
                      <w:rFonts w:hint="eastAsia" w:cs="Times New Roman"/>
                      <w:color w:val="auto"/>
                      <w:kern w:val="2"/>
                      <w:sz w:val="21"/>
                      <w:szCs w:val="21"/>
                      <w:lang w:val="en-US" w:eastAsia="zh-CN" w:bidi="ar-SA"/>
                    </w:rPr>
                    <w:t>17</w:t>
                  </w:r>
                </w:p>
              </w:tc>
              <w:tc>
                <w:tcPr>
                  <w:tcW w:w="896" w:type="dxa"/>
                  <w:shd w:val="clear" w:color="auto" w:fill="auto"/>
                  <w:tcMar>
                    <w:top w:w="0" w:type="dxa"/>
                    <w:left w:w="51" w:type="dxa"/>
                    <w:bottom w:w="0" w:type="dxa"/>
                    <w:right w:w="51" w:type="dxa"/>
                  </w:tcMar>
                  <w:vAlign w:val="center"/>
                </w:tcPr>
                <w:p w14:paraId="45489A2E">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0.</w:t>
                  </w:r>
                  <w:r>
                    <w:rPr>
                      <w:rFonts w:hint="eastAsia" w:cs="Times New Roman"/>
                      <w:color w:val="auto"/>
                      <w:sz w:val="21"/>
                      <w:szCs w:val="21"/>
                      <w:lang w:val="en-US" w:eastAsia="zh-CN"/>
                    </w:rPr>
                    <w:t>5</w:t>
                  </w:r>
                </w:p>
              </w:tc>
              <w:tc>
                <w:tcPr>
                  <w:tcW w:w="1111" w:type="dxa"/>
                  <w:vMerge w:val="continue"/>
                  <w:tcMar>
                    <w:top w:w="0" w:type="dxa"/>
                    <w:left w:w="51" w:type="dxa"/>
                    <w:bottom w:w="0" w:type="dxa"/>
                    <w:right w:w="51" w:type="dxa"/>
                  </w:tcMar>
                  <w:vAlign w:val="center"/>
                </w:tcPr>
                <w:p w14:paraId="4A3112D7">
                  <w:pPr>
                    <w:jc w:val="center"/>
                    <w:rPr>
                      <w:rFonts w:hint="default" w:ascii="Times New Roman" w:hAnsi="Times New Roman" w:cs="Times New Roman"/>
                      <w:color w:val="auto"/>
                      <w:sz w:val="21"/>
                      <w:szCs w:val="21"/>
                      <w:lang w:eastAsia="zh-CN"/>
                    </w:rPr>
                  </w:pPr>
                </w:p>
              </w:tc>
            </w:tr>
          </w:tbl>
          <w:p w14:paraId="48ED9442">
            <w:pPr>
              <w:keepNext w:val="0"/>
              <w:keepLines w:val="0"/>
              <w:pageBreakBefore w:val="0"/>
              <w:widowControl w:val="0"/>
              <w:kinsoku/>
              <w:wordWrap/>
              <w:overflowPunct/>
              <w:topLinePunct w:val="0"/>
              <w:autoSpaceDE/>
              <w:autoSpaceDN/>
              <w:bidi w:val="0"/>
              <w:adjustRightInd/>
              <w:snapToGrid/>
              <w:spacing w:before="157" w:beforeLines="50" w:line="360" w:lineRule="auto"/>
              <w:ind w:firstLine="241" w:firstLineChars="100"/>
              <w:jc w:val="both"/>
              <w:textAlignment w:val="auto"/>
              <w:rPr>
                <w:rFonts w:hint="default" w:ascii="Times New Roman" w:hAnsi="Times New Roman" w:eastAsia="宋体" w:cs="Times New Roman"/>
                <w:b/>
                <w:bCs w:val="0"/>
                <w:color w:val="auto"/>
                <w:kern w:val="2"/>
                <w:sz w:val="24"/>
                <w:szCs w:val="24"/>
                <w:highlight w:val="none"/>
                <w:lang w:val="en-US" w:eastAsia="zh-CN" w:bidi="ar-SA"/>
              </w:rPr>
            </w:pPr>
            <w:r>
              <w:rPr>
                <w:rFonts w:hint="default" w:ascii="Times New Roman" w:hAnsi="Times New Roman" w:eastAsia="宋体" w:cs="Times New Roman"/>
                <w:b/>
                <w:bCs w:val="0"/>
                <w:color w:val="auto"/>
                <w:kern w:val="2"/>
                <w:sz w:val="24"/>
                <w:szCs w:val="24"/>
                <w:highlight w:val="none"/>
                <w:lang w:val="en-US" w:eastAsia="zh-CN" w:bidi="ar-SA"/>
              </w:rPr>
              <w:t>4.2.</w:t>
            </w:r>
            <w:r>
              <w:rPr>
                <w:rFonts w:hint="eastAsia" w:ascii="Times New Roman" w:hAnsi="Times New Roman" w:eastAsia="宋体" w:cs="Times New Roman"/>
                <w:b/>
                <w:bCs w:val="0"/>
                <w:color w:val="auto"/>
                <w:kern w:val="2"/>
                <w:sz w:val="24"/>
                <w:szCs w:val="24"/>
                <w:highlight w:val="none"/>
                <w:lang w:val="en-US" w:eastAsia="zh-CN" w:bidi="ar-SA"/>
              </w:rPr>
              <w:t>4</w:t>
            </w:r>
            <w:r>
              <w:rPr>
                <w:rFonts w:hint="default" w:ascii="Times New Roman" w:hAnsi="Times New Roman" w:eastAsia="宋体" w:cs="Times New Roman"/>
                <w:b/>
                <w:bCs w:val="0"/>
                <w:color w:val="auto"/>
                <w:kern w:val="2"/>
                <w:sz w:val="24"/>
                <w:szCs w:val="24"/>
                <w:highlight w:val="none"/>
                <w:lang w:val="en-US" w:eastAsia="zh-CN" w:bidi="ar-SA"/>
              </w:rPr>
              <w:t>.</w:t>
            </w:r>
            <w:r>
              <w:rPr>
                <w:rFonts w:hint="eastAsia" w:ascii="Times New Roman" w:hAnsi="Times New Roman" w:eastAsia="宋体" w:cs="Times New Roman"/>
                <w:b/>
                <w:bCs w:val="0"/>
                <w:color w:val="auto"/>
                <w:kern w:val="2"/>
                <w:sz w:val="24"/>
                <w:szCs w:val="24"/>
                <w:highlight w:val="none"/>
                <w:lang w:val="en-US" w:eastAsia="zh-CN" w:bidi="ar-SA"/>
              </w:rPr>
              <w:t>2</w:t>
            </w:r>
            <w:r>
              <w:rPr>
                <w:rFonts w:hint="default" w:ascii="Times New Roman" w:hAnsi="Times New Roman" w:eastAsia="宋体" w:cs="Times New Roman"/>
                <w:b/>
                <w:bCs w:val="0"/>
                <w:color w:val="auto"/>
                <w:kern w:val="2"/>
                <w:sz w:val="24"/>
                <w:szCs w:val="24"/>
                <w:highlight w:val="none"/>
                <w:lang w:val="en-US" w:eastAsia="zh-CN" w:bidi="ar-SA"/>
              </w:rPr>
              <w:t>运营期固体废物影响分析及环境管理要求</w:t>
            </w:r>
          </w:p>
          <w:p w14:paraId="3BD0E1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kern w:val="2"/>
                <w:sz w:val="24"/>
                <w:szCs w:val="24"/>
                <w:lang w:val="en-US" w:eastAsia="zh-CN" w:bidi="ar-SA"/>
              </w:rPr>
              <w:t>（1）</w:t>
            </w:r>
            <w:r>
              <w:rPr>
                <w:rFonts w:hint="default" w:ascii="Times New Roman" w:hAnsi="Times New Roman" w:eastAsia="宋体" w:cs="Times New Roman"/>
                <w:b w:val="0"/>
                <w:bCs w:val="0"/>
                <w:color w:val="auto"/>
                <w:sz w:val="24"/>
                <w:highlight w:val="none"/>
                <w:lang w:val="en-US" w:eastAsia="zh-CN"/>
              </w:rPr>
              <w:t>一般工业固体废物</w:t>
            </w:r>
          </w:p>
          <w:p w14:paraId="5975F04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建设单位于</w:t>
            </w:r>
            <w:r>
              <w:rPr>
                <w:rFonts w:hint="eastAsia" w:cs="Times New Roman"/>
                <w:b w:val="0"/>
                <w:bCs w:val="0"/>
                <w:color w:val="auto"/>
                <w:sz w:val="24"/>
                <w:highlight w:val="none"/>
                <w:lang w:val="en-US" w:eastAsia="zh-CN"/>
              </w:rPr>
              <w:t>厂区东侧</w:t>
            </w:r>
            <w:r>
              <w:rPr>
                <w:rFonts w:hint="default" w:ascii="Times New Roman" w:hAnsi="Times New Roman" w:eastAsia="宋体" w:cs="Times New Roman"/>
                <w:b w:val="0"/>
                <w:bCs w:val="0"/>
                <w:color w:val="auto"/>
                <w:sz w:val="24"/>
                <w:highlight w:val="none"/>
                <w:lang w:val="en-US" w:eastAsia="zh-CN"/>
              </w:rPr>
              <w:t>建设1个</w:t>
            </w:r>
            <w:r>
              <w:rPr>
                <w:rFonts w:hint="eastAsia" w:cs="Times New Roman"/>
                <w:b w:val="0"/>
                <w:bCs w:val="0"/>
                <w:color w:val="auto"/>
                <w:sz w:val="24"/>
                <w:highlight w:val="none"/>
                <w:lang w:val="en-US" w:eastAsia="zh-CN"/>
              </w:rPr>
              <w:t>20</w:t>
            </w:r>
            <w:r>
              <w:rPr>
                <w:rFonts w:hint="default" w:ascii="Times New Roman" w:hAnsi="Times New Roman" w:eastAsia="宋体" w:cs="Times New Roman"/>
                <w:b w:val="0"/>
                <w:bCs w:val="0"/>
                <w:color w:val="auto"/>
                <w:sz w:val="24"/>
                <w:highlight w:val="none"/>
                <w:lang w:val="en-US" w:eastAsia="zh-CN"/>
              </w:rPr>
              <w:t>m</w:t>
            </w:r>
            <w:r>
              <w:rPr>
                <w:rFonts w:hint="default" w:ascii="Times New Roman" w:hAnsi="Times New Roman" w:eastAsia="宋体" w:cs="Times New Roman"/>
                <w:b w:val="0"/>
                <w:bCs w:val="0"/>
                <w:color w:val="auto"/>
                <w:sz w:val="24"/>
                <w:highlight w:val="none"/>
                <w:vertAlign w:val="superscript"/>
                <w:lang w:val="en-US" w:eastAsia="zh-CN"/>
              </w:rPr>
              <w:t>2</w:t>
            </w:r>
            <w:r>
              <w:rPr>
                <w:rFonts w:hint="eastAsia" w:cs="Times New Roman"/>
                <w:b w:val="0"/>
                <w:bCs w:val="0"/>
                <w:color w:val="auto"/>
                <w:sz w:val="24"/>
                <w:highlight w:val="none"/>
                <w:lang w:val="en-US" w:eastAsia="zh-CN"/>
              </w:rPr>
              <w:t>一般固体废物</w:t>
            </w:r>
            <w:r>
              <w:rPr>
                <w:rFonts w:hint="default" w:ascii="Times New Roman" w:hAnsi="Times New Roman" w:eastAsia="宋体" w:cs="Times New Roman"/>
                <w:b w:val="0"/>
                <w:bCs w:val="0"/>
                <w:color w:val="auto"/>
                <w:sz w:val="24"/>
                <w:highlight w:val="none"/>
                <w:lang w:val="en-US" w:eastAsia="zh-CN"/>
              </w:rPr>
              <w:t>暂存间，对厂区内产生的</w:t>
            </w:r>
            <w:r>
              <w:rPr>
                <w:rFonts w:hint="eastAsia" w:cs="Times New Roman"/>
                <w:b w:val="0"/>
                <w:bCs w:val="0"/>
                <w:color w:val="auto"/>
                <w:sz w:val="24"/>
                <w:highlight w:val="none"/>
                <w:lang w:val="en-US" w:eastAsia="zh-CN"/>
              </w:rPr>
              <w:t>固体废物</w:t>
            </w:r>
            <w:r>
              <w:rPr>
                <w:rFonts w:hint="default" w:ascii="Times New Roman" w:hAnsi="Times New Roman" w:eastAsia="宋体" w:cs="Times New Roman"/>
                <w:b w:val="0"/>
                <w:bCs w:val="0"/>
                <w:color w:val="auto"/>
                <w:sz w:val="24"/>
                <w:highlight w:val="none"/>
                <w:lang w:val="en-US" w:eastAsia="zh-CN"/>
              </w:rPr>
              <w:t>进行</w:t>
            </w:r>
            <w:r>
              <w:rPr>
                <w:rFonts w:hint="eastAsia" w:cs="Times New Roman"/>
                <w:b w:val="0"/>
                <w:bCs w:val="0"/>
                <w:color w:val="auto"/>
                <w:sz w:val="24"/>
                <w:highlight w:val="none"/>
                <w:lang w:val="en-US" w:eastAsia="zh-CN"/>
              </w:rPr>
              <w:t>分类贮存</w:t>
            </w:r>
            <w:r>
              <w:rPr>
                <w:rFonts w:hint="default" w:ascii="Times New Roman" w:hAnsi="Times New Roman" w:eastAsia="宋体" w:cs="Times New Roman"/>
                <w:b w:val="0"/>
                <w:bCs w:val="0"/>
                <w:color w:val="auto"/>
                <w:sz w:val="24"/>
                <w:highlight w:val="none"/>
                <w:lang w:val="en-US" w:eastAsia="zh-CN"/>
              </w:rPr>
              <w:t>，</w:t>
            </w:r>
            <w:r>
              <w:rPr>
                <w:rFonts w:hint="eastAsia" w:cs="Times New Roman"/>
                <w:b w:val="0"/>
                <w:bCs w:val="0"/>
                <w:color w:val="auto"/>
                <w:sz w:val="24"/>
                <w:highlight w:val="none"/>
                <w:lang w:val="en-US" w:eastAsia="zh-CN"/>
              </w:rPr>
              <w:t>一般固体废物</w:t>
            </w:r>
            <w:r>
              <w:rPr>
                <w:rFonts w:hint="default" w:ascii="Times New Roman" w:hAnsi="Times New Roman" w:eastAsia="宋体" w:cs="Times New Roman"/>
                <w:b w:val="0"/>
                <w:bCs w:val="0"/>
                <w:color w:val="auto"/>
                <w:sz w:val="24"/>
                <w:highlight w:val="none"/>
                <w:lang w:val="en-US" w:eastAsia="zh-CN"/>
              </w:rPr>
              <w:t>暂存间</w:t>
            </w:r>
            <w:r>
              <w:rPr>
                <w:rFonts w:hint="eastAsia" w:cs="Times New Roman"/>
                <w:b w:val="0"/>
                <w:bCs w:val="0"/>
                <w:color w:val="auto"/>
                <w:sz w:val="24"/>
                <w:highlight w:val="none"/>
                <w:lang w:val="en-US" w:eastAsia="zh-CN"/>
              </w:rPr>
              <w:t>贮存能力约20t。依据建设单位提供资料，一般工业固体废物贮存期不超过3个月，现有一般固体废物暂存间贮存能力为20t/a，因此一般固体废物</w:t>
            </w:r>
            <w:r>
              <w:rPr>
                <w:rFonts w:hint="default" w:ascii="Times New Roman" w:hAnsi="Times New Roman" w:eastAsia="宋体" w:cs="Times New Roman"/>
                <w:b w:val="0"/>
                <w:bCs w:val="0"/>
                <w:color w:val="auto"/>
                <w:sz w:val="24"/>
                <w:highlight w:val="none"/>
                <w:lang w:val="en-US" w:eastAsia="zh-CN"/>
              </w:rPr>
              <w:t>暂存间</w:t>
            </w:r>
            <w:r>
              <w:rPr>
                <w:rFonts w:hint="eastAsia" w:cs="Times New Roman"/>
                <w:b w:val="0"/>
                <w:bCs w:val="0"/>
                <w:color w:val="auto"/>
                <w:sz w:val="24"/>
                <w:highlight w:val="none"/>
                <w:lang w:val="en-US" w:eastAsia="zh-CN"/>
              </w:rPr>
              <w:t>能够满足项目依托需求。</w:t>
            </w:r>
          </w:p>
          <w:p w14:paraId="54A2FB6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A.一般工业固体废物贮存要求</w:t>
            </w:r>
          </w:p>
          <w:p w14:paraId="266B59A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根据国家《一般工业固体废物贮存和填埋污染控制标准》（GB18599-2020），一般工业固体废物的贮存和管理应做到：在生产过程中应加强一般工业固体废物贮存规范化管理，固体废物分类定点堆放。确保固体废物贮存过程满足防渗漏、防雨淋和防扬尘等环境保护要求。</w:t>
            </w:r>
          </w:p>
          <w:p w14:paraId="5489AB8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B.一般工业固体废物转移和管理要求</w:t>
            </w:r>
          </w:p>
          <w:p w14:paraId="081B5E0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①采取防扬散、防流失、防渗漏或者其他防止固体废物污染环境的措施，不得擅自倾倒、堆放、丢弃、遗撒固体废物。</w:t>
            </w:r>
          </w:p>
          <w:p w14:paraId="6136C73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②禁止向江河、湖泊、运河、渠道、水库及其最高水位线以下的滩地和岸坡以及法律法规规定的其他地点倾倒、堆放、贮存固体废物。</w:t>
            </w:r>
          </w:p>
          <w:p w14:paraId="136E984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③转移固体废物出省、自治区、直辖市行政区域利用的，应当报固体废物移出地的省、自治区、直辖市人民政府生态环境主管部门备案。移出地的省、自治区、直辖市人民政府生态环境主管部门应当将备案信息通报接受地的省、自治区、直辖市人民政府生态环境主管部门。</w:t>
            </w:r>
          </w:p>
          <w:p w14:paraId="45D3D2C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④建立健全工业固体废物产生、收集、贮存、运输、利用、处置全过程的污染环境防治责任制度，建立工业固体废物管理台账，如实记录产生工业固体废物的种类、数量、流向、贮存、利用、处置等信息，实现工业固体废物可追溯、可查询，并采取防治工业固体废物污染环境的措施。</w:t>
            </w:r>
          </w:p>
          <w:p w14:paraId="7DD20FB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⑤禁止向生活垃圾收集设施中投放工业固体废物。</w:t>
            </w:r>
          </w:p>
          <w:p w14:paraId="3715DFC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color w:val="auto"/>
                <w:sz w:val="24"/>
                <w:highlight w:val="none"/>
                <w:lang w:val="en-US" w:eastAsia="zh-CN"/>
              </w:rPr>
            </w:pPr>
            <w:r>
              <w:rPr>
                <w:rFonts w:hint="eastAsia" w:cs="Times New Roman"/>
                <w:b w:val="0"/>
                <w:bCs w:val="0"/>
                <w:color w:val="auto"/>
                <w:sz w:val="24"/>
                <w:highlight w:val="none"/>
                <w:lang w:val="en-US" w:eastAsia="zh-CN"/>
              </w:rPr>
              <w:t>（2）危险废物</w:t>
            </w:r>
          </w:p>
          <w:p w14:paraId="18BB0CA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highlight w:val="none"/>
                <w:lang w:val="en-US" w:eastAsia="zh-CN"/>
              </w:rPr>
            </w:pPr>
            <w:r>
              <w:rPr>
                <w:rFonts w:hint="eastAsia" w:ascii="Times New Roman" w:hAnsi="Times New Roman" w:eastAsia="宋体" w:cs="Times New Roman"/>
                <w:b w:val="0"/>
                <w:bCs w:val="0"/>
                <w:color w:val="auto"/>
                <w:sz w:val="24"/>
                <w:highlight w:val="none"/>
                <w:lang w:val="en-US" w:eastAsia="zh-CN"/>
              </w:rPr>
              <w:t>建设单位</w:t>
            </w:r>
            <w:r>
              <w:rPr>
                <w:rFonts w:hint="eastAsia" w:cs="Times New Roman"/>
                <w:b w:val="0"/>
                <w:bCs w:val="0"/>
                <w:color w:val="auto"/>
                <w:sz w:val="24"/>
                <w:highlight w:val="none"/>
                <w:lang w:val="en-US" w:eastAsia="zh-CN"/>
              </w:rPr>
              <w:t>现有工程</w:t>
            </w:r>
            <w:r>
              <w:rPr>
                <w:rFonts w:hint="eastAsia" w:ascii="Times New Roman" w:hAnsi="Times New Roman" w:eastAsia="宋体" w:cs="Times New Roman"/>
                <w:b w:val="0"/>
                <w:bCs w:val="0"/>
                <w:color w:val="auto"/>
                <w:sz w:val="24"/>
                <w:highlight w:val="none"/>
                <w:lang w:val="en-US" w:eastAsia="zh-CN"/>
              </w:rPr>
              <w:t>于</w:t>
            </w:r>
            <w:r>
              <w:rPr>
                <w:rFonts w:hint="eastAsia" w:cs="Times New Roman"/>
                <w:b w:val="0"/>
                <w:bCs w:val="0"/>
                <w:color w:val="auto"/>
                <w:sz w:val="24"/>
                <w:highlight w:val="none"/>
                <w:lang w:val="en-US" w:eastAsia="zh-CN"/>
              </w:rPr>
              <w:t>2#</w:t>
            </w:r>
            <w:r>
              <w:rPr>
                <w:rFonts w:hint="eastAsia" w:ascii="Times New Roman" w:hAnsi="Times New Roman" w:eastAsia="宋体" w:cs="Times New Roman"/>
                <w:b w:val="0"/>
                <w:bCs w:val="0"/>
                <w:color w:val="auto"/>
                <w:sz w:val="24"/>
                <w:highlight w:val="none"/>
                <w:lang w:val="en-US" w:eastAsia="zh-CN"/>
              </w:rPr>
              <w:t>厂房</w:t>
            </w:r>
            <w:r>
              <w:rPr>
                <w:rFonts w:hint="eastAsia" w:cs="Times New Roman"/>
                <w:b w:val="0"/>
                <w:bCs w:val="0"/>
                <w:color w:val="auto"/>
                <w:sz w:val="24"/>
                <w:highlight w:val="none"/>
                <w:lang w:val="en-US" w:eastAsia="zh-CN"/>
              </w:rPr>
              <w:t>1F东侧</w:t>
            </w:r>
            <w:r>
              <w:rPr>
                <w:rFonts w:hint="default" w:ascii="Times New Roman" w:hAnsi="Times New Roman" w:eastAsia="宋体" w:cs="Times New Roman"/>
                <w:b w:val="0"/>
                <w:bCs w:val="0"/>
                <w:color w:val="auto"/>
                <w:sz w:val="24"/>
                <w:highlight w:val="none"/>
                <w:lang w:val="en-US" w:eastAsia="zh-CN"/>
              </w:rPr>
              <w:t>建</w:t>
            </w:r>
            <w:r>
              <w:rPr>
                <w:rFonts w:hint="eastAsia" w:cs="Times New Roman"/>
                <w:b w:val="0"/>
                <w:bCs w:val="0"/>
                <w:color w:val="auto"/>
                <w:sz w:val="24"/>
                <w:highlight w:val="none"/>
                <w:lang w:val="en-US" w:eastAsia="zh-CN"/>
              </w:rPr>
              <w:t>设</w:t>
            </w:r>
            <w:r>
              <w:rPr>
                <w:rFonts w:hint="default" w:ascii="Times New Roman" w:hAnsi="Times New Roman" w:eastAsia="宋体" w:cs="Times New Roman"/>
                <w:b w:val="0"/>
                <w:bCs w:val="0"/>
                <w:color w:val="auto"/>
                <w:sz w:val="24"/>
                <w:highlight w:val="none"/>
                <w:lang w:val="en-US" w:eastAsia="zh-CN"/>
              </w:rPr>
              <w:t>1个</w:t>
            </w:r>
            <w:r>
              <w:rPr>
                <w:rFonts w:hint="eastAsia" w:cs="Times New Roman"/>
                <w:b w:val="0"/>
                <w:bCs w:val="0"/>
                <w:color w:val="auto"/>
                <w:sz w:val="24"/>
                <w:highlight w:val="none"/>
                <w:lang w:val="en-US" w:eastAsia="zh-CN"/>
              </w:rPr>
              <w:t>20</w:t>
            </w:r>
            <w:r>
              <w:rPr>
                <w:rFonts w:hint="eastAsia" w:ascii="Times New Roman" w:hAnsi="Times New Roman" w:eastAsia="宋体" w:cs="Times New Roman"/>
                <w:b w:val="0"/>
                <w:bCs w:val="0"/>
                <w:color w:val="auto"/>
                <w:sz w:val="24"/>
                <w:highlight w:val="none"/>
                <w:lang w:val="en-US" w:eastAsia="zh-CN"/>
              </w:rPr>
              <w:t>m</w:t>
            </w:r>
            <w:r>
              <w:rPr>
                <w:rFonts w:hint="eastAsia" w:ascii="Times New Roman" w:hAnsi="Times New Roman" w:eastAsia="宋体" w:cs="Times New Roman"/>
                <w:b w:val="0"/>
                <w:bCs w:val="0"/>
                <w:color w:val="auto"/>
                <w:sz w:val="24"/>
                <w:highlight w:val="none"/>
                <w:vertAlign w:val="superscript"/>
                <w:lang w:val="en-US" w:eastAsia="zh-CN"/>
              </w:rPr>
              <w:t>2</w:t>
            </w:r>
            <w:r>
              <w:rPr>
                <w:rFonts w:hint="default" w:ascii="Times New Roman" w:hAnsi="Times New Roman" w:eastAsia="宋体" w:cs="Times New Roman"/>
                <w:b w:val="0"/>
                <w:bCs w:val="0"/>
                <w:color w:val="auto"/>
                <w:sz w:val="24"/>
                <w:highlight w:val="none"/>
                <w:lang w:val="en-US" w:eastAsia="zh-CN"/>
              </w:rPr>
              <w:t>危险废物暂存间，对厂区内产生的危险废物进行暂存</w:t>
            </w:r>
            <w:r>
              <w:rPr>
                <w:rFonts w:hint="eastAsia" w:cs="Times New Roman"/>
                <w:b w:val="0"/>
                <w:bCs w:val="0"/>
                <w:color w:val="auto"/>
                <w:sz w:val="24"/>
                <w:highlight w:val="none"/>
                <w:lang w:val="en-US" w:eastAsia="zh-CN"/>
              </w:rPr>
              <w:t>，危废暂存间收集暂存能力约10t，</w:t>
            </w:r>
            <w:r>
              <w:rPr>
                <w:rFonts w:hint="default" w:ascii="Times New Roman" w:hAnsi="Times New Roman" w:eastAsia="宋体" w:cs="Times New Roman"/>
                <w:b w:val="0"/>
                <w:bCs w:val="0"/>
                <w:color w:val="auto"/>
                <w:sz w:val="24"/>
                <w:highlight w:val="none"/>
                <w:lang w:val="en-US" w:eastAsia="zh-CN"/>
              </w:rPr>
              <w:t>危废暂存间</w:t>
            </w:r>
            <w:r>
              <w:rPr>
                <w:rFonts w:hint="eastAsia" w:cs="Times New Roman"/>
                <w:b w:val="0"/>
                <w:bCs w:val="0"/>
                <w:color w:val="auto"/>
                <w:sz w:val="24"/>
                <w:highlight w:val="none"/>
                <w:lang w:val="en-US" w:eastAsia="zh-CN"/>
              </w:rPr>
              <w:t>建设符合</w:t>
            </w:r>
            <w:r>
              <w:rPr>
                <w:rFonts w:hint="default" w:ascii="Times New Roman" w:hAnsi="Times New Roman" w:eastAsia="宋体" w:cs="Times New Roman"/>
                <w:b w:val="0"/>
                <w:bCs w:val="0"/>
                <w:color w:val="auto"/>
                <w:sz w:val="24"/>
                <w:highlight w:val="none"/>
                <w:lang w:val="en-US" w:eastAsia="zh-CN"/>
              </w:rPr>
              <w:t>《危险废物贮存污染控制标准》（GB18597-2023）。</w:t>
            </w:r>
          </w:p>
          <w:p w14:paraId="4E852DE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s="Times New Roman"/>
                <w:b w:val="0"/>
                <w:bCs w:val="0"/>
                <w:color w:val="auto"/>
                <w:sz w:val="24"/>
                <w:highlight w:val="none"/>
                <w:lang w:val="en-US" w:eastAsia="zh-CN"/>
              </w:rPr>
            </w:pPr>
            <w:r>
              <w:rPr>
                <w:rFonts w:hint="eastAsia" w:cs="Times New Roman"/>
                <w:b w:val="0"/>
                <w:bCs w:val="0"/>
                <w:color w:val="auto"/>
                <w:sz w:val="24"/>
                <w:highlight w:val="none"/>
                <w:lang w:val="en-US" w:eastAsia="zh-CN"/>
              </w:rPr>
              <w:t>项目全厂危废产生量约为0.8t/a，危险废物需定期委托</w:t>
            </w:r>
            <w:r>
              <w:rPr>
                <w:rFonts w:hint="default" w:ascii="Times New Roman" w:hAnsi="Times New Roman" w:eastAsia="宋体" w:cs="Times New Roman"/>
                <w:b w:val="0"/>
                <w:bCs w:val="0"/>
                <w:color w:val="auto"/>
                <w:sz w:val="24"/>
                <w:highlight w:val="none"/>
                <w:lang w:val="en-US" w:eastAsia="zh-CN"/>
              </w:rPr>
              <w:t>资质单位处置</w:t>
            </w:r>
            <w:r>
              <w:rPr>
                <w:rFonts w:hint="eastAsia" w:cs="Times New Roman"/>
                <w:b w:val="0"/>
                <w:bCs w:val="0"/>
                <w:color w:val="auto"/>
                <w:sz w:val="24"/>
                <w:highlight w:val="none"/>
                <w:lang w:val="en-US" w:eastAsia="zh-CN"/>
              </w:rPr>
              <w:t>，且最长暂存期限一般不得超过1年，因此危废暂存间能够满足依托需求。</w:t>
            </w:r>
          </w:p>
          <w:p w14:paraId="6AC18E8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①危险废物收集与包装</w:t>
            </w:r>
          </w:p>
          <w:p w14:paraId="5513BED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危险废物应根据《危废收集、贮存、运输控制技术规范》（HJ2025-2012）第5条的规定做好收集工作，危险废物的收集容器应在醒目位置贴有危险废物标签，在收集场所醒目的地方设置危险废物警告标识。危险废物标签应标明以下信息：主要化学成分或危险废物名称、数量、物理形态、危险类别、安全措施以及危险废物产生单位名称、地址、联系人及电话。</w:t>
            </w:r>
          </w:p>
          <w:p w14:paraId="2CC06BF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根据危险废物的性质和形态，可采用不同大小和不同材质的容器进行包装，所有包装和容器必须满足相应强度要求，完好无损，设置危险废物识别标志，并经过周密检查，严防在装载、搬移或运输途中出现渗漏、溢出、抛洒或挥发等情况。</w:t>
            </w:r>
          </w:p>
          <w:p w14:paraId="4B43A88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②危险废物暂存间建设要求</w:t>
            </w:r>
          </w:p>
          <w:p w14:paraId="67E7C9A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项目按照《危险废物贮存污染控制标准》（GB18597-2023）、《建设项目危险废物环境影响评价指南》（2017.10.1实施）等文件、技术规范要求，在厂区设置一座危险废物贮存间，其容积应满足本项目产生的危险废物的暂存需求。</w:t>
            </w:r>
          </w:p>
          <w:p w14:paraId="78528C4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③危险废物管理计划和管理台账</w:t>
            </w:r>
          </w:p>
          <w:p w14:paraId="6CC6A13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根据《危险废物管理计划和管理台账制定技术导则》（HJ1259-2022），产生危险废物的单位应按规定的分类管理要求，制定危险废物管理计划，内容应当包括减少危险废物产生量和降低危险废物危害性的措施以及危险废物贮存、利用、处置措施；建立危险废物管理台账，如实记录危险废物的种类、产生量、流向、贮存、利用、处置等相关信息；通过国家危险废物信息管理系统向所在地生态环境主管部门备案危险废物管理计划，申报危险废物有关资料。</w:t>
            </w:r>
          </w:p>
          <w:p w14:paraId="2ECAF7C4">
            <w:pPr>
              <w:widowControl/>
              <w:numPr>
                <w:ilvl w:val="0"/>
                <w:numId w:val="0"/>
              </w:numPr>
              <w:spacing w:line="360" w:lineRule="auto"/>
              <w:ind w:left="0" w:leftChars="0" w:firstLine="480" w:firstLineChars="200"/>
              <w:rPr>
                <w:rFonts w:hint="eastAsia" w:cs="Times New Roman"/>
                <w:color w:val="auto"/>
                <w:sz w:val="24"/>
                <w:highlight w:val="none"/>
                <w:lang w:eastAsia="zh-CN"/>
              </w:rPr>
            </w:pPr>
            <w:r>
              <w:rPr>
                <w:rFonts w:hint="eastAsia" w:ascii="Times New Roman" w:hAnsi="Times New Roman" w:eastAsia="宋体" w:cs="Times New Roman"/>
                <w:color w:val="auto"/>
                <w:kern w:val="2"/>
                <w:sz w:val="24"/>
                <w:szCs w:val="24"/>
                <w:lang w:val="en-US" w:eastAsia="zh-CN" w:bidi="ar-SA"/>
              </w:rPr>
              <w:t>（</w:t>
            </w:r>
            <w:r>
              <w:rPr>
                <w:rFonts w:hint="eastAsia" w:cs="Times New Roman"/>
                <w:color w:val="auto"/>
                <w:kern w:val="2"/>
                <w:sz w:val="24"/>
                <w:szCs w:val="24"/>
                <w:lang w:val="en-US" w:eastAsia="zh-CN" w:bidi="ar-SA"/>
              </w:rPr>
              <w:t>3</w:t>
            </w:r>
            <w:r>
              <w:rPr>
                <w:rFonts w:hint="eastAsia" w:ascii="Times New Roman" w:hAnsi="Times New Roman" w:eastAsia="宋体" w:cs="Times New Roman"/>
                <w:color w:val="auto"/>
                <w:kern w:val="2"/>
                <w:sz w:val="24"/>
                <w:szCs w:val="24"/>
                <w:lang w:val="en-US" w:eastAsia="zh-CN" w:bidi="ar-SA"/>
              </w:rPr>
              <w:t>）</w:t>
            </w:r>
            <w:r>
              <w:rPr>
                <w:rFonts w:hint="eastAsia" w:cs="Times New Roman"/>
                <w:color w:val="auto"/>
                <w:sz w:val="24"/>
                <w:highlight w:val="none"/>
                <w:lang w:eastAsia="zh-CN"/>
              </w:rPr>
              <w:t>生活垃圾</w:t>
            </w:r>
          </w:p>
          <w:p w14:paraId="28B83BB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生活垃圾极易腐败发臭，必须按照垃圾分类要求对生活垃圾进行分类，定点收集，及时清运或处理，做到日产日清。项目在厂区分别设置一些垃圾收集桶并配备专职的清洁人员和必要的工具，负责清扫厂区，维持清洁卫生，生活垃圾收集后委托当地环卫部门统一清运。</w:t>
            </w:r>
          </w:p>
          <w:p w14:paraId="4E89B27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综上所述，本项目固体废物严格相关管理规定执行，本着</w:t>
            </w:r>
            <w:r>
              <w:rPr>
                <w:rFonts w:hint="eastAsia" w:ascii="Times New Roman" w:hAnsi="Times New Roman" w:eastAsia="宋体" w:cs="Times New Roman"/>
                <w:b w:val="0"/>
                <w:bCs w:val="0"/>
                <w:color w:val="auto"/>
                <w:sz w:val="24"/>
                <w:highlight w:val="none"/>
                <w:lang w:val="en-US" w:eastAsia="zh-CN"/>
              </w:rPr>
              <w:t>“</w:t>
            </w:r>
            <w:r>
              <w:rPr>
                <w:rFonts w:hint="default" w:ascii="Times New Roman" w:hAnsi="Times New Roman" w:eastAsia="宋体" w:cs="Times New Roman"/>
                <w:b w:val="0"/>
                <w:bCs w:val="0"/>
                <w:color w:val="auto"/>
                <w:sz w:val="24"/>
                <w:highlight w:val="none"/>
                <w:lang w:val="en-US" w:eastAsia="zh-CN"/>
              </w:rPr>
              <w:t>无害化、减量化、资源化</w:t>
            </w:r>
            <w:r>
              <w:rPr>
                <w:rFonts w:hint="eastAsia" w:ascii="Times New Roman" w:hAnsi="Times New Roman" w:eastAsia="宋体" w:cs="Times New Roman"/>
                <w:b w:val="0"/>
                <w:bCs w:val="0"/>
                <w:color w:val="auto"/>
                <w:sz w:val="24"/>
                <w:highlight w:val="none"/>
                <w:lang w:val="en-US" w:eastAsia="zh-CN"/>
              </w:rPr>
              <w:t>”</w:t>
            </w:r>
            <w:r>
              <w:rPr>
                <w:rFonts w:hint="default" w:ascii="Times New Roman" w:hAnsi="Times New Roman" w:eastAsia="宋体" w:cs="Times New Roman"/>
                <w:b w:val="0"/>
                <w:bCs w:val="0"/>
                <w:color w:val="auto"/>
                <w:sz w:val="24"/>
                <w:highlight w:val="none"/>
                <w:lang w:val="en-US" w:eastAsia="zh-CN"/>
              </w:rPr>
              <w:t>的原则，固体废物基本可以得到综合利用和有效处置，对环境造成的影响较小。</w:t>
            </w:r>
          </w:p>
          <w:p w14:paraId="47D09BDF">
            <w:pPr>
              <w:keepNext w:val="0"/>
              <w:keepLines w:val="0"/>
              <w:pageBreakBefore w:val="0"/>
              <w:widowControl w:val="0"/>
              <w:kinsoku/>
              <w:wordWrap/>
              <w:overflowPunct/>
              <w:topLinePunct w:val="0"/>
              <w:autoSpaceDE/>
              <w:autoSpaceDN/>
              <w:bidi w:val="0"/>
              <w:adjustRightInd/>
              <w:snapToGrid/>
              <w:spacing w:line="360" w:lineRule="auto"/>
              <w:ind w:firstLine="120" w:firstLineChars="50"/>
              <w:textAlignment w:val="auto"/>
              <w:rPr>
                <w:rFonts w:hint="default" w:ascii="Times New Roman" w:hAnsi="Times New Roman" w:eastAsia="宋体" w:cs="Times New Roman"/>
                <w:b/>
                <w:bCs w:val="0"/>
                <w:color w:val="auto"/>
                <w:kern w:val="2"/>
                <w:sz w:val="24"/>
                <w:szCs w:val="24"/>
                <w:highlight w:val="none"/>
                <w:lang w:val="en-US" w:eastAsia="zh-CN" w:bidi="ar-SA"/>
              </w:rPr>
            </w:pPr>
            <w:r>
              <w:rPr>
                <w:rFonts w:hint="default" w:ascii="Times New Roman" w:hAnsi="Times New Roman" w:eastAsia="宋体" w:cs="Times New Roman"/>
                <w:b/>
                <w:bCs w:val="0"/>
                <w:color w:val="auto"/>
                <w:kern w:val="2"/>
                <w:sz w:val="24"/>
                <w:szCs w:val="24"/>
                <w:highlight w:val="none"/>
                <w:lang w:val="en-US" w:eastAsia="zh-CN" w:bidi="ar-SA"/>
              </w:rPr>
              <w:t>4.2.</w:t>
            </w:r>
            <w:r>
              <w:rPr>
                <w:rFonts w:hint="eastAsia" w:ascii="Times New Roman" w:hAnsi="Times New Roman" w:eastAsia="宋体" w:cs="Times New Roman"/>
                <w:b/>
                <w:bCs w:val="0"/>
                <w:color w:val="auto"/>
                <w:kern w:val="2"/>
                <w:sz w:val="24"/>
                <w:szCs w:val="24"/>
                <w:highlight w:val="none"/>
                <w:lang w:val="en-US" w:eastAsia="zh-CN" w:bidi="ar-SA"/>
              </w:rPr>
              <w:t>5地下水、土壤环境影响分析</w:t>
            </w:r>
          </w:p>
          <w:p w14:paraId="63056ED6">
            <w:pPr>
              <w:keepNext w:val="0"/>
              <w:keepLines w:val="0"/>
              <w:widowControl/>
              <w:suppressLineNumbers w:val="0"/>
              <w:spacing w:line="360" w:lineRule="auto"/>
              <w:ind w:firstLine="480" w:firstLineChars="200"/>
              <w:jc w:val="both"/>
              <w:rPr>
                <w:rFonts w:hint="default" w:ascii="Times New Roman" w:hAnsi="Times New Roman" w:eastAsia="宋体" w:cs="Times New Roman"/>
                <w:color w:val="auto"/>
                <w:sz w:val="24"/>
              </w:rPr>
            </w:pPr>
            <w:r>
              <w:rPr>
                <w:rFonts w:hint="default" w:ascii="Times New Roman" w:hAnsi="Times New Roman" w:eastAsia="宋体" w:cs="Times New Roman"/>
                <w:color w:val="auto"/>
                <w:kern w:val="0"/>
                <w:sz w:val="24"/>
                <w:szCs w:val="24"/>
                <w:lang w:val="en-US" w:eastAsia="zh-CN" w:bidi="ar"/>
              </w:rPr>
              <w:t>项目建成后厂区地面采取一般地面硬化处理，贮存场所及生产设施基本不存在污染地下水及土壤的途径。对照《环境影响评价技术导则地下水环境》（HJ610-2016）表7中地下水污染防渗分区参照表，危废暂存间为重点防渗区，防渗技术要求满足等效黏土防渗层Mb≥6.0m，K≤1×10</w:t>
            </w:r>
            <w:r>
              <w:rPr>
                <w:rFonts w:hint="eastAsia" w:cs="Times New Roman"/>
                <w:color w:val="auto"/>
                <w:kern w:val="0"/>
                <w:sz w:val="24"/>
                <w:szCs w:val="24"/>
                <w:vertAlign w:val="superscript"/>
                <w:lang w:val="en-US" w:eastAsia="zh-CN" w:bidi="ar"/>
              </w:rPr>
              <w:t>-7</w:t>
            </w:r>
            <w:r>
              <w:rPr>
                <w:rFonts w:hint="default" w:ascii="Times New Roman" w:hAnsi="Times New Roman" w:eastAsia="宋体" w:cs="Times New Roman"/>
                <w:color w:val="auto"/>
                <w:kern w:val="0"/>
                <w:sz w:val="24"/>
                <w:szCs w:val="24"/>
                <w:lang w:val="en-US" w:eastAsia="zh-CN" w:bidi="ar"/>
              </w:rPr>
              <w:t>cm/s。</w:t>
            </w:r>
          </w:p>
          <w:p w14:paraId="764C23E6">
            <w:pPr>
              <w:keepNext w:val="0"/>
              <w:keepLines w:val="0"/>
              <w:widowControl/>
              <w:suppressLineNumbers w:val="0"/>
              <w:spacing w:line="360" w:lineRule="auto"/>
              <w:ind w:firstLine="480" w:firstLineChars="200"/>
              <w:jc w:val="both"/>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color w:val="auto"/>
                <w:kern w:val="0"/>
                <w:sz w:val="24"/>
                <w:szCs w:val="24"/>
                <w:lang w:val="en-US" w:eastAsia="zh-CN" w:bidi="ar"/>
              </w:rPr>
              <w:t>综上，项目经采取上述分区防渗措施后，对区域地下水、土壤环境影响较小。项目运营后对区域地下水、土壤环境基本不影响</w:t>
            </w:r>
            <w:r>
              <w:rPr>
                <w:rFonts w:hint="default" w:ascii="Times New Roman" w:hAnsi="Times New Roman" w:eastAsia="宋体" w:cs="Times New Roman"/>
                <w:b w:val="0"/>
                <w:bCs w:val="0"/>
                <w:color w:val="auto"/>
                <w:sz w:val="24"/>
                <w:highlight w:val="none"/>
                <w:lang w:val="en-US" w:eastAsia="zh-CN"/>
              </w:rPr>
              <w:t>。</w:t>
            </w:r>
          </w:p>
          <w:p w14:paraId="1073F9EA">
            <w:pPr>
              <w:keepNext w:val="0"/>
              <w:keepLines w:val="0"/>
              <w:pageBreakBefore w:val="0"/>
              <w:widowControl w:val="0"/>
              <w:kinsoku/>
              <w:wordWrap/>
              <w:overflowPunct/>
              <w:topLinePunct w:val="0"/>
              <w:autoSpaceDE/>
              <w:autoSpaceDN/>
              <w:bidi w:val="0"/>
              <w:adjustRightInd/>
              <w:snapToGrid/>
              <w:spacing w:line="360" w:lineRule="auto"/>
              <w:ind w:firstLine="120" w:firstLineChars="50"/>
              <w:jc w:val="both"/>
              <w:textAlignment w:val="auto"/>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bCs w:val="0"/>
                <w:color w:val="auto"/>
                <w:kern w:val="2"/>
                <w:sz w:val="24"/>
                <w:szCs w:val="24"/>
                <w:highlight w:val="none"/>
                <w:lang w:val="en-US" w:eastAsia="zh-CN" w:bidi="ar-SA"/>
              </w:rPr>
              <w:t>4.2.</w:t>
            </w:r>
            <w:r>
              <w:rPr>
                <w:rFonts w:hint="eastAsia" w:ascii="Times New Roman" w:hAnsi="Times New Roman" w:eastAsia="宋体" w:cs="Times New Roman"/>
                <w:b/>
                <w:bCs w:val="0"/>
                <w:color w:val="auto"/>
                <w:kern w:val="2"/>
                <w:sz w:val="24"/>
                <w:szCs w:val="24"/>
                <w:highlight w:val="none"/>
                <w:lang w:val="en-US" w:eastAsia="zh-CN" w:bidi="ar-SA"/>
              </w:rPr>
              <w:t>6环境风险分析</w:t>
            </w:r>
          </w:p>
          <w:p w14:paraId="4B8D8738">
            <w:pPr>
              <w:keepNext w:val="0"/>
              <w:keepLines w:val="0"/>
              <w:pageBreakBefore w:val="0"/>
              <w:widowControl w:val="0"/>
              <w:kinsoku/>
              <w:wordWrap/>
              <w:overflowPunct/>
              <w:topLinePunct w:val="0"/>
              <w:autoSpaceDE/>
              <w:autoSpaceDN/>
              <w:bidi w:val="0"/>
              <w:adjustRightInd/>
              <w:snapToGrid/>
              <w:spacing w:line="360" w:lineRule="auto"/>
              <w:ind w:firstLine="241" w:firstLineChars="100"/>
              <w:jc w:val="both"/>
              <w:textAlignment w:val="auto"/>
              <w:rPr>
                <w:rFonts w:hint="default" w:ascii="Times New Roman" w:hAnsi="Times New Roman" w:eastAsia="宋体" w:cs="Times New Roman"/>
                <w:b/>
                <w:bCs w:val="0"/>
                <w:color w:val="auto"/>
                <w:kern w:val="2"/>
                <w:sz w:val="24"/>
                <w:szCs w:val="24"/>
                <w:highlight w:val="none"/>
                <w:lang w:val="en-US" w:eastAsia="zh-CN" w:bidi="ar-SA"/>
              </w:rPr>
            </w:pPr>
            <w:r>
              <w:rPr>
                <w:rFonts w:hint="eastAsia" w:ascii="Times New Roman" w:hAnsi="Times New Roman" w:eastAsia="宋体" w:cs="Times New Roman"/>
                <w:b/>
                <w:bCs w:val="0"/>
                <w:color w:val="auto"/>
                <w:kern w:val="2"/>
                <w:sz w:val="24"/>
                <w:szCs w:val="24"/>
                <w:highlight w:val="none"/>
                <w:lang w:val="en-US" w:eastAsia="zh-CN" w:bidi="ar-SA"/>
              </w:rPr>
              <w:t>4.2.6.1环境风险潜势初判</w:t>
            </w:r>
          </w:p>
          <w:p w14:paraId="19A25B1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kern w:val="2"/>
                <w:sz w:val="24"/>
                <w:szCs w:val="24"/>
                <w:highlight w:val="none"/>
                <w:lang w:val="en-US" w:eastAsia="zh-CN" w:bidi="ar-SA"/>
              </w:rPr>
              <w:t>根据《企业突发环境事件风险分级方法》（HJ941-2018）附录A中突发环境事件风险物质及临界量清单和《建设项目环境风险评价技术导则》（HJ169-2018）附录B中的</w:t>
            </w:r>
            <w:r>
              <w:rPr>
                <w:rFonts w:hint="eastAsia" w:ascii="Times New Roman" w:hAnsi="Times New Roman" w:eastAsia="宋体" w:cs="Times New Roman"/>
                <w:b w:val="0"/>
                <w:bCs/>
                <w:color w:val="auto"/>
                <w:kern w:val="2"/>
                <w:sz w:val="24"/>
                <w:szCs w:val="24"/>
                <w:highlight w:val="none"/>
                <w:lang w:val="en-US" w:eastAsia="zh-CN" w:bidi="ar-SA"/>
              </w:rPr>
              <w:t>“</w:t>
            </w:r>
            <w:r>
              <w:rPr>
                <w:rFonts w:hint="default" w:ascii="Times New Roman" w:hAnsi="Times New Roman" w:eastAsia="宋体" w:cs="Times New Roman"/>
                <w:b w:val="0"/>
                <w:bCs/>
                <w:color w:val="auto"/>
                <w:kern w:val="2"/>
                <w:sz w:val="24"/>
                <w:szCs w:val="24"/>
                <w:highlight w:val="none"/>
                <w:lang w:val="en-US" w:eastAsia="zh-CN" w:bidi="ar-SA"/>
              </w:rPr>
              <w:t>重点关注的危险物质及临界量</w:t>
            </w:r>
            <w:r>
              <w:rPr>
                <w:rFonts w:hint="eastAsia" w:ascii="Times New Roman" w:hAnsi="Times New Roman" w:eastAsia="宋体" w:cs="Times New Roman"/>
                <w:b w:val="0"/>
                <w:bCs/>
                <w:color w:val="auto"/>
                <w:kern w:val="2"/>
                <w:sz w:val="24"/>
                <w:szCs w:val="24"/>
                <w:highlight w:val="none"/>
                <w:lang w:val="en-US" w:eastAsia="zh-CN" w:bidi="ar-SA"/>
              </w:rPr>
              <w:t>”</w:t>
            </w:r>
            <w:r>
              <w:rPr>
                <w:rFonts w:hint="default" w:ascii="Times New Roman" w:hAnsi="Times New Roman" w:eastAsia="宋体" w:cs="Times New Roman"/>
                <w:b w:val="0"/>
                <w:bCs/>
                <w:color w:val="auto"/>
                <w:kern w:val="2"/>
                <w:sz w:val="24"/>
                <w:szCs w:val="24"/>
                <w:highlight w:val="none"/>
                <w:lang w:val="en-US" w:eastAsia="zh-CN" w:bidi="ar-SA"/>
              </w:rPr>
              <w:t>，本</w:t>
            </w:r>
            <w:r>
              <w:rPr>
                <w:rFonts w:hint="eastAsia" w:cs="Times New Roman"/>
                <w:b w:val="0"/>
                <w:bCs/>
                <w:color w:val="auto"/>
                <w:kern w:val="2"/>
                <w:sz w:val="24"/>
                <w:szCs w:val="24"/>
                <w:highlight w:val="none"/>
                <w:lang w:val="en-US" w:eastAsia="zh-CN" w:bidi="ar-SA"/>
              </w:rPr>
              <w:t>次项目</w:t>
            </w:r>
            <w:r>
              <w:rPr>
                <w:rFonts w:hint="eastAsia" w:ascii="Times New Roman" w:hAnsi="Times New Roman" w:eastAsia="宋体" w:cs="Times New Roman"/>
                <w:b w:val="0"/>
                <w:bCs/>
                <w:color w:val="auto"/>
                <w:kern w:val="2"/>
                <w:sz w:val="24"/>
                <w:szCs w:val="24"/>
                <w:highlight w:val="none"/>
                <w:lang w:val="en-US" w:eastAsia="zh-CN" w:bidi="ar-SA"/>
              </w:rPr>
              <w:t>涉及</w:t>
            </w:r>
            <w:r>
              <w:rPr>
                <w:rFonts w:hint="default" w:ascii="Times New Roman" w:hAnsi="Times New Roman" w:eastAsia="宋体" w:cs="Times New Roman"/>
                <w:b w:val="0"/>
                <w:bCs/>
                <w:color w:val="auto"/>
                <w:kern w:val="2"/>
                <w:sz w:val="24"/>
                <w:szCs w:val="24"/>
                <w:highlight w:val="none"/>
                <w:lang w:val="en-US" w:eastAsia="zh-CN" w:bidi="ar-SA"/>
              </w:rPr>
              <w:t>风险物质</w:t>
            </w:r>
            <w:r>
              <w:rPr>
                <w:rFonts w:hint="eastAsia" w:ascii="Times New Roman" w:hAnsi="Times New Roman" w:eastAsia="宋体" w:cs="Times New Roman"/>
                <w:b w:val="0"/>
                <w:bCs/>
                <w:color w:val="auto"/>
                <w:kern w:val="2"/>
                <w:sz w:val="24"/>
                <w:szCs w:val="24"/>
                <w:highlight w:val="none"/>
                <w:lang w:val="en-US" w:eastAsia="zh-CN" w:bidi="ar-SA"/>
              </w:rPr>
              <w:t>主要为</w:t>
            </w:r>
            <w:r>
              <w:rPr>
                <w:rFonts w:hint="eastAsia" w:cs="Times New Roman"/>
                <w:b w:val="0"/>
                <w:bCs/>
                <w:color w:val="auto"/>
                <w:kern w:val="2"/>
                <w:sz w:val="24"/>
                <w:szCs w:val="24"/>
                <w:highlight w:val="none"/>
                <w:lang w:val="en-US" w:eastAsia="zh-CN" w:bidi="ar-SA"/>
              </w:rPr>
              <w:t>润滑油、柴油以及废润滑油、废柴油、脱脂清洗废液</w:t>
            </w:r>
            <w:r>
              <w:rPr>
                <w:rFonts w:hint="default" w:ascii="Times New Roman" w:hAnsi="Times New Roman" w:eastAsia="宋体" w:cs="Times New Roman"/>
                <w:b w:val="0"/>
                <w:bCs/>
                <w:color w:val="auto"/>
                <w:kern w:val="2"/>
                <w:sz w:val="24"/>
                <w:szCs w:val="24"/>
                <w:highlight w:val="none"/>
                <w:lang w:val="en-US" w:eastAsia="zh-CN" w:bidi="ar-SA"/>
              </w:rPr>
              <w:t>。风险物质数量及分布详见下表。</w:t>
            </w:r>
          </w:p>
          <w:p w14:paraId="15DE91DC">
            <w:pPr>
              <w:keepNext/>
              <w:keepLines/>
              <w:jc w:val="center"/>
              <w:outlineLvl w:val="1"/>
              <w:rPr>
                <w:rFonts w:ascii="Times New Roman" w:hAnsi="Times New Roman" w:cs="Times New Roman"/>
                <w:color w:val="auto"/>
                <w:highlight w:val="none"/>
                <w:lang w:val="en-US" w:eastAsia="zh-CN"/>
              </w:rPr>
            </w:pPr>
            <w:r>
              <w:rPr>
                <w:b/>
                <w:color w:val="auto"/>
                <w:szCs w:val="21"/>
                <w:lang w:val="en-US" w:eastAsia="zh-CN"/>
              </w:rPr>
              <w:t>表4.</w:t>
            </w:r>
            <w:r>
              <w:rPr>
                <w:rFonts w:hint="eastAsia"/>
                <w:b/>
                <w:color w:val="auto"/>
                <w:szCs w:val="21"/>
                <w:lang w:val="en-US" w:eastAsia="zh-CN"/>
              </w:rPr>
              <w:t>2</w:t>
            </w:r>
            <w:r>
              <w:rPr>
                <w:b/>
                <w:color w:val="auto"/>
                <w:szCs w:val="21"/>
                <w:lang w:val="en-US" w:eastAsia="zh-CN"/>
              </w:rPr>
              <w:t>-</w:t>
            </w:r>
            <w:r>
              <w:rPr>
                <w:rFonts w:hint="eastAsia"/>
                <w:b/>
                <w:color w:val="auto"/>
                <w:szCs w:val="21"/>
                <w:lang w:val="en-US" w:eastAsia="zh-CN"/>
              </w:rPr>
              <w:t>10</w:t>
            </w:r>
            <w:r>
              <w:rPr>
                <w:b/>
                <w:color w:val="auto"/>
                <w:szCs w:val="21"/>
                <w:lang w:val="en-US" w:eastAsia="zh-CN"/>
              </w:rPr>
              <w:t>物质的临界量与本项目暂存量一览表</w:t>
            </w:r>
          </w:p>
          <w:tbl>
            <w:tblPr>
              <w:tblStyle w:val="31"/>
              <w:tblW w:w="8096"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28"/>
              <w:gridCol w:w="1740"/>
              <w:gridCol w:w="1119"/>
              <w:gridCol w:w="1832"/>
              <w:gridCol w:w="1317"/>
              <w:gridCol w:w="1460"/>
            </w:tblGrid>
            <w:tr w14:paraId="3697F7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80" w:hRule="atLeast"/>
                <w:jc w:val="center"/>
              </w:trPr>
              <w:tc>
                <w:tcPr>
                  <w:tcW w:w="628" w:type="dxa"/>
                  <w:vAlign w:val="center"/>
                </w:tcPr>
                <w:p w14:paraId="36060F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bCs/>
                      <w:color w:val="auto"/>
                      <w:sz w:val="21"/>
                      <w:szCs w:val="21"/>
                      <w:highlight w:val="none"/>
                      <w:lang w:val="en-US" w:eastAsia="zh-CN" w:bidi="ar"/>
                    </w:rPr>
                  </w:pPr>
                  <w:r>
                    <w:rPr>
                      <w:rFonts w:hint="eastAsia"/>
                      <w:b/>
                      <w:bCs/>
                      <w:color w:val="auto"/>
                      <w:sz w:val="21"/>
                      <w:szCs w:val="21"/>
                      <w:highlight w:val="none"/>
                      <w:lang w:val="en-US" w:eastAsia="zh-CN" w:bidi="ar"/>
                    </w:rPr>
                    <w:t>序号</w:t>
                  </w:r>
                </w:p>
              </w:tc>
              <w:tc>
                <w:tcPr>
                  <w:tcW w:w="1740" w:type="dxa"/>
                  <w:vAlign w:val="center"/>
                </w:tcPr>
                <w:p w14:paraId="2FFC89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21"/>
                      <w:szCs w:val="21"/>
                      <w:highlight w:val="none"/>
                      <w:lang w:val="en-US" w:eastAsia="zh-CN" w:bidi="ar"/>
                    </w:rPr>
                  </w:pPr>
                  <w:r>
                    <w:rPr>
                      <w:rFonts w:hint="default" w:ascii="Times New Roman" w:hAnsi="Times New Roman" w:cs="Times New Roman"/>
                      <w:b/>
                      <w:bCs/>
                      <w:color w:val="auto"/>
                      <w:sz w:val="21"/>
                      <w:szCs w:val="21"/>
                      <w:highlight w:val="none"/>
                      <w:lang w:val="en-US" w:eastAsia="zh-CN" w:bidi="ar"/>
                    </w:rPr>
                    <w:t>危险物质名称</w:t>
                  </w:r>
                </w:p>
              </w:tc>
              <w:tc>
                <w:tcPr>
                  <w:tcW w:w="1119" w:type="dxa"/>
                  <w:vAlign w:val="center"/>
                </w:tcPr>
                <w:p w14:paraId="160B7D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21"/>
                      <w:szCs w:val="21"/>
                      <w:highlight w:val="none"/>
                      <w:lang w:val="en-US" w:eastAsia="zh-CN" w:bidi="ar"/>
                    </w:rPr>
                  </w:pPr>
                  <w:r>
                    <w:rPr>
                      <w:rFonts w:hint="default" w:ascii="Times New Roman" w:hAnsi="Times New Roman" w:cs="Times New Roman"/>
                      <w:b/>
                      <w:bCs/>
                      <w:color w:val="auto"/>
                      <w:sz w:val="21"/>
                      <w:szCs w:val="21"/>
                      <w:highlight w:val="none"/>
                      <w:lang w:val="en-US" w:eastAsia="zh-CN" w:bidi="ar"/>
                    </w:rPr>
                    <w:t>CAS号</w:t>
                  </w:r>
                </w:p>
              </w:tc>
              <w:tc>
                <w:tcPr>
                  <w:tcW w:w="1832" w:type="dxa"/>
                  <w:vAlign w:val="center"/>
                </w:tcPr>
                <w:p w14:paraId="34B3AC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21"/>
                      <w:szCs w:val="21"/>
                      <w:highlight w:val="none"/>
                      <w:lang w:val="en-US" w:eastAsia="zh-CN" w:bidi="ar"/>
                    </w:rPr>
                  </w:pPr>
                  <w:r>
                    <w:rPr>
                      <w:rFonts w:hint="default" w:ascii="Times New Roman" w:hAnsi="Times New Roman" w:cs="Times New Roman"/>
                      <w:b/>
                      <w:bCs/>
                      <w:color w:val="auto"/>
                      <w:sz w:val="21"/>
                      <w:szCs w:val="21"/>
                      <w:highlight w:val="none"/>
                      <w:lang w:val="en-US" w:eastAsia="zh-CN" w:bidi="ar"/>
                    </w:rPr>
                    <w:t>最大贮存量/</w:t>
                  </w:r>
                </w:p>
                <w:p w14:paraId="4D6E57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21"/>
                      <w:szCs w:val="21"/>
                      <w:highlight w:val="none"/>
                      <w:lang w:val="en-US" w:eastAsia="zh-CN" w:bidi="ar"/>
                    </w:rPr>
                  </w:pPr>
                  <w:r>
                    <w:rPr>
                      <w:rFonts w:hint="default" w:ascii="Times New Roman" w:hAnsi="Times New Roman" w:cs="Times New Roman"/>
                      <w:b/>
                      <w:bCs/>
                      <w:color w:val="auto"/>
                      <w:sz w:val="21"/>
                      <w:szCs w:val="21"/>
                      <w:highlight w:val="none"/>
                      <w:lang w:val="en-US" w:eastAsia="zh-CN" w:bidi="ar"/>
                    </w:rPr>
                    <w:t>最大在线量（t）</w:t>
                  </w:r>
                </w:p>
              </w:tc>
              <w:tc>
                <w:tcPr>
                  <w:tcW w:w="1317" w:type="dxa"/>
                  <w:vAlign w:val="center"/>
                </w:tcPr>
                <w:p w14:paraId="7F614B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21"/>
                      <w:szCs w:val="21"/>
                      <w:highlight w:val="none"/>
                      <w:lang w:val="en-US" w:eastAsia="zh-CN" w:bidi="ar"/>
                    </w:rPr>
                  </w:pPr>
                  <w:r>
                    <w:rPr>
                      <w:rFonts w:hint="default" w:ascii="Times New Roman" w:hAnsi="Times New Roman" w:cs="Times New Roman"/>
                      <w:b/>
                      <w:bCs/>
                      <w:color w:val="auto"/>
                      <w:sz w:val="21"/>
                      <w:szCs w:val="21"/>
                      <w:highlight w:val="none"/>
                      <w:lang w:val="en-US" w:eastAsia="zh-CN" w:bidi="ar"/>
                    </w:rPr>
                    <w:t>临界量（t）</w:t>
                  </w:r>
                </w:p>
              </w:tc>
              <w:tc>
                <w:tcPr>
                  <w:tcW w:w="1460" w:type="dxa"/>
                  <w:vAlign w:val="center"/>
                </w:tcPr>
                <w:p w14:paraId="5F1C0F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21"/>
                      <w:szCs w:val="21"/>
                      <w:highlight w:val="none"/>
                      <w:lang w:val="en-US" w:eastAsia="zh-CN" w:bidi="ar"/>
                    </w:rPr>
                  </w:pPr>
                  <w:r>
                    <w:rPr>
                      <w:rFonts w:hint="default" w:ascii="Times New Roman" w:hAnsi="Times New Roman" w:cs="Times New Roman"/>
                      <w:b/>
                      <w:bCs/>
                      <w:color w:val="auto"/>
                      <w:sz w:val="21"/>
                      <w:szCs w:val="21"/>
                      <w:highlight w:val="none"/>
                      <w:lang w:val="en-US" w:eastAsia="zh-CN" w:bidi="ar"/>
                    </w:rPr>
                    <w:t>临界量比值Q</w:t>
                  </w:r>
                </w:p>
              </w:tc>
            </w:tr>
            <w:tr w14:paraId="419A93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60" w:hRule="atLeast"/>
                <w:jc w:val="center"/>
              </w:trPr>
              <w:tc>
                <w:tcPr>
                  <w:tcW w:w="628" w:type="dxa"/>
                  <w:vAlign w:val="center"/>
                </w:tcPr>
                <w:p w14:paraId="18C3A1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val="0"/>
                      <w:bCs w:val="0"/>
                      <w:color w:val="auto"/>
                      <w:sz w:val="21"/>
                      <w:szCs w:val="21"/>
                      <w:highlight w:val="none"/>
                      <w:lang w:val="en-US" w:eastAsia="zh-CN" w:bidi="ar"/>
                    </w:rPr>
                  </w:pPr>
                  <w:r>
                    <w:rPr>
                      <w:rFonts w:hint="eastAsia"/>
                      <w:b w:val="0"/>
                      <w:bCs w:val="0"/>
                      <w:color w:val="auto"/>
                      <w:sz w:val="21"/>
                      <w:szCs w:val="21"/>
                      <w:highlight w:val="none"/>
                      <w:lang w:val="en-US" w:eastAsia="zh-CN" w:bidi="ar"/>
                    </w:rPr>
                    <w:t>1</w:t>
                  </w:r>
                </w:p>
              </w:tc>
              <w:tc>
                <w:tcPr>
                  <w:tcW w:w="1740" w:type="dxa"/>
                  <w:vAlign w:val="center"/>
                </w:tcPr>
                <w:p w14:paraId="5D25E6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21"/>
                      <w:szCs w:val="21"/>
                      <w:highlight w:val="none"/>
                      <w:lang w:val="en-US" w:eastAsia="zh-CN" w:bidi="ar"/>
                    </w:rPr>
                  </w:pPr>
                  <w:r>
                    <w:rPr>
                      <w:rFonts w:hint="eastAsia" w:cs="Times New Roman"/>
                      <w:b w:val="0"/>
                      <w:bCs w:val="0"/>
                      <w:color w:val="auto"/>
                      <w:sz w:val="21"/>
                      <w:szCs w:val="21"/>
                      <w:highlight w:val="none"/>
                      <w:lang w:val="en-US" w:eastAsia="zh-CN" w:bidi="ar"/>
                    </w:rPr>
                    <w:t>润滑油</w:t>
                  </w:r>
                </w:p>
              </w:tc>
              <w:tc>
                <w:tcPr>
                  <w:tcW w:w="1119" w:type="dxa"/>
                  <w:vAlign w:val="center"/>
                </w:tcPr>
                <w:p w14:paraId="2BB56E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21"/>
                      <w:szCs w:val="21"/>
                      <w:highlight w:val="none"/>
                      <w:lang w:val="en-US" w:eastAsia="zh-CN" w:bidi="ar"/>
                    </w:rPr>
                  </w:pPr>
                  <w:r>
                    <w:rPr>
                      <w:rFonts w:hint="default" w:ascii="Times New Roman" w:hAnsi="Times New Roman" w:cs="Times New Roman"/>
                      <w:b w:val="0"/>
                      <w:bCs w:val="0"/>
                      <w:color w:val="auto"/>
                      <w:sz w:val="21"/>
                      <w:szCs w:val="21"/>
                      <w:highlight w:val="none"/>
                      <w:lang w:val="en-US" w:eastAsia="zh-CN" w:bidi="ar"/>
                    </w:rPr>
                    <w:t>/</w:t>
                  </w:r>
                </w:p>
              </w:tc>
              <w:tc>
                <w:tcPr>
                  <w:tcW w:w="1832" w:type="dxa"/>
                  <w:vAlign w:val="center"/>
                </w:tcPr>
                <w:p w14:paraId="6AAFDC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21"/>
                      <w:szCs w:val="21"/>
                      <w:highlight w:val="none"/>
                      <w:lang w:val="en-US" w:eastAsia="zh-CN" w:bidi="ar"/>
                    </w:rPr>
                  </w:pPr>
                  <w:r>
                    <w:rPr>
                      <w:rFonts w:hint="eastAsia" w:cs="Times New Roman"/>
                      <w:b w:val="0"/>
                      <w:bCs w:val="0"/>
                      <w:color w:val="auto"/>
                      <w:sz w:val="21"/>
                      <w:szCs w:val="21"/>
                      <w:highlight w:val="none"/>
                      <w:lang w:val="en-US" w:eastAsia="zh-CN" w:bidi="ar"/>
                    </w:rPr>
                    <w:t>1</w:t>
                  </w:r>
                </w:p>
              </w:tc>
              <w:tc>
                <w:tcPr>
                  <w:tcW w:w="1317" w:type="dxa"/>
                  <w:vAlign w:val="center"/>
                </w:tcPr>
                <w:p w14:paraId="5B4498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21"/>
                      <w:szCs w:val="21"/>
                      <w:highlight w:val="none"/>
                      <w:lang w:val="en-US" w:eastAsia="zh-CN" w:bidi="ar"/>
                    </w:rPr>
                  </w:pPr>
                  <w:r>
                    <w:rPr>
                      <w:rFonts w:hint="default" w:ascii="Times New Roman" w:hAnsi="Times New Roman" w:cs="Times New Roman"/>
                      <w:b w:val="0"/>
                      <w:bCs w:val="0"/>
                      <w:color w:val="auto"/>
                      <w:sz w:val="21"/>
                      <w:szCs w:val="21"/>
                      <w:highlight w:val="none"/>
                      <w:lang w:val="en-US" w:eastAsia="zh-CN" w:bidi="ar"/>
                    </w:rPr>
                    <w:t>2500</w:t>
                  </w:r>
                </w:p>
              </w:tc>
              <w:tc>
                <w:tcPr>
                  <w:tcW w:w="1460" w:type="dxa"/>
                  <w:vAlign w:val="center"/>
                </w:tcPr>
                <w:p w14:paraId="733240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21"/>
                      <w:szCs w:val="21"/>
                      <w:highlight w:val="none"/>
                      <w:lang w:val="en-US" w:eastAsia="zh-CN" w:bidi="ar"/>
                    </w:rPr>
                  </w:pPr>
                  <w:r>
                    <w:rPr>
                      <w:rFonts w:hint="eastAsia" w:cs="Times New Roman"/>
                      <w:b w:val="0"/>
                      <w:bCs w:val="0"/>
                      <w:color w:val="auto"/>
                      <w:sz w:val="21"/>
                      <w:szCs w:val="21"/>
                      <w:highlight w:val="none"/>
                      <w:lang w:val="en-US" w:eastAsia="zh-CN" w:bidi="ar"/>
                    </w:rPr>
                    <w:t>0.0004</w:t>
                  </w:r>
                </w:p>
              </w:tc>
            </w:tr>
            <w:tr w14:paraId="52612A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11" w:hRule="atLeast"/>
                <w:jc w:val="center"/>
              </w:trPr>
              <w:tc>
                <w:tcPr>
                  <w:tcW w:w="628" w:type="dxa"/>
                  <w:vAlign w:val="center"/>
                </w:tcPr>
                <w:p w14:paraId="000C83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val="0"/>
                      <w:bCs w:val="0"/>
                      <w:color w:val="auto"/>
                      <w:sz w:val="21"/>
                      <w:szCs w:val="21"/>
                      <w:highlight w:val="none"/>
                      <w:lang w:val="en-US" w:eastAsia="zh-CN" w:bidi="ar"/>
                    </w:rPr>
                  </w:pPr>
                  <w:r>
                    <w:rPr>
                      <w:rFonts w:hint="eastAsia"/>
                      <w:b w:val="0"/>
                      <w:bCs w:val="0"/>
                      <w:color w:val="auto"/>
                      <w:sz w:val="21"/>
                      <w:szCs w:val="21"/>
                      <w:highlight w:val="none"/>
                      <w:lang w:val="en-US" w:eastAsia="zh-CN" w:bidi="ar"/>
                    </w:rPr>
                    <w:t>2</w:t>
                  </w:r>
                </w:p>
              </w:tc>
              <w:tc>
                <w:tcPr>
                  <w:tcW w:w="1740" w:type="dxa"/>
                  <w:vAlign w:val="center"/>
                </w:tcPr>
                <w:p w14:paraId="4154D2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21"/>
                      <w:szCs w:val="21"/>
                      <w:highlight w:val="none"/>
                      <w:lang w:val="en-US" w:eastAsia="zh-CN" w:bidi="ar"/>
                    </w:rPr>
                  </w:pPr>
                  <w:r>
                    <w:rPr>
                      <w:rFonts w:hint="eastAsia" w:cs="Times New Roman"/>
                      <w:b w:val="0"/>
                      <w:bCs w:val="0"/>
                      <w:color w:val="auto"/>
                      <w:sz w:val="21"/>
                      <w:szCs w:val="21"/>
                      <w:highlight w:val="none"/>
                      <w:lang w:val="en-US" w:eastAsia="zh-CN" w:bidi="ar"/>
                    </w:rPr>
                    <w:t>柴油</w:t>
                  </w:r>
                </w:p>
              </w:tc>
              <w:tc>
                <w:tcPr>
                  <w:tcW w:w="1119" w:type="dxa"/>
                  <w:vAlign w:val="center"/>
                </w:tcPr>
                <w:p w14:paraId="79FB6A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21"/>
                      <w:szCs w:val="21"/>
                      <w:highlight w:val="none"/>
                      <w:lang w:val="en-US" w:eastAsia="zh-CN" w:bidi="ar"/>
                    </w:rPr>
                  </w:pPr>
                  <w:r>
                    <w:rPr>
                      <w:rFonts w:hint="default" w:ascii="Times New Roman" w:hAnsi="Times New Roman" w:cs="Times New Roman"/>
                      <w:b w:val="0"/>
                      <w:bCs w:val="0"/>
                      <w:color w:val="auto"/>
                      <w:sz w:val="21"/>
                      <w:szCs w:val="21"/>
                      <w:highlight w:val="none"/>
                      <w:lang w:val="en-US" w:eastAsia="zh-CN" w:bidi="ar"/>
                    </w:rPr>
                    <w:t>/</w:t>
                  </w:r>
                </w:p>
              </w:tc>
              <w:tc>
                <w:tcPr>
                  <w:tcW w:w="1832" w:type="dxa"/>
                  <w:vAlign w:val="center"/>
                </w:tcPr>
                <w:p w14:paraId="6FB818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21"/>
                      <w:szCs w:val="21"/>
                      <w:highlight w:val="none"/>
                      <w:lang w:val="en-US" w:eastAsia="zh-CN" w:bidi="ar"/>
                    </w:rPr>
                  </w:pPr>
                  <w:r>
                    <w:rPr>
                      <w:rFonts w:hint="eastAsia" w:cs="Times New Roman"/>
                      <w:b w:val="0"/>
                      <w:bCs w:val="0"/>
                      <w:color w:val="auto"/>
                      <w:sz w:val="21"/>
                      <w:szCs w:val="21"/>
                      <w:highlight w:val="none"/>
                      <w:lang w:val="en-US" w:eastAsia="zh-CN" w:bidi="ar"/>
                    </w:rPr>
                    <w:t>20</w:t>
                  </w:r>
                </w:p>
              </w:tc>
              <w:tc>
                <w:tcPr>
                  <w:tcW w:w="1317" w:type="dxa"/>
                  <w:vAlign w:val="center"/>
                </w:tcPr>
                <w:p w14:paraId="0A2A15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21"/>
                      <w:szCs w:val="21"/>
                      <w:highlight w:val="none"/>
                      <w:lang w:val="en-US" w:eastAsia="zh-CN" w:bidi="ar"/>
                    </w:rPr>
                  </w:pPr>
                  <w:r>
                    <w:rPr>
                      <w:rFonts w:hint="default" w:ascii="Times New Roman" w:hAnsi="Times New Roman" w:cs="Times New Roman"/>
                      <w:b w:val="0"/>
                      <w:bCs w:val="0"/>
                      <w:color w:val="auto"/>
                      <w:sz w:val="21"/>
                      <w:szCs w:val="21"/>
                      <w:highlight w:val="none"/>
                      <w:lang w:val="en-US" w:eastAsia="zh-CN" w:bidi="ar"/>
                    </w:rPr>
                    <w:t>2500</w:t>
                  </w:r>
                </w:p>
              </w:tc>
              <w:tc>
                <w:tcPr>
                  <w:tcW w:w="1460" w:type="dxa"/>
                  <w:vAlign w:val="center"/>
                </w:tcPr>
                <w:p w14:paraId="24821F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21"/>
                      <w:szCs w:val="21"/>
                      <w:highlight w:val="none"/>
                      <w:lang w:val="en-US" w:eastAsia="zh-CN" w:bidi="ar"/>
                    </w:rPr>
                  </w:pPr>
                  <w:r>
                    <w:rPr>
                      <w:rFonts w:hint="eastAsia" w:cs="Times New Roman"/>
                      <w:b w:val="0"/>
                      <w:bCs w:val="0"/>
                      <w:color w:val="auto"/>
                      <w:sz w:val="21"/>
                      <w:szCs w:val="21"/>
                      <w:highlight w:val="none"/>
                      <w:lang w:val="en-US" w:eastAsia="zh-CN" w:bidi="ar"/>
                    </w:rPr>
                    <w:t>0.008</w:t>
                  </w:r>
                </w:p>
              </w:tc>
            </w:tr>
            <w:tr w14:paraId="558746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11" w:hRule="atLeast"/>
                <w:jc w:val="center"/>
              </w:trPr>
              <w:tc>
                <w:tcPr>
                  <w:tcW w:w="628" w:type="dxa"/>
                  <w:vAlign w:val="center"/>
                </w:tcPr>
                <w:p w14:paraId="07D246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val="0"/>
                      <w:bCs w:val="0"/>
                      <w:color w:val="auto"/>
                      <w:sz w:val="21"/>
                      <w:szCs w:val="21"/>
                      <w:highlight w:val="none"/>
                      <w:lang w:val="en-US" w:eastAsia="zh-CN" w:bidi="ar"/>
                    </w:rPr>
                  </w:pPr>
                  <w:r>
                    <w:rPr>
                      <w:rFonts w:hint="eastAsia"/>
                      <w:b w:val="0"/>
                      <w:bCs w:val="0"/>
                      <w:color w:val="auto"/>
                      <w:sz w:val="21"/>
                      <w:szCs w:val="21"/>
                      <w:highlight w:val="none"/>
                      <w:lang w:val="en-US" w:eastAsia="zh-CN" w:bidi="ar"/>
                    </w:rPr>
                    <w:t>3</w:t>
                  </w:r>
                </w:p>
              </w:tc>
              <w:tc>
                <w:tcPr>
                  <w:tcW w:w="1740" w:type="dxa"/>
                  <w:vAlign w:val="center"/>
                </w:tcPr>
                <w:p w14:paraId="0F9A32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21"/>
                      <w:szCs w:val="21"/>
                      <w:highlight w:val="none"/>
                      <w:lang w:val="en-US" w:eastAsia="zh-CN" w:bidi="ar"/>
                    </w:rPr>
                  </w:pPr>
                  <w:r>
                    <w:rPr>
                      <w:rFonts w:hint="eastAsia" w:cs="Times New Roman"/>
                      <w:b w:val="0"/>
                      <w:bCs w:val="0"/>
                      <w:color w:val="auto"/>
                      <w:sz w:val="21"/>
                      <w:szCs w:val="21"/>
                      <w:highlight w:val="none"/>
                      <w:lang w:val="en-US" w:eastAsia="zh-CN" w:bidi="ar"/>
                    </w:rPr>
                    <w:t>废润滑油</w:t>
                  </w:r>
                </w:p>
              </w:tc>
              <w:tc>
                <w:tcPr>
                  <w:tcW w:w="1119" w:type="dxa"/>
                  <w:vAlign w:val="center"/>
                </w:tcPr>
                <w:p w14:paraId="526ACC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21"/>
                      <w:szCs w:val="21"/>
                      <w:highlight w:val="none"/>
                      <w:lang w:val="en-US" w:eastAsia="zh-CN" w:bidi="ar"/>
                    </w:rPr>
                  </w:pPr>
                  <w:r>
                    <w:rPr>
                      <w:rFonts w:hint="default" w:ascii="Times New Roman" w:hAnsi="Times New Roman" w:cs="Times New Roman"/>
                      <w:b w:val="0"/>
                      <w:bCs w:val="0"/>
                      <w:color w:val="auto"/>
                      <w:sz w:val="21"/>
                      <w:szCs w:val="21"/>
                      <w:highlight w:val="none"/>
                      <w:lang w:val="en-US" w:eastAsia="zh-CN" w:bidi="ar"/>
                    </w:rPr>
                    <w:t>/</w:t>
                  </w:r>
                </w:p>
              </w:tc>
              <w:tc>
                <w:tcPr>
                  <w:tcW w:w="1832" w:type="dxa"/>
                  <w:vAlign w:val="center"/>
                </w:tcPr>
                <w:p w14:paraId="375F27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 w:val="0"/>
                      <w:bCs w:val="0"/>
                      <w:color w:val="auto"/>
                      <w:sz w:val="21"/>
                      <w:szCs w:val="21"/>
                      <w:highlight w:val="none"/>
                      <w:lang w:val="en-US" w:eastAsia="zh-CN" w:bidi="ar"/>
                    </w:rPr>
                  </w:pPr>
                  <w:r>
                    <w:rPr>
                      <w:rFonts w:hint="eastAsia" w:cs="Times New Roman"/>
                      <w:b w:val="0"/>
                      <w:bCs w:val="0"/>
                      <w:color w:val="auto"/>
                      <w:sz w:val="21"/>
                      <w:szCs w:val="21"/>
                      <w:highlight w:val="none"/>
                      <w:lang w:val="en-US" w:eastAsia="zh-CN" w:bidi="ar"/>
                    </w:rPr>
                    <w:t>0.1</w:t>
                  </w:r>
                </w:p>
              </w:tc>
              <w:tc>
                <w:tcPr>
                  <w:tcW w:w="1317" w:type="dxa"/>
                  <w:vAlign w:val="center"/>
                </w:tcPr>
                <w:p w14:paraId="3E8BCA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21"/>
                      <w:szCs w:val="21"/>
                      <w:highlight w:val="none"/>
                      <w:lang w:val="en-US" w:eastAsia="zh-CN" w:bidi="ar"/>
                    </w:rPr>
                  </w:pPr>
                  <w:r>
                    <w:rPr>
                      <w:rFonts w:hint="default" w:ascii="Times New Roman" w:hAnsi="Times New Roman" w:cs="Times New Roman"/>
                      <w:b w:val="0"/>
                      <w:bCs w:val="0"/>
                      <w:color w:val="auto"/>
                      <w:sz w:val="21"/>
                      <w:szCs w:val="21"/>
                      <w:highlight w:val="none"/>
                      <w:lang w:val="en-US" w:eastAsia="zh-CN" w:bidi="ar"/>
                    </w:rPr>
                    <w:t>2500</w:t>
                  </w:r>
                </w:p>
              </w:tc>
              <w:tc>
                <w:tcPr>
                  <w:tcW w:w="1460" w:type="dxa"/>
                  <w:vAlign w:val="center"/>
                </w:tcPr>
                <w:p w14:paraId="090CF2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21"/>
                      <w:szCs w:val="21"/>
                      <w:highlight w:val="none"/>
                      <w:lang w:val="en-US" w:eastAsia="zh-CN" w:bidi="ar"/>
                    </w:rPr>
                  </w:pPr>
                  <w:r>
                    <w:rPr>
                      <w:rFonts w:hint="eastAsia" w:cs="Times New Roman"/>
                      <w:b w:val="0"/>
                      <w:bCs w:val="0"/>
                      <w:color w:val="auto"/>
                      <w:sz w:val="21"/>
                      <w:szCs w:val="21"/>
                      <w:highlight w:val="none"/>
                      <w:lang w:val="en-US" w:eastAsia="zh-CN" w:bidi="ar"/>
                    </w:rPr>
                    <w:t>0.00004</w:t>
                  </w:r>
                </w:p>
              </w:tc>
            </w:tr>
            <w:tr w14:paraId="7B16C4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11" w:hRule="atLeast"/>
                <w:jc w:val="center"/>
              </w:trPr>
              <w:tc>
                <w:tcPr>
                  <w:tcW w:w="628" w:type="dxa"/>
                  <w:vAlign w:val="center"/>
                </w:tcPr>
                <w:p w14:paraId="475853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val="0"/>
                      <w:bCs w:val="0"/>
                      <w:color w:val="auto"/>
                      <w:sz w:val="21"/>
                      <w:szCs w:val="21"/>
                      <w:highlight w:val="none"/>
                      <w:lang w:val="en-US" w:eastAsia="zh-CN" w:bidi="ar"/>
                    </w:rPr>
                  </w:pPr>
                  <w:r>
                    <w:rPr>
                      <w:rFonts w:hint="eastAsia"/>
                      <w:b w:val="0"/>
                      <w:bCs w:val="0"/>
                      <w:color w:val="auto"/>
                      <w:sz w:val="21"/>
                      <w:szCs w:val="21"/>
                      <w:highlight w:val="none"/>
                      <w:lang w:val="en-US" w:eastAsia="zh-CN" w:bidi="ar"/>
                    </w:rPr>
                    <w:t>4</w:t>
                  </w:r>
                </w:p>
              </w:tc>
              <w:tc>
                <w:tcPr>
                  <w:tcW w:w="1740" w:type="dxa"/>
                  <w:vAlign w:val="center"/>
                </w:tcPr>
                <w:p w14:paraId="3F28C6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 w:val="0"/>
                      <w:bCs w:val="0"/>
                      <w:color w:val="auto"/>
                      <w:sz w:val="21"/>
                      <w:szCs w:val="21"/>
                      <w:highlight w:val="none"/>
                      <w:lang w:val="en-US" w:eastAsia="zh-CN" w:bidi="ar"/>
                    </w:rPr>
                  </w:pPr>
                  <w:r>
                    <w:rPr>
                      <w:rFonts w:hint="eastAsia" w:cs="Times New Roman"/>
                      <w:b w:val="0"/>
                      <w:bCs w:val="0"/>
                      <w:color w:val="auto"/>
                      <w:sz w:val="21"/>
                      <w:szCs w:val="21"/>
                      <w:highlight w:val="none"/>
                      <w:lang w:val="en-US" w:eastAsia="zh-CN" w:bidi="ar"/>
                    </w:rPr>
                    <w:t>废柴油</w:t>
                  </w:r>
                </w:p>
              </w:tc>
              <w:tc>
                <w:tcPr>
                  <w:tcW w:w="1119" w:type="dxa"/>
                  <w:vAlign w:val="center"/>
                </w:tcPr>
                <w:p w14:paraId="24F9B7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21"/>
                      <w:szCs w:val="21"/>
                      <w:highlight w:val="none"/>
                      <w:lang w:val="en-US" w:eastAsia="zh-CN" w:bidi="ar"/>
                    </w:rPr>
                  </w:pPr>
                  <w:r>
                    <w:rPr>
                      <w:rFonts w:hint="default" w:ascii="Times New Roman" w:hAnsi="Times New Roman" w:cs="Times New Roman"/>
                      <w:b w:val="0"/>
                      <w:bCs w:val="0"/>
                      <w:color w:val="auto"/>
                      <w:sz w:val="21"/>
                      <w:szCs w:val="21"/>
                      <w:highlight w:val="none"/>
                      <w:lang w:val="en-US" w:eastAsia="zh-CN" w:bidi="ar"/>
                    </w:rPr>
                    <w:t>/</w:t>
                  </w:r>
                </w:p>
              </w:tc>
              <w:tc>
                <w:tcPr>
                  <w:tcW w:w="1832" w:type="dxa"/>
                  <w:vAlign w:val="center"/>
                </w:tcPr>
                <w:p w14:paraId="3EFD2C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 w:val="0"/>
                      <w:bCs w:val="0"/>
                      <w:color w:val="auto"/>
                      <w:sz w:val="21"/>
                      <w:szCs w:val="21"/>
                      <w:highlight w:val="none"/>
                      <w:lang w:val="en-US" w:eastAsia="zh-CN" w:bidi="ar"/>
                    </w:rPr>
                  </w:pPr>
                  <w:r>
                    <w:rPr>
                      <w:rFonts w:hint="eastAsia" w:cs="Times New Roman"/>
                      <w:b w:val="0"/>
                      <w:bCs w:val="0"/>
                      <w:color w:val="auto"/>
                      <w:sz w:val="21"/>
                      <w:szCs w:val="21"/>
                      <w:highlight w:val="none"/>
                      <w:lang w:val="en-US" w:eastAsia="zh-CN" w:bidi="ar"/>
                    </w:rPr>
                    <w:t>0.2</w:t>
                  </w:r>
                </w:p>
              </w:tc>
              <w:tc>
                <w:tcPr>
                  <w:tcW w:w="1317" w:type="dxa"/>
                  <w:vAlign w:val="center"/>
                </w:tcPr>
                <w:p w14:paraId="2431C5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 w:val="0"/>
                      <w:bCs w:val="0"/>
                      <w:color w:val="auto"/>
                      <w:sz w:val="21"/>
                      <w:szCs w:val="21"/>
                      <w:highlight w:val="none"/>
                      <w:lang w:val="en-US" w:eastAsia="zh-CN" w:bidi="ar"/>
                    </w:rPr>
                  </w:pPr>
                  <w:r>
                    <w:rPr>
                      <w:rFonts w:hint="default" w:ascii="Times New Roman" w:hAnsi="Times New Roman" w:cs="Times New Roman"/>
                      <w:b w:val="0"/>
                      <w:bCs w:val="0"/>
                      <w:color w:val="auto"/>
                      <w:sz w:val="21"/>
                      <w:szCs w:val="21"/>
                      <w:highlight w:val="none"/>
                      <w:lang w:val="en-US" w:eastAsia="zh-CN" w:bidi="ar"/>
                    </w:rPr>
                    <w:t>2500</w:t>
                  </w:r>
                </w:p>
              </w:tc>
              <w:tc>
                <w:tcPr>
                  <w:tcW w:w="1460" w:type="dxa"/>
                  <w:vAlign w:val="center"/>
                </w:tcPr>
                <w:p w14:paraId="006F4D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 w:val="0"/>
                      <w:bCs w:val="0"/>
                      <w:color w:val="auto"/>
                      <w:sz w:val="21"/>
                      <w:szCs w:val="21"/>
                      <w:highlight w:val="none"/>
                      <w:lang w:val="en-US" w:eastAsia="zh-CN" w:bidi="ar"/>
                    </w:rPr>
                  </w:pPr>
                  <w:r>
                    <w:rPr>
                      <w:rFonts w:hint="eastAsia" w:cs="Times New Roman"/>
                      <w:b w:val="0"/>
                      <w:bCs w:val="0"/>
                      <w:color w:val="auto"/>
                      <w:sz w:val="21"/>
                      <w:szCs w:val="21"/>
                      <w:highlight w:val="none"/>
                      <w:lang w:val="en-US" w:eastAsia="zh-CN" w:bidi="ar"/>
                    </w:rPr>
                    <w:t>0.00008</w:t>
                  </w:r>
                </w:p>
              </w:tc>
            </w:tr>
            <w:tr w14:paraId="1B969D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11" w:hRule="atLeast"/>
                <w:jc w:val="center"/>
              </w:trPr>
              <w:tc>
                <w:tcPr>
                  <w:tcW w:w="628" w:type="dxa"/>
                  <w:vAlign w:val="center"/>
                </w:tcPr>
                <w:p w14:paraId="2E020B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val="0"/>
                      <w:bCs w:val="0"/>
                      <w:color w:val="auto"/>
                      <w:sz w:val="21"/>
                      <w:szCs w:val="21"/>
                      <w:highlight w:val="none"/>
                      <w:lang w:val="en-US" w:eastAsia="zh-CN" w:bidi="ar"/>
                    </w:rPr>
                  </w:pPr>
                  <w:r>
                    <w:rPr>
                      <w:rFonts w:hint="eastAsia"/>
                      <w:b w:val="0"/>
                      <w:bCs w:val="0"/>
                      <w:color w:val="auto"/>
                      <w:sz w:val="21"/>
                      <w:szCs w:val="21"/>
                      <w:highlight w:val="none"/>
                      <w:lang w:val="en-US" w:eastAsia="zh-CN" w:bidi="ar"/>
                    </w:rPr>
                    <w:t>5</w:t>
                  </w:r>
                </w:p>
              </w:tc>
              <w:tc>
                <w:tcPr>
                  <w:tcW w:w="1740" w:type="dxa"/>
                  <w:vAlign w:val="center"/>
                </w:tcPr>
                <w:p w14:paraId="649FA9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 w:val="0"/>
                      <w:bCs w:val="0"/>
                      <w:color w:val="auto"/>
                      <w:sz w:val="21"/>
                      <w:szCs w:val="21"/>
                      <w:highlight w:val="none"/>
                      <w:lang w:val="en-US" w:eastAsia="zh-CN" w:bidi="ar"/>
                    </w:rPr>
                  </w:pPr>
                  <w:r>
                    <w:rPr>
                      <w:rFonts w:hint="eastAsia" w:cs="Times New Roman"/>
                      <w:color w:val="auto"/>
                      <w:sz w:val="21"/>
                      <w:szCs w:val="21"/>
                      <w:lang w:eastAsia="zh-CN"/>
                    </w:rPr>
                    <w:t>脱脂清洗废液</w:t>
                  </w:r>
                </w:p>
              </w:tc>
              <w:tc>
                <w:tcPr>
                  <w:tcW w:w="1119" w:type="dxa"/>
                  <w:vAlign w:val="center"/>
                </w:tcPr>
                <w:p w14:paraId="4B5009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21"/>
                      <w:szCs w:val="21"/>
                      <w:highlight w:val="none"/>
                      <w:lang w:val="en-US" w:eastAsia="zh-CN" w:bidi="ar"/>
                    </w:rPr>
                  </w:pPr>
                  <w:r>
                    <w:rPr>
                      <w:rFonts w:hint="eastAsia" w:cs="Times New Roman"/>
                      <w:b w:val="0"/>
                      <w:bCs w:val="0"/>
                      <w:color w:val="auto"/>
                      <w:sz w:val="21"/>
                      <w:szCs w:val="21"/>
                      <w:highlight w:val="none"/>
                      <w:lang w:val="en-US" w:eastAsia="zh-CN" w:bidi="ar"/>
                    </w:rPr>
                    <w:t>/</w:t>
                  </w:r>
                </w:p>
              </w:tc>
              <w:tc>
                <w:tcPr>
                  <w:tcW w:w="1832" w:type="dxa"/>
                  <w:vAlign w:val="center"/>
                </w:tcPr>
                <w:p w14:paraId="66572F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 w:val="0"/>
                      <w:bCs w:val="0"/>
                      <w:color w:val="auto"/>
                      <w:sz w:val="21"/>
                      <w:szCs w:val="21"/>
                      <w:highlight w:val="none"/>
                      <w:lang w:val="en-US" w:eastAsia="zh-CN" w:bidi="ar"/>
                    </w:rPr>
                  </w:pPr>
                  <w:r>
                    <w:rPr>
                      <w:rFonts w:hint="eastAsia" w:cs="Times New Roman"/>
                      <w:b w:val="0"/>
                      <w:bCs w:val="0"/>
                      <w:color w:val="auto"/>
                      <w:sz w:val="21"/>
                      <w:szCs w:val="21"/>
                      <w:highlight w:val="none"/>
                      <w:lang w:val="en-US" w:eastAsia="zh-CN" w:bidi="ar"/>
                    </w:rPr>
                    <w:t>4.8</w:t>
                  </w:r>
                </w:p>
              </w:tc>
              <w:tc>
                <w:tcPr>
                  <w:tcW w:w="1317" w:type="dxa"/>
                  <w:vAlign w:val="center"/>
                </w:tcPr>
                <w:p w14:paraId="1D72FA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21"/>
                      <w:szCs w:val="21"/>
                      <w:highlight w:val="none"/>
                      <w:lang w:val="en-US" w:eastAsia="zh-CN" w:bidi="ar"/>
                    </w:rPr>
                  </w:pPr>
                  <w:r>
                    <w:rPr>
                      <w:rFonts w:hint="default" w:ascii="Times New Roman" w:hAnsi="Times New Roman" w:cs="Times New Roman"/>
                      <w:b w:val="0"/>
                      <w:bCs w:val="0"/>
                      <w:color w:val="auto"/>
                      <w:sz w:val="21"/>
                      <w:szCs w:val="21"/>
                      <w:highlight w:val="none"/>
                      <w:lang w:val="en-US" w:eastAsia="zh-CN" w:bidi="ar"/>
                    </w:rPr>
                    <w:t>2500</w:t>
                  </w:r>
                </w:p>
              </w:tc>
              <w:tc>
                <w:tcPr>
                  <w:tcW w:w="1460" w:type="dxa"/>
                  <w:vAlign w:val="center"/>
                </w:tcPr>
                <w:p w14:paraId="1D4AF7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 w:val="0"/>
                      <w:bCs w:val="0"/>
                      <w:color w:val="auto"/>
                      <w:sz w:val="21"/>
                      <w:szCs w:val="21"/>
                      <w:highlight w:val="none"/>
                      <w:lang w:val="en-US" w:eastAsia="zh-CN" w:bidi="ar"/>
                    </w:rPr>
                  </w:pPr>
                  <w:r>
                    <w:rPr>
                      <w:rFonts w:hint="eastAsia" w:cs="Times New Roman"/>
                      <w:b w:val="0"/>
                      <w:bCs w:val="0"/>
                      <w:color w:val="auto"/>
                      <w:sz w:val="21"/>
                      <w:szCs w:val="21"/>
                      <w:highlight w:val="none"/>
                      <w:lang w:val="en-US" w:eastAsia="zh-CN" w:bidi="ar"/>
                    </w:rPr>
                    <w:t>0.00192</w:t>
                  </w:r>
                </w:p>
              </w:tc>
            </w:tr>
            <w:tr w14:paraId="113E99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42" w:hRule="atLeast"/>
                <w:jc w:val="center"/>
              </w:trPr>
              <w:tc>
                <w:tcPr>
                  <w:tcW w:w="6636" w:type="dxa"/>
                  <w:gridSpan w:val="5"/>
                  <w:vAlign w:val="center"/>
                </w:tcPr>
                <w:p w14:paraId="6136F7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21"/>
                      <w:szCs w:val="21"/>
                      <w:highlight w:val="none"/>
                      <w:lang w:val="en-US" w:eastAsia="zh-CN" w:bidi="ar"/>
                    </w:rPr>
                  </w:pPr>
                  <w:r>
                    <w:rPr>
                      <w:rFonts w:hint="default" w:ascii="Times New Roman" w:hAnsi="Times New Roman" w:cs="Times New Roman"/>
                      <w:b w:val="0"/>
                      <w:bCs w:val="0"/>
                      <w:color w:val="auto"/>
                      <w:sz w:val="21"/>
                      <w:szCs w:val="21"/>
                      <w:highlight w:val="none"/>
                      <w:lang w:val="en-US" w:eastAsia="zh-CN" w:bidi="ar"/>
                    </w:rPr>
                    <w:t>项目Q值∑</w:t>
                  </w:r>
                </w:p>
              </w:tc>
              <w:tc>
                <w:tcPr>
                  <w:tcW w:w="1460" w:type="dxa"/>
                  <w:vAlign w:val="center"/>
                </w:tcPr>
                <w:p w14:paraId="28472D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21"/>
                      <w:szCs w:val="21"/>
                      <w:highlight w:val="none"/>
                      <w:lang w:val="en-US" w:eastAsia="zh-CN" w:bidi="ar"/>
                    </w:rPr>
                  </w:pPr>
                  <w:r>
                    <w:rPr>
                      <w:rFonts w:hint="default" w:ascii="Times New Roman" w:hAnsi="Times New Roman" w:cs="Times New Roman"/>
                      <w:b w:val="0"/>
                      <w:bCs w:val="0"/>
                      <w:color w:val="auto"/>
                      <w:sz w:val="21"/>
                      <w:szCs w:val="21"/>
                      <w:highlight w:val="none"/>
                      <w:lang w:val="en-US" w:eastAsia="zh-CN" w:bidi="ar"/>
                    </w:rPr>
                    <w:t>0.0</w:t>
                  </w:r>
                  <w:r>
                    <w:rPr>
                      <w:rFonts w:hint="eastAsia" w:cs="Times New Roman"/>
                      <w:b w:val="0"/>
                      <w:bCs w:val="0"/>
                      <w:color w:val="auto"/>
                      <w:sz w:val="21"/>
                      <w:szCs w:val="21"/>
                      <w:highlight w:val="none"/>
                      <w:lang w:val="en-US" w:eastAsia="zh-CN" w:bidi="ar"/>
                    </w:rPr>
                    <w:t>1044</w:t>
                  </w:r>
                </w:p>
              </w:tc>
            </w:tr>
          </w:tbl>
          <w:p w14:paraId="059398BB">
            <w:pPr>
              <w:keepNext w:val="0"/>
              <w:keepLines w:val="0"/>
              <w:pageBreakBefore w:val="0"/>
              <w:widowControl w:val="0"/>
              <w:kinsoku/>
              <w:wordWrap/>
              <w:overflowPunct/>
              <w:topLinePunct w:val="0"/>
              <w:autoSpaceDE/>
              <w:autoSpaceDN/>
              <w:bidi w:val="0"/>
              <w:adjustRightInd/>
              <w:snapToGrid/>
              <w:spacing w:before="157" w:beforeLines="50" w:line="360" w:lineRule="auto"/>
              <w:ind w:firstLine="241" w:firstLineChars="100"/>
              <w:jc w:val="both"/>
              <w:textAlignment w:val="auto"/>
              <w:rPr>
                <w:rFonts w:hint="default" w:ascii="Times New Roman" w:hAnsi="Times New Roman" w:eastAsia="宋体" w:cs="Times New Roman"/>
                <w:b/>
                <w:bCs w:val="0"/>
                <w:color w:val="auto"/>
                <w:kern w:val="2"/>
                <w:sz w:val="24"/>
                <w:szCs w:val="24"/>
                <w:highlight w:val="none"/>
                <w:lang w:val="en-US" w:eastAsia="zh-CN" w:bidi="ar-SA"/>
              </w:rPr>
            </w:pPr>
            <w:r>
              <w:rPr>
                <w:rFonts w:hint="eastAsia" w:ascii="Times New Roman" w:hAnsi="Times New Roman" w:eastAsia="宋体" w:cs="Times New Roman"/>
                <w:b/>
                <w:bCs w:val="0"/>
                <w:color w:val="auto"/>
                <w:kern w:val="2"/>
                <w:sz w:val="24"/>
                <w:szCs w:val="24"/>
                <w:highlight w:val="none"/>
                <w:lang w:val="en-US" w:eastAsia="zh-CN" w:bidi="ar-SA"/>
              </w:rPr>
              <w:t>4.2.6.2环境风险潜势分析</w:t>
            </w:r>
          </w:p>
          <w:p w14:paraId="7DAED0C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color w:val="auto"/>
                <w:kern w:val="2"/>
                <w:sz w:val="24"/>
                <w:szCs w:val="24"/>
                <w:highlight w:val="none"/>
                <w:lang w:val="en-US" w:eastAsia="zh-CN" w:bidi="ar-SA"/>
              </w:rPr>
            </w:pPr>
            <w:r>
              <w:rPr>
                <w:rFonts w:hint="eastAsia" w:ascii="Times New Roman" w:hAnsi="Times New Roman" w:eastAsia="宋体" w:cs="Times New Roman"/>
                <w:b w:val="0"/>
                <w:bCs/>
                <w:color w:val="auto"/>
                <w:kern w:val="2"/>
                <w:sz w:val="24"/>
                <w:szCs w:val="24"/>
                <w:highlight w:val="none"/>
                <w:lang w:val="en-US" w:eastAsia="zh-CN" w:bidi="ar-SA"/>
              </w:rPr>
              <w:t>根据《建设项目环境风险评价技术导则》（HJ169-2018）附录C，计算所涉及的每种危险物质在厂界内的最大存在总量与其在《建设项目环境风险评价技术导则》（HJ169-2018）附录B中对应临界量的比值Q。在不同厂区的同一种物质，按其在厂界内的最大存在总量计算。当企业只涉及一种风险物质时，该物质的数量与其临界量的比值，即为Q。当企业存在多种化学物质时，则按下式计算物质总量与其临界量比值（Q）：</w:t>
            </w:r>
          </w:p>
          <w:p w14:paraId="3EEA5967">
            <w:pPr>
              <w:keepNext w:val="0"/>
              <w:keepLines w:val="0"/>
              <w:pageBreakBefore w:val="0"/>
              <w:widowControl w:val="0"/>
              <w:kinsoku/>
              <w:wordWrap/>
              <w:overflowPunct/>
              <w:topLinePunct w:val="0"/>
              <w:autoSpaceDE/>
              <w:autoSpaceDN/>
              <w:bidi w:val="0"/>
              <w:adjustRightInd/>
              <w:snapToGrid/>
              <w:spacing w:line="360" w:lineRule="auto"/>
              <w:ind w:firstLine="210" w:firstLineChars="100"/>
              <w:jc w:val="center"/>
              <w:textAlignment w:val="auto"/>
              <w:rPr>
                <w:color w:val="auto"/>
                <w:highlight w:val="none"/>
              </w:rPr>
            </w:pPr>
            <w:r>
              <w:rPr>
                <w:color w:val="auto"/>
                <w:highlight w:val="none"/>
              </w:rPr>
              <w:drawing>
                <wp:inline distT="0" distB="0" distL="114300" distR="114300">
                  <wp:extent cx="1903730" cy="464185"/>
                  <wp:effectExtent l="0" t="0" r="1270" b="12065"/>
                  <wp:docPr id="134" name="图片 1" descr="C:\Users\admin\AppData\Roaming\Tencent\Users\506048567\QQ\WinTemp\RichOle\`_O{@QX45~6E2EU4~BK~(Z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 descr="C:\Users\admin\AppData\Roaming\Tencent\Users\506048567\QQ\WinTemp\RichOle\`_O{@QX45~6E2EU4~BK~(ZR.png"/>
                          <pic:cNvPicPr>
                            <a:picLocks noChangeAspect="1"/>
                          </pic:cNvPicPr>
                        </pic:nvPicPr>
                        <pic:blipFill>
                          <a:blip r:embed="rId41"/>
                          <a:stretch>
                            <a:fillRect/>
                          </a:stretch>
                        </pic:blipFill>
                        <pic:spPr>
                          <a:xfrm>
                            <a:off x="0" y="0"/>
                            <a:ext cx="1903730" cy="464185"/>
                          </a:xfrm>
                          <a:prstGeom prst="rect">
                            <a:avLst/>
                          </a:prstGeom>
                          <a:noFill/>
                          <a:ln>
                            <a:noFill/>
                          </a:ln>
                          <a:effectLst/>
                        </pic:spPr>
                      </pic:pic>
                    </a:graphicData>
                  </a:graphic>
                </wp:inline>
              </w:drawing>
            </w:r>
          </w:p>
          <w:p w14:paraId="2EA954A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color w:val="auto"/>
                <w:kern w:val="2"/>
                <w:sz w:val="24"/>
                <w:szCs w:val="24"/>
                <w:highlight w:val="none"/>
                <w:lang w:val="en-US" w:eastAsia="zh-CN" w:bidi="ar-SA"/>
              </w:rPr>
            </w:pPr>
            <w:r>
              <w:rPr>
                <w:rFonts w:hint="eastAsia" w:ascii="Times New Roman" w:hAnsi="Times New Roman" w:eastAsia="宋体" w:cs="Times New Roman"/>
                <w:b w:val="0"/>
                <w:bCs/>
                <w:color w:val="auto"/>
                <w:kern w:val="2"/>
                <w:sz w:val="24"/>
                <w:szCs w:val="24"/>
                <w:highlight w:val="none"/>
                <w:lang w:val="en-US" w:eastAsia="zh-CN" w:bidi="ar-SA"/>
              </w:rPr>
              <w:t>式中：q1，q2，...，qn——每种风险物质的存在量，t；</w:t>
            </w:r>
          </w:p>
          <w:p w14:paraId="2858B37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color w:val="auto"/>
                <w:kern w:val="2"/>
                <w:sz w:val="24"/>
                <w:szCs w:val="24"/>
                <w:highlight w:val="none"/>
                <w:lang w:val="en-US" w:eastAsia="zh-CN" w:bidi="ar-SA"/>
              </w:rPr>
            </w:pPr>
            <w:r>
              <w:rPr>
                <w:rFonts w:hint="eastAsia" w:ascii="Times New Roman" w:hAnsi="Times New Roman" w:eastAsia="宋体" w:cs="Times New Roman"/>
                <w:b w:val="0"/>
                <w:bCs/>
                <w:color w:val="auto"/>
                <w:kern w:val="2"/>
                <w:sz w:val="24"/>
                <w:szCs w:val="24"/>
                <w:highlight w:val="none"/>
                <w:lang w:val="en-US" w:eastAsia="zh-CN" w:bidi="ar-SA"/>
              </w:rPr>
              <w:t>Q1，Q2，...，Qn——每种风险物质的临界量，t。</w:t>
            </w:r>
          </w:p>
          <w:p w14:paraId="0B923DC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color w:val="auto"/>
                <w:kern w:val="2"/>
                <w:sz w:val="24"/>
                <w:szCs w:val="24"/>
                <w:highlight w:val="none"/>
                <w:lang w:val="en-US" w:eastAsia="zh-CN" w:bidi="ar-SA"/>
              </w:rPr>
            </w:pPr>
            <w:r>
              <w:rPr>
                <w:rFonts w:hint="eastAsia" w:ascii="Times New Roman" w:hAnsi="Times New Roman" w:eastAsia="宋体" w:cs="Times New Roman"/>
                <w:b w:val="0"/>
                <w:bCs/>
                <w:color w:val="auto"/>
                <w:kern w:val="2"/>
                <w:sz w:val="24"/>
                <w:szCs w:val="24"/>
                <w:highlight w:val="none"/>
                <w:lang w:val="en-US" w:eastAsia="zh-CN" w:bidi="ar-SA"/>
              </w:rPr>
              <w:t>当Q＜1时，该项目环境风险潜势为</w:t>
            </w:r>
            <w:r>
              <w:rPr>
                <w:rFonts w:hint="eastAsia" w:ascii="Times New Roman" w:hAnsi="Times New Roman" w:eastAsia="宋体" w:cs="Times New Roman"/>
                <w:b w:val="0"/>
                <w:bCs/>
                <w:color w:val="auto"/>
                <w:kern w:val="2"/>
                <w:sz w:val="24"/>
                <w:szCs w:val="24"/>
                <w:highlight w:val="none"/>
                <w:lang w:val="en-US" w:eastAsia="zh-CN" w:bidi="ar-SA"/>
              </w:rPr>
              <w:fldChar w:fldCharType="begin"/>
            </w:r>
            <w:r>
              <w:rPr>
                <w:rFonts w:hint="eastAsia" w:ascii="Times New Roman" w:hAnsi="Times New Roman" w:eastAsia="宋体" w:cs="Times New Roman"/>
                <w:b w:val="0"/>
                <w:bCs/>
                <w:color w:val="auto"/>
                <w:kern w:val="2"/>
                <w:sz w:val="24"/>
                <w:szCs w:val="24"/>
                <w:highlight w:val="none"/>
                <w:lang w:val="en-US" w:eastAsia="zh-CN" w:bidi="ar-SA"/>
              </w:rPr>
              <w:instrText xml:space="preserve"> = 1 \* ROMAN </w:instrText>
            </w:r>
            <w:r>
              <w:rPr>
                <w:rFonts w:hint="eastAsia" w:ascii="Times New Roman" w:hAnsi="Times New Roman" w:eastAsia="宋体" w:cs="Times New Roman"/>
                <w:b w:val="0"/>
                <w:bCs/>
                <w:color w:val="auto"/>
                <w:kern w:val="2"/>
                <w:sz w:val="24"/>
                <w:szCs w:val="24"/>
                <w:highlight w:val="none"/>
                <w:lang w:val="en-US" w:eastAsia="zh-CN" w:bidi="ar-SA"/>
              </w:rPr>
              <w:fldChar w:fldCharType="separate"/>
            </w:r>
            <w:r>
              <w:rPr>
                <w:rFonts w:hint="eastAsia" w:ascii="Times New Roman" w:hAnsi="Times New Roman" w:eastAsia="宋体" w:cs="Times New Roman"/>
                <w:b w:val="0"/>
                <w:bCs/>
                <w:color w:val="auto"/>
                <w:kern w:val="2"/>
                <w:sz w:val="24"/>
                <w:szCs w:val="24"/>
                <w:highlight w:val="none"/>
                <w:lang w:val="en-US" w:eastAsia="zh-CN" w:bidi="ar-SA"/>
              </w:rPr>
              <w:t>I</w:t>
            </w:r>
            <w:r>
              <w:rPr>
                <w:rFonts w:hint="eastAsia" w:ascii="Times New Roman" w:hAnsi="Times New Roman" w:eastAsia="宋体" w:cs="Times New Roman"/>
                <w:b w:val="0"/>
                <w:bCs/>
                <w:color w:val="auto"/>
                <w:kern w:val="2"/>
                <w:sz w:val="24"/>
                <w:szCs w:val="24"/>
                <w:highlight w:val="none"/>
                <w:lang w:val="en-US" w:eastAsia="zh-CN" w:bidi="ar-SA"/>
              </w:rPr>
              <w:fldChar w:fldCharType="end"/>
            </w:r>
            <w:r>
              <w:rPr>
                <w:rFonts w:hint="eastAsia" w:ascii="Times New Roman" w:hAnsi="Times New Roman" w:eastAsia="宋体" w:cs="Times New Roman"/>
                <w:b w:val="0"/>
                <w:bCs/>
                <w:color w:val="auto"/>
                <w:kern w:val="2"/>
                <w:sz w:val="24"/>
                <w:szCs w:val="24"/>
                <w:highlight w:val="none"/>
                <w:lang w:val="en-US" w:eastAsia="zh-CN" w:bidi="ar-SA"/>
              </w:rPr>
              <w:t>。</w:t>
            </w:r>
          </w:p>
          <w:p w14:paraId="6AB4096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color w:val="auto"/>
                <w:kern w:val="2"/>
                <w:sz w:val="24"/>
                <w:szCs w:val="24"/>
                <w:highlight w:val="none"/>
                <w:lang w:val="en-US" w:eastAsia="zh-CN" w:bidi="ar-SA"/>
              </w:rPr>
            </w:pPr>
            <w:r>
              <w:rPr>
                <w:rFonts w:hint="eastAsia" w:ascii="Times New Roman" w:hAnsi="Times New Roman" w:eastAsia="宋体" w:cs="Times New Roman"/>
                <w:b w:val="0"/>
                <w:bCs/>
                <w:color w:val="auto"/>
                <w:kern w:val="2"/>
                <w:sz w:val="24"/>
                <w:szCs w:val="24"/>
                <w:highlight w:val="none"/>
                <w:lang w:val="en-US" w:eastAsia="zh-CN" w:bidi="ar-SA"/>
              </w:rPr>
              <w:t>当Q≥1时，将Q值划分为：（1）1≤Q＜10；（2）10≤Q＜100；（3）Q≥100。</w:t>
            </w:r>
          </w:p>
          <w:p w14:paraId="795408E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color w:val="auto"/>
                <w:kern w:val="2"/>
                <w:sz w:val="24"/>
                <w:szCs w:val="24"/>
                <w:highlight w:val="none"/>
                <w:lang w:val="en-US" w:eastAsia="zh-CN" w:bidi="ar-SA"/>
              </w:rPr>
            </w:pPr>
            <w:r>
              <w:rPr>
                <w:rFonts w:hint="eastAsia" w:ascii="Times New Roman" w:hAnsi="Times New Roman" w:eastAsia="宋体" w:cs="Times New Roman"/>
                <w:b w:val="0"/>
                <w:bCs/>
                <w:color w:val="auto"/>
                <w:kern w:val="2"/>
                <w:sz w:val="24"/>
                <w:szCs w:val="24"/>
                <w:highlight w:val="none"/>
                <w:lang w:val="zh-CN" w:eastAsia="zh-CN" w:bidi="ar-SA"/>
              </w:rPr>
              <w:t>本项目涉及的危险物质情况及临界量比值详见表</w:t>
            </w:r>
            <w:r>
              <w:rPr>
                <w:rFonts w:hint="eastAsia" w:ascii="Times New Roman" w:hAnsi="Times New Roman" w:eastAsia="宋体" w:cs="Times New Roman"/>
                <w:b w:val="0"/>
                <w:bCs/>
                <w:color w:val="auto"/>
                <w:kern w:val="2"/>
                <w:sz w:val="24"/>
                <w:szCs w:val="24"/>
                <w:highlight w:val="none"/>
                <w:lang w:val="en-US" w:eastAsia="zh-CN" w:bidi="ar-SA"/>
              </w:rPr>
              <w:t>4.5-1，本</w:t>
            </w:r>
            <w:r>
              <w:rPr>
                <w:rFonts w:hint="eastAsia" w:ascii="Times New Roman" w:hAnsi="Times New Roman" w:eastAsia="宋体" w:cs="Times New Roman"/>
                <w:b w:val="0"/>
                <w:bCs/>
                <w:color w:val="auto"/>
                <w:kern w:val="2"/>
                <w:sz w:val="24"/>
                <w:szCs w:val="24"/>
                <w:highlight w:val="none"/>
                <w:lang w:val="zh-CN" w:eastAsia="zh-CN" w:bidi="ar-SA"/>
              </w:rPr>
              <w:t>项目危险物质的临界量比值</w:t>
            </w:r>
            <w:r>
              <w:rPr>
                <w:rFonts w:hint="eastAsia" w:ascii="Times New Roman" w:hAnsi="Times New Roman" w:eastAsia="宋体" w:cs="Times New Roman"/>
                <w:b w:val="0"/>
                <w:bCs/>
                <w:color w:val="auto"/>
                <w:kern w:val="2"/>
                <w:sz w:val="24"/>
                <w:szCs w:val="24"/>
                <w:highlight w:val="none"/>
                <w:lang w:val="en-US" w:eastAsia="zh-CN" w:bidi="ar-SA"/>
              </w:rPr>
              <w:t>Q＜1，项目环境风险潜势为Ⅰ，本项目的环境风险评价工作等级为简单分析。项目环境风险评价结论详见下表。</w:t>
            </w:r>
          </w:p>
          <w:p w14:paraId="6B94C118">
            <w:pPr>
              <w:keepNext/>
              <w:keepLines/>
              <w:jc w:val="center"/>
              <w:outlineLvl w:val="1"/>
              <w:rPr>
                <w:rFonts w:hint="eastAsia" w:ascii="Times New Roman" w:hAnsi="Times New Roman" w:eastAsia="宋体" w:cs="Times New Roman"/>
                <w:b/>
                <w:color w:val="auto"/>
                <w:szCs w:val="21"/>
                <w:lang w:val="en-US" w:eastAsia="zh-CN"/>
              </w:rPr>
            </w:pPr>
            <w:r>
              <w:rPr>
                <w:rFonts w:hint="eastAsia" w:ascii="Times New Roman" w:hAnsi="Times New Roman" w:eastAsia="宋体" w:cs="Times New Roman"/>
                <w:b/>
                <w:color w:val="auto"/>
                <w:szCs w:val="21"/>
                <w:lang w:val="en-US" w:eastAsia="zh-CN"/>
              </w:rPr>
              <w:t>表4.2-11建设项目环境风险简单分析内容表</w:t>
            </w:r>
          </w:p>
          <w:tbl>
            <w:tblPr>
              <w:tblStyle w:val="31"/>
              <w:tblW w:w="8079"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666"/>
              <w:gridCol w:w="6413"/>
            </w:tblGrid>
            <w:tr w14:paraId="1E43A8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666" w:type="dxa"/>
                  <w:vAlign w:val="center"/>
                </w:tcPr>
                <w:p w14:paraId="38AB1A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val="en-US" w:eastAsia="zh-CN" w:bidi="ar"/>
                    </w:rPr>
                  </w:pPr>
                  <w:r>
                    <w:rPr>
                      <w:rFonts w:hint="eastAsia" w:ascii="Times New Roman" w:hAnsi="Times New Roman" w:eastAsia="宋体" w:cs="Times New Roman"/>
                      <w:b/>
                      <w:bCs/>
                      <w:color w:val="auto"/>
                      <w:sz w:val="21"/>
                      <w:szCs w:val="21"/>
                      <w:highlight w:val="none"/>
                      <w:lang w:val="en-US" w:eastAsia="zh-CN" w:bidi="ar"/>
                    </w:rPr>
                    <w:t>建设项目名称</w:t>
                  </w:r>
                </w:p>
              </w:tc>
              <w:tc>
                <w:tcPr>
                  <w:tcW w:w="6413" w:type="dxa"/>
                  <w:vAlign w:val="center"/>
                </w:tcPr>
                <w:p w14:paraId="4B477D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val="en-US" w:eastAsia="zh-CN" w:bidi="ar"/>
                    </w:rPr>
                  </w:pPr>
                  <w:r>
                    <w:rPr>
                      <w:rFonts w:hint="eastAsia"/>
                      <w:color w:val="auto"/>
                      <w:sz w:val="21"/>
                      <w:szCs w:val="21"/>
                    </w:rPr>
                    <w:t>泰德能源科技</w:t>
                  </w:r>
                  <w:r>
                    <w:rPr>
                      <w:rFonts w:hint="eastAsia"/>
                      <w:color w:val="auto"/>
                      <w:sz w:val="21"/>
                      <w:szCs w:val="21"/>
                      <w:lang w:val="en-US" w:eastAsia="zh-CN"/>
                    </w:rPr>
                    <w:t>（</w:t>
                  </w:r>
                  <w:r>
                    <w:rPr>
                      <w:rFonts w:hint="eastAsia"/>
                      <w:color w:val="auto"/>
                      <w:sz w:val="21"/>
                      <w:szCs w:val="21"/>
                    </w:rPr>
                    <w:t>福建</w:t>
                  </w:r>
                  <w:r>
                    <w:rPr>
                      <w:rFonts w:hint="eastAsia"/>
                      <w:color w:val="auto"/>
                      <w:sz w:val="21"/>
                      <w:szCs w:val="21"/>
                      <w:lang w:val="en-US" w:eastAsia="zh-CN"/>
                    </w:rPr>
                    <w:t>）</w:t>
                  </w:r>
                  <w:r>
                    <w:rPr>
                      <w:rFonts w:hint="eastAsia"/>
                      <w:color w:val="auto"/>
                      <w:sz w:val="21"/>
                      <w:szCs w:val="21"/>
                    </w:rPr>
                    <w:t>有限公司发电设备生产基地项目</w:t>
                  </w:r>
                </w:p>
              </w:tc>
            </w:tr>
            <w:tr w14:paraId="4D88B3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666" w:type="dxa"/>
                  <w:vAlign w:val="center"/>
                </w:tcPr>
                <w:p w14:paraId="66E293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auto"/>
                      <w:sz w:val="21"/>
                      <w:szCs w:val="21"/>
                      <w:highlight w:val="none"/>
                      <w:lang w:val="en-US" w:eastAsia="zh-CN" w:bidi="ar"/>
                    </w:rPr>
                  </w:pPr>
                  <w:r>
                    <w:rPr>
                      <w:rFonts w:hint="eastAsia" w:ascii="Times New Roman" w:hAnsi="Times New Roman" w:eastAsia="宋体" w:cs="Times New Roman"/>
                      <w:b/>
                      <w:bCs/>
                      <w:color w:val="auto"/>
                      <w:sz w:val="21"/>
                      <w:szCs w:val="21"/>
                      <w:highlight w:val="none"/>
                      <w:lang w:val="en-US" w:eastAsia="zh-CN" w:bidi="ar"/>
                    </w:rPr>
                    <w:t>建设地点</w:t>
                  </w:r>
                </w:p>
              </w:tc>
              <w:tc>
                <w:tcPr>
                  <w:tcW w:w="6413" w:type="dxa"/>
                  <w:vAlign w:val="center"/>
                </w:tcPr>
                <w:p w14:paraId="537345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val="0"/>
                      <w:color w:val="auto"/>
                      <w:sz w:val="21"/>
                      <w:szCs w:val="21"/>
                      <w:highlight w:val="none"/>
                      <w:lang w:val="en-US" w:eastAsia="zh-CN" w:bidi="ar"/>
                    </w:rPr>
                  </w:pPr>
                  <w:r>
                    <w:rPr>
                      <w:rFonts w:hint="eastAsia"/>
                      <w:color w:val="auto"/>
                      <w:sz w:val="21"/>
                      <w:szCs w:val="21"/>
                    </w:rPr>
                    <w:t>福建省福州市闽侯县竹岐乡</w:t>
                  </w:r>
                </w:p>
              </w:tc>
            </w:tr>
            <w:tr w14:paraId="640D71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666" w:type="dxa"/>
                  <w:vAlign w:val="center"/>
                </w:tcPr>
                <w:p w14:paraId="773B1C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val="en-US" w:eastAsia="zh-CN" w:bidi="ar"/>
                    </w:rPr>
                  </w:pPr>
                  <w:r>
                    <w:rPr>
                      <w:rFonts w:hint="eastAsia" w:ascii="Times New Roman" w:hAnsi="Times New Roman" w:eastAsia="宋体" w:cs="Times New Roman"/>
                      <w:b/>
                      <w:bCs/>
                      <w:color w:val="auto"/>
                      <w:sz w:val="21"/>
                      <w:szCs w:val="21"/>
                      <w:highlight w:val="none"/>
                      <w:lang w:val="en-US" w:eastAsia="zh-CN" w:bidi="ar"/>
                    </w:rPr>
                    <w:t>地理坐标</w:t>
                  </w:r>
                </w:p>
              </w:tc>
              <w:tc>
                <w:tcPr>
                  <w:tcW w:w="6413" w:type="dxa"/>
                  <w:vAlign w:val="center"/>
                </w:tcPr>
                <w:p w14:paraId="0E67FD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bidi="ar"/>
                    </w:rPr>
                  </w:pPr>
                  <w:r>
                    <w:rPr>
                      <w:color w:val="auto"/>
                      <w:sz w:val="21"/>
                      <w:szCs w:val="21"/>
                    </w:rPr>
                    <w:t>东经</w:t>
                  </w:r>
                  <w:r>
                    <w:rPr>
                      <w:rFonts w:hint="default" w:ascii="Times New Roman" w:hAnsi="Times New Roman" w:cs="Times New Roman"/>
                      <w:color w:val="auto"/>
                      <w:sz w:val="21"/>
                      <w:szCs w:val="21"/>
                    </w:rPr>
                    <w:t>119°</w:t>
                  </w:r>
                  <w:r>
                    <w:rPr>
                      <w:rFonts w:hint="eastAsia" w:cs="Times New Roman"/>
                      <w:color w:val="auto"/>
                      <w:sz w:val="21"/>
                      <w:szCs w:val="21"/>
                      <w:lang w:val="en-US" w:eastAsia="zh-CN"/>
                    </w:rPr>
                    <w:t>7</w:t>
                  </w:r>
                  <w:r>
                    <w:rPr>
                      <w:rFonts w:hint="default" w:ascii="Times New Roman" w:hAnsi="Times New Roman" w:cs="Times New Roman"/>
                      <w:color w:val="auto"/>
                      <w:sz w:val="21"/>
                      <w:szCs w:val="21"/>
                    </w:rPr>
                    <w:t>′</w:t>
                  </w:r>
                  <w:r>
                    <w:rPr>
                      <w:rFonts w:hint="eastAsia" w:cs="Times New Roman"/>
                      <w:color w:val="auto"/>
                      <w:sz w:val="21"/>
                      <w:szCs w:val="21"/>
                      <w:lang w:val="en-US" w:eastAsia="zh-CN"/>
                    </w:rPr>
                    <w:t>53.381</w:t>
                  </w:r>
                  <w:r>
                    <w:rPr>
                      <w:rFonts w:hint="default" w:ascii="Times New Roman" w:hAnsi="Times New Roman" w:cs="Times New Roman"/>
                      <w:color w:val="auto"/>
                      <w:sz w:val="21"/>
                      <w:szCs w:val="21"/>
                    </w:rPr>
                    <w:t>″</w:t>
                  </w:r>
                  <w:r>
                    <w:rPr>
                      <w:color w:val="auto"/>
                      <w:sz w:val="21"/>
                      <w:szCs w:val="21"/>
                    </w:rPr>
                    <w:t>，北纬</w:t>
                  </w:r>
                  <w:r>
                    <w:rPr>
                      <w:rFonts w:hint="default" w:ascii="Times New Roman" w:hAnsi="Times New Roman" w:cs="Times New Roman"/>
                      <w:color w:val="auto"/>
                      <w:sz w:val="21"/>
                      <w:szCs w:val="21"/>
                    </w:rPr>
                    <w:t>2</w:t>
                  </w:r>
                  <w:r>
                    <w:rPr>
                      <w:rFonts w:hint="eastAsia" w:cs="Times New Roman"/>
                      <w:color w:val="auto"/>
                      <w:sz w:val="21"/>
                      <w:szCs w:val="21"/>
                      <w:lang w:val="en-US" w:eastAsia="zh-CN"/>
                    </w:rPr>
                    <w:t>6</w:t>
                  </w:r>
                  <w:r>
                    <w:rPr>
                      <w:rFonts w:hint="default" w:ascii="Times New Roman" w:hAnsi="Times New Roman" w:cs="Times New Roman"/>
                      <w:color w:val="auto"/>
                      <w:sz w:val="21"/>
                      <w:szCs w:val="21"/>
                    </w:rPr>
                    <w:t>°</w:t>
                  </w:r>
                  <w:r>
                    <w:rPr>
                      <w:rFonts w:hint="eastAsia" w:cs="Times New Roman"/>
                      <w:color w:val="auto"/>
                      <w:sz w:val="21"/>
                      <w:szCs w:val="21"/>
                      <w:lang w:val="en-US" w:eastAsia="zh-CN"/>
                    </w:rPr>
                    <w:t>6</w:t>
                  </w:r>
                  <w:r>
                    <w:rPr>
                      <w:rFonts w:hint="default" w:ascii="Times New Roman" w:hAnsi="Times New Roman" w:cs="Times New Roman"/>
                      <w:color w:val="auto"/>
                      <w:sz w:val="21"/>
                      <w:szCs w:val="21"/>
                    </w:rPr>
                    <w:t>′</w:t>
                  </w:r>
                  <w:r>
                    <w:rPr>
                      <w:rFonts w:hint="eastAsia" w:cs="Times New Roman"/>
                      <w:color w:val="auto"/>
                      <w:sz w:val="21"/>
                      <w:szCs w:val="21"/>
                      <w:lang w:val="en-US" w:eastAsia="zh-CN"/>
                    </w:rPr>
                    <w:t>50.732</w:t>
                  </w:r>
                  <w:r>
                    <w:rPr>
                      <w:rFonts w:hint="default" w:ascii="Times New Roman" w:hAnsi="Times New Roman" w:cs="Times New Roman"/>
                      <w:color w:val="auto"/>
                      <w:sz w:val="21"/>
                      <w:szCs w:val="21"/>
                    </w:rPr>
                    <w:t>″</w:t>
                  </w:r>
                </w:p>
              </w:tc>
            </w:tr>
            <w:tr w14:paraId="1379A8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666" w:type="dxa"/>
                  <w:shd w:val="clear" w:color="auto" w:fill="auto"/>
                  <w:vAlign w:val="center"/>
                </w:tcPr>
                <w:p w14:paraId="2CA72C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val="en-US" w:eastAsia="zh-CN" w:bidi="ar"/>
                    </w:rPr>
                  </w:pPr>
                  <w:r>
                    <w:rPr>
                      <w:rFonts w:hint="eastAsia" w:ascii="Times New Roman" w:hAnsi="Times New Roman" w:eastAsia="宋体" w:cs="Times New Roman"/>
                      <w:b/>
                      <w:bCs/>
                      <w:color w:val="auto"/>
                      <w:sz w:val="21"/>
                      <w:szCs w:val="21"/>
                      <w:highlight w:val="none"/>
                      <w:lang w:val="en-US" w:eastAsia="zh-CN" w:bidi="ar"/>
                    </w:rPr>
                    <w:t>主要危险物质及分布</w:t>
                  </w:r>
                </w:p>
              </w:tc>
              <w:tc>
                <w:tcPr>
                  <w:tcW w:w="6413" w:type="dxa"/>
                  <w:shd w:val="clear" w:color="auto" w:fill="auto"/>
                  <w:vAlign w:val="center"/>
                </w:tcPr>
                <w:p w14:paraId="533316A3">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auto"/>
                      <w:sz w:val="21"/>
                      <w:szCs w:val="21"/>
                      <w:highlight w:val="none"/>
                      <w:lang w:val="en-US" w:eastAsia="zh-CN" w:bidi="ar"/>
                    </w:rPr>
                  </w:pPr>
                  <w:r>
                    <w:rPr>
                      <w:rFonts w:hint="default" w:ascii="Times New Roman" w:hAnsi="Times New Roman" w:eastAsia="宋体" w:cs="Times New Roman"/>
                      <w:b w:val="0"/>
                      <w:bCs w:val="0"/>
                      <w:color w:val="auto"/>
                      <w:sz w:val="21"/>
                      <w:szCs w:val="21"/>
                      <w:highlight w:val="none"/>
                      <w:lang w:val="en-US" w:eastAsia="zh-CN" w:bidi="ar"/>
                    </w:rPr>
                    <w:t>本项目所用原辅材料中的柴油</w:t>
                  </w:r>
                  <w:r>
                    <w:rPr>
                      <w:rFonts w:hint="eastAsia" w:ascii="Times New Roman" w:hAnsi="Times New Roman" w:eastAsia="宋体" w:cs="Times New Roman"/>
                      <w:b w:val="0"/>
                      <w:bCs w:val="0"/>
                      <w:color w:val="auto"/>
                      <w:sz w:val="21"/>
                      <w:szCs w:val="21"/>
                      <w:highlight w:val="none"/>
                      <w:lang w:val="en-US" w:eastAsia="zh-CN" w:bidi="ar"/>
                    </w:rPr>
                    <w:t>、设备维护使用的润滑油以及</w:t>
                  </w:r>
                  <w:r>
                    <w:rPr>
                      <w:rFonts w:hint="default" w:ascii="Times New Roman" w:hAnsi="Times New Roman" w:eastAsia="宋体" w:cs="Times New Roman"/>
                      <w:b w:val="0"/>
                      <w:bCs w:val="0"/>
                      <w:color w:val="auto"/>
                      <w:sz w:val="21"/>
                      <w:szCs w:val="21"/>
                      <w:highlight w:val="none"/>
                      <w:lang w:val="en-US" w:eastAsia="zh-CN" w:bidi="ar"/>
                    </w:rPr>
                    <w:t>危废暂存间中的废</w:t>
                  </w:r>
                  <w:r>
                    <w:rPr>
                      <w:rFonts w:hint="eastAsia" w:ascii="Times New Roman" w:hAnsi="Times New Roman" w:eastAsia="宋体" w:cs="Times New Roman"/>
                      <w:b w:val="0"/>
                      <w:bCs w:val="0"/>
                      <w:color w:val="auto"/>
                      <w:sz w:val="21"/>
                      <w:szCs w:val="21"/>
                      <w:highlight w:val="none"/>
                      <w:lang w:val="en-US" w:eastAsia="zh-CN" w:bidi="ar"/>
                    </w:rPr>
                    <w:t>润滑油、废柴油、脱脂清洗废液等危险废物</w:t>
                  </w:r>
                </w:p>
              </w:tc>
            </w:tr>
            <w:tr w14:paraId="026E71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666" w:type="dxa"/>
                  <w:shd w:val="clear" w:color="auto" w:fill="auto"/>
                  <w:vAlign w:val="center"/>
                </w:tcPr>
                <w:p w14:paraId="4C20FD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val="en-US" w:eastAsia="zh-CN" w:bidi="ar"/>
                    </w:rPr>
                  </w:pPr>
                  <w:r>
                    <w:rPr>
                      <w:rFonts w:hint="eastAsia" w:ascii="Times New Roman" w:hAnsi="Times New Roman" w:eastAsia="宋体" w:cs="Times New Roman"/>
                      <w:b/>
                      <w:bCs/>
                      <w:color w:val="auto"/>
                      <w:sz w:val="21"/>
                      <w:szCs w:val="21"/>
                      <w:highlight w:val="none"/>
                      <w:lang w:val="en-US" w:eastAsia="zh-CN" w:bidi="ar"/>
                    </w:rPr>
                    <w:t>环境影响途径及危害后果</w:t>
                  </w:r>
                </w:p>
              </w:tc>
              <w:tc>
                <w:tcPr>
                  <w:tcW w:w="6413" w:type="dxa"/>
                  <w:shd w:val="clear" w:color="auto" w:fill="auto"/>
                  <w:vAlign w:val="center"/>
                </w:tcPr>
                <w:p w14:paraId="5BF2023D">
                  <w:pPr>
                    <w:keepNext w:val="0"/>
                    <w:keepLines w:val="0"/>
                    <w:widowControl/>
                    <w:suppressLineNumbers w:val="0"/>
                    <w:jc w:val="both"/>
                    <w:rPr>
                      <w:rFonts w:hint="eastAsia" w:ascii="Times New Roman" w:hAnsi="Times New Roman" w:eastAsia="宋体" w:cs="Times New Roman"/>
                      <w:b w:val="0"/>
                      <w:bCs w:val="0"/>
                      <w:color w:val="auto"/>
                      <w:sz w:val="21"/>
                      <w:szCs w:val="21"/>
                      <w:highlight w:val="none"/>
                      <w:lang w:val="en-US" w:eastAsia="zh-CN" w:bidi="ar"/>
                    </w:rPr>
                  </w:pPr>
                  <w:r>
                    <w:rPr>
                      <w:rFonts w:hint="eastAsia" w:ascii="宋体" w:hAnsi="宋体" w:eastAsia="宋体" w:cs="宋体"/>
                      <w:color w:val="auto"/>
                      <w:kern w:val="0"/>
                      <w:sz w:val="21"/>
                      <w:szCs w:val="21"/>
                      <w:lang w:val="en-US" w:eastAsia="zh-CN" w:bidi="ar"/>
                    </w:rPr>
                    <w:t>项目厂区分区防渗，故风险物质泄漏导致的地表水、地下水环境风险事故概率较低，主要风险类型为危险物质储存使用不当，造成泄漏，以及柴油、润滑油等油类为易燃物，遇明火导致火灾、爆炸造成的大气环境风险事故。</w:t>
                  </w:r>
                </w:p>
              </w:tc>
            </w:tr>
            <w:tr w14:paraId="61010B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666" w:type="dxa"/>
                  <w:shd w:val="clear" w:color="auto" w:fill="auto"/>
                  <w:vAlign w:val="center"/>
                </w:tcPr>
                <w:p w14:paraId="13AEA2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auto"/>
                      <w:sz w:val="21"/>
                      <w:szCs w:val="21"/>
                      <w:highlight w:val="none"/>
                      <w:lang w:val="en-US" w:eastAsia="zh-CN" w:bidi="ar"/>
                    </w:rPr>
                  </w:pPr>
                  <w:r>
                    <w:rPr>
                      <w:rFonts w:hint="eastAsia" w:ascii="Times New Roman" w:hAnsi="Times New Roman" w:eastAsia="宋体" w:cs="Times New Roman"/>
                      <w:b/>
                      <w:bCs/>
                      <w:color w:val="auto"/>
                      <w:sz w:val="21"/>
                      <w:szCs w:val="21"/>
                      <w:highlight w:val="none"/>
                      <w:lang w:val="en-US" w:eastAsia="zh-CN" w:bidi="ar"/>
                    </w:rPr>
                    <w:t>风险防范措施要求</w:t>
                  </w:r>
                </w:p>
              </w:tc>
              <w:tc>
                <w:tcPr>
                  <w:tcW w:w="6413" w:type="dxa"/>
                  <w:shd w:val="clear" w:color="auto" w:fill="auto"/>
                  <w:vAlign w:val="center"/>
                </w:tcPr>
                <w:p w14:paraId="03CF8EE8">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b w:val="0"/>
                      <w:bCs w:val="0"/>
                      <w:color w:val="auto"/>
                      <w:sz w:val="21"/>
                      <w:szCs w:val="21"/>
                      <w:highlight w:val="none"/>
                      <w:lang w:val="en-US" w:eastAsia="zh-CN" w:bidi="ar"/>
                    </w:rPr>
                  </w:pPr>
                  <w:r>
                    <w:rPr>
                      <w:rFonts w:hint="eastAsia" w:ascii="Times New Roman" w:hAnsi="Times New Roman" w:eastAsia="宋体" w:cs="Times New Roman"/>
                      <w:b w:val="0"/>
                      <w:bCs w:val="0"/>
                      <w:color w:val="auto"/>
                      <w:sz w:val="21"/>
                      <w:szCs w:val="21"/>
                      <w:highlight w:val="none"/>
                      <w:lang w:val="en-US" w:eastAsia="zh-CN" w:bidi="ar"/>
                    </w:rPr>
                    <w:t>（1）定期对废气收集及处理设施进行检修维护，确保其正常工作，发生故障时应及时停止相关工序生产设备，维修正常后再开始作业。</w:t>
                  </w:r>
                </w:p>
                <w:p w14:paraId="51C5E18F">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b w:val="0"/>
                      <w:bCs w:val="0"/>
                      <w:color w:val="auto"/>
                      <w:sz w:val="21"/>
                      <w:szCs w:val="21"/>
                      <w:highlight w:val="none"/>
                      <w:lang w:val="en-US" w:eastAsia="zh-CN" w:bidi="ar"/>
                    </w:rPr>
                  </w:pPr>
                  <w:r>
                    <w:rPr>
                      <w:rFonts w:hint="eastAsia" w:ascii="Times New Roman" w:hAnsi="Times New Roman" w:eastAsia="宋体" w:cs="Times New Roman"/>
                      <w:b w:val="0"/>
                      <w:bCs w:val="0"/>
                      <w:color w:val="auto"/>
                      <w:sz w:val="21"/>
                      <w:szCs w:val="21"/>
                      <w:highlight w:val="none"/>
                      <w:lang w:val="en-US" w:eastAsia="zh-CN" w:bidi="ar"/>
                    </w:rPr>
                    <w:t>（2）在生产车间显眼位置张贴禁用明火的标识，厂内应配备灭火器、消防栓、消防沙等消防应急设施，灭火器应布置在明显且便于取用的地方，并定期维护检查。</w:t>
                  </w:r>
                </w:p>
                <w:p w14:paraId="05F0FAEF">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b w:val="0"/>
                      <w:bCs w:val="0"/>
                      <w:color w:val="auto"/>
                      <w:sz w:val="21"/>
                      <w:szCs w:val="21"/>
                      <w:highlight w:val="none"/>
                      <w:lang w:val="en-US" w:eastAsia="zh-CN" w:bidi="ar"/>
                    </w:rPr>
                  </w:pPr>
                  <w:r>
                    <w:rPr>
                      <w:rFonts w:hint="eastAsia" w:ascii="Times New Roman" w:hAnsi="Times New Roman" w:eastAsia="宋体" w:cs="Times New Roman"/>
                      <w:b w:val="0"/>
                      <w:bCs w:val="0"/>
                      <w:color w:val="auto"/>
                      <w:sz w:val="21"/>
                      <w:szCs w:val="21"/>
                      <w:highlight w:val="none"/>
                      <w:lang w:val="en-US" w:eastAsia="zh-CN" w:bidi="ar"/>
                    </w:rPr>
                    <w:t>（3）原辅材料储存区应注明风险物质危险特性、安全使用说明以及事故应对措施。</w:t>
                  </w:r>
                </w:p>
                <w:p w14:paraId="36D7E635">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b w:val="0"/>
                      <w:bCs w:val="0"/>
                      <w:color w:val="auto"/>
                      <w:sz w:val="21"/>
                      <w:szCs w:val="21"/>
                      <w:highlight w:val="none"/>
                      <w:lang w:val="en-US" w:eastAsia="zh-CN" w:bidi="ar"/>
                    </w:rPr>
                  </w:pPr>
                  <w:r>
                    <w:rPr>
                      <w:rFonts w:hint="eastAsia" w:ascii="Times New Roman" w:hAnsi="Times New Roman" w:eastAsia="宋体" w:cs="Times New Roman"/>
                      <w:b w:val="0"/>
                      <w:bCs w:val="0"/>
                      <w:color w:val="auto"/>
                      <w:sz w:val="21"/>
                      <w:szCs w:val="21"/>
                      <w:highlight w:val="none"/>
                      <w:lang w:val="en-US" w:eastAsia="zh-CN" w:bidi="ar"/>
                    </w:rPr>
                    <w:t>（4）涉及油类使用的生产车间区域应配备收油托盘，地面做好防渗措施；车间地面油类滴漏情况应随时清理，用吸附材料吸附，保持地面的清洁，减少油类风险物质泄漏量，防止油类物质泄漏污染土壤。</w:t>
                  </w:r>
                </w:p>
                <w:p w14:paraId="36A7FD4F">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b w:val="0"/>
                      <w:bCs w:val="0"/>
                      <w:color w:val="auto"/>
                      <w:sz w:val="21"/>
                      <w:szCs w:val="21"/>
                      <w:highlight w:val="none"/>
                      <w:lang w:val="en-US" w:eastAsia="zh-CN" w:bidi="ar"/>
                    </w:rPr>
                  </w:pPr>
                  <w:r>
                    <w:rPr>
                      <w:rFonts w:hint="eastAsia" w:ascii="Times New Roman" w:hAnsi="Times New Roman" w:eastAsia="宋体" w:cs="Times New Roman"/>
                      <w:b w:val="0"/>
                      <w:bCs w:val="0"/>
                      <w:color w:val="auto"/>
                      <w:sz w:val="21"/>
                      <w:szCs w:val="21"/>
                      <w:highlight w:val="none"/>
                      <w:lang w:val="en-US" w:eastAsia="zh-CN" w:bidi="ar"/>
                    </w:rPr>
                    <w:t>（5）建立健全安全生产责任制实行定期性安全检查，设置专人看守危废暂存间。增强安全意识，加强安全教育，增强职工安全意识，认真贯彻安全法规和制度，制定相应的应急措施。项目危废暂存间进行防渗，危废暂存间为重点防渗区，防渗技术要求满足等效黏土防渗层Mb≥6.0m，K≤1×10-7cm/s，严格执行《危险废物贮存污染控制标准》的要求。</w:t>
                  </w:r>
                </w:p>
              </w:tc>
            </w:tr>
            <w:tr w14:paraId="4993DC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079" w:type="dxa"/>
                  <w:gridSpan w:val="2"/>
                  <w:shd w:val="clear" w:color="auto" w:fill="auto"/>
                  <w:vAlign w:val="center"/>
                </w:tcPr>
                <w:p w14:paraId="508377B0">
                  <w:pPr>
                    <w:keepNext w:val="0"/>
                    <w:keepLines w:val="0"/>
                    <w:widowControl/>
                    <w:suppressLineNumbers w:val="0"/>
                    <w:jc w:val="left"/>
                    <w:rPr>
                      <w:color w:val="auto"/>
                      <w:sz w:val="21"/>
                      <w:szCs w:val="21"/>
                    </w:rPr>
                  </w:pPr>
                  <w:r>
                    <w:rPr>
                      <w:rFonts w:hint="eastAsia" w:ascii="宋体" w:hAnsi="宋体" w:eastAsia="宋体" w:cs="宋体"/>
                      <w:color w:val="auto"/>
                      <w:kern w:val="0"/>
                      <w:sz w:val="21"/>
                      <w:szCs w:val="21"/>
                      <w:lang w:val="en-US" w:eastAsia="zh-CN" w:bidi="ar"/>
                    </w:rPr>
                    <w:t>填表说明（列出项目相关信息及评价说明）：</w:t>
                  </w:r>
                </w:p>
                <w:p w14:paraId="1426F558">
                  <w:pPr>
                    <w:keepNext w:val="0"/>
                    <w:keepLines w:val="0"/>
                    <w:widowControl/>
                    <w:suppressLineNumbers w:val="0"/>
                    <w:jc w:val="left"/>
                    <w:rPr>
                      <w:rFonts w:hint="eastAsia" w:ascii="Times New Roman" w:hAnsi="Times New Roman" w:eastAsia="宋体" w:cs="Times New Roman"/>
                      <w:b w:val="0"/>
                      <w:bCs w:val="0"/>
                      <w:color w:val="auto"/>
                      <w:sz w:val="21"/>
                      <w:szCs w:val="21"/>
                      <w:highlight w:val="none"/>
                      <w:lang w:val="en-US" w:eastAsia="zh-CN" w:bidi="ar"/>
                    </w:rPr>
                  </w:pPr>
                  <w:r>
                    <w:rPr>
                      <w:rFonts w:hint="eastAsia" w:ascii="宋体" w:hAnsi="宋体" w:eastAsia="宋体" w:cs="宋体"/>
                      <w:color w:val="auto"/>
                      <w:kern w:val="0"/>
                      <w:sz w:val="21"/>
                      <w:szCs w:val="21"/>
                      <w:lang w:val="en-US" w:eastAsia="zh-CN" w:bidi="ar"/>
                    </w:rPr>
                    <w:t>项目风险潜势为</w:t>
                  </w:r>
                  <w:r>
                    <w:rPr>
                      <w:rFonts w:hint="default" w:ascii="Times New Roman" w:hAnsi="Times New Roman" w:eastAsia="宋体" w:cs="Times New Roman"/>
                      <w:color w:val="auto"/>
                      <w:kern w:val="0"/>
                      <w:sz w:val="21"/>
                      <w:szCs w:val="21"/>
                      <w:lang w:val="en-US" w:eastAsia="zh-CN" w:bidi="ar"/>
                    </w:rPr>
                    <w:t>Ⅰ</w:t>
                  </w:r>
                  <w:r>
                    <w:rPr>
                      <w:rFonts w:hint="eastAsia" w:ascii="宋体" w:hAnsi="宋体" w:eastAsia="宋体" w:cs="宋体"/>
                      <w:color w:val="auto"/>
                      <w:kern w:val="0"/>
                      <w:sz w:val="21"/>
                      <w:szCs w:val="21"/>
                      <w:lang w:val="en-US" w:eastAsia="zh-CN" w:bidi="ar"/>
                    </w:rPr>
                    <w:t>，仅进行简单分析，在采取有效的防范措施、制定相应的应急预案并按规定落实的前提下，建设单位可将事故风险的影响减至最小。</w:t>
                  </w:r>
                </w:p>
              </w:tc>
            </w:tr>
          </w:tbl>
          <w:p w14:paraId="6752A8C2">
            <w:pPr>
              <w:keepNext w:val="0"/>
              <w:keepLines w:val="0"/>
              <w:pageBreakBefore w:val="0"/>
              <w:widowControl w:val="0"/>
              <w:kinsoku/>
              <w:wordWrap/>
              <w:overflowPunct/>
              <w:topLinePunct w:val="0"/>
              <w:autoSpaceDE/>
              <w:autoSpaceDN/>
              <w:bidi w:val="0"/>
              <w:adjustRightInd/>
              <w:snapToGrid/>
              <w:spacing w:before="157" w:beforeLines="50" w:line="360" w:lineRule="auto"/>
              <w:ind w:firstLine="241" w:firstLineChars="100"/>
              <w:jc w:val="both"/>
              <w:textAlignment w:val="auto"/>
              <w:rPr>
                <w:rFonts w:hint="default" w:ascii="Times New Roman" w:hAnsi="Times New Roman" w:eastAsia="宋体" w:cs="Times New Roman"/>
                <w:b w:val="0"/>
                <w:bCs/>
                <w:color w:val="auto"/>
                <w:kern w:val="2"/>
                <w:sz w:val="24"/>
                <w:szCs w:val="24"/>
                <w:highlight w:val="none"/>
                <w:lang w:val="en-US" w:eastAsia="zh-CN" w:bidi="ar-SA"/>
              </w:rPr>
            </w:pPr>
            <w:r>
              <w:rPr>
                <w:rFonts w:hint="eastAsia" w:ascii="Times New Roman" w:hAnsi="Times New Roman" w:eastAsia="宋体" w:cs="Times New Roman"/>
                <w:b/>
                <w:bCs w:val="0"/>
                <w:color w:val="auto"/>
                <w:kern w:val="2"/>
                <w:sz w:val="24"/>
                <w:szCs w:val="24"/>
                <w:highlight w:val="none"/>
                <w:lang w:val="en-US" w:eastAsia="zh-CN" w:bidi="ar-SA"/>
              </w:rPr>
              <w:t>4.2.6.</w:t>
            </w:r>
            <w:r>
              <w:rPr>
                <w:rFonts w:hint="eastAsia" w:cs="Times New Roman"/>
                <w:b/>
                <w:bCs w:val="0"/>
                <w:color w:val="auto"/>
                <w:kern w:val="2"/>
                <w:sz w:val="24"/>
                <w:szCs w:val="24"/>
                <w:highlight w:val="none"/>
                <w:lang w:val="en-US" w:eastAsia="zh-CN" w:bidi="ar-SA"/>
              </w:rPr>
              <w:t>3</w:t>
            </w:r>
            <w:r>
              <w:rPr>
                <w:rFonts w:hint="eastAsia" w:ascii="Times New Roman" w:hAnsi="Times New Roman" w:eastAsia="宋体" w:cs="Times New Roman"/>
                <w:b/>
                <w:bCs w:val="0"/>
                <w:color w:val="auto"/>
                <w:kern w:val="2"/>
                <w:sz w:val="24"/>
                <w:szCs w:val="24"/>
                <w:highlight w:val="none"/>
                <w:lang w:val="en-US" w:eastAsia="zh-CN" w:bidi="ar-SA"/>
              </w:rPr>
              <w:t>环境风险源识别</w:t>
            </w:r>
          </w:p>
          <w:p w14:paraId="17586F6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项目运营过程中可能产生的环境风险如下：</w:t>
            </w:r>
          </w:p>
          <w:p w14:paraId="6F7849F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（1）</w:t>
            </w:r>
            <w:r>
              <w:rPr>
                <w:rFonts w:hint="default" w:ascii="Times New Roman" w:hAnsi="Times New Roman" w:eastAsia="宋体" w:cs="Times New Roman"/>
                <w:color w:val="auto"/>
                <w:kern w:val="0"/>
                <w:sz w:val="24"/>
                <w:szCs w:val="20"/>
              </w:rPr>
              <w:t>主要原辅材料、燃料</w:t>
            </w:r>
            <w:r>
              <w:rPr>
                <w:rFonts w:hint="default" w:ascii="Times New Roman" w:hAnsi="Times New Roman" w:eastAsia="宋体" w:cs="Times New Roman"/>
                <w:color w:val="auto"/>
                <w:kern w:val="0"/>
                <w:sz w:val="24"/>
                <w:szCs w:val="24"/>
                <w:lang w:val="en-US" w:eastAsia="zh-CN" w:bidi="ar"/>
              </w:rPr>
              <w:t>因生产设施电器故障或遇明火等因素，造成火灾，引发的伴生/次生污染物影响周边大气环境</w:t>
            </w:r>
            <w:r>
              <w:rPr>
                <w:rFonts w:hint="default" w:ascii="Times New Roman" w:hAnsi="Times New Roman" w:eastAsia="宋体" w:cs="Times New Roman"/>
                <w:color w:val="auto"/>
                <w:kern w:val="0"/>
                <w:sz w:val="24"/>
                <w:szCs w:val="20"/>
              </w:rPr>
              <w:t>。</w:t>
            </w:r>
          </w:p>
          <w:p w14:paraId="21057A97">
            <w:pPr>
              <w:keepNext/>
              <w:keepLines w:val="0"/>
              <w:pageBreakBefore w:val="0"/>
              <w:widowControl w:val="0"/>
              <w:kinsoku/>
              <w:wordWrap/>
              <w:overflowPunct w:val="0"/>
              <w:topLinePunct w:val="0"/>
              <w:autoSpaceDE/>
              <w:autoSpaceDN/>
              <w:bidi w:val="0"/>
              <w:adjustRightInd/>
              <w:snapToGrid w:val="0"/>
              <w:spacing w:line="360" w:lineRule="auto"/>
              <w:ind w:firstLine="480" w:firstLineChars="200"/>
              <w:jc w:val="both"/>
              <w:textAlignment w:val="auto"/>
              <w:rPr>
                <w:rFonts w:hint="eastAsia"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（2）</w:t>
            </w:r>
            <w:r>
              <w:rPr>
                <w:rFonts w:hint="eastAsia" w:cs="Times New Roman"/>
                <w:b w:val="0"/>
                <w:bCs w:val="0"/>
                <w:color w:val="auto"/>
                <w:sz w:val="24"/>
                <w:highlight w:val="none"/>
                <w:lang w:val="en-US" w:eastAsia="zh-CN"/>
              </w:rPr>
              <w:t>润滑油、柴油</w:t>
            </w:r>
            <w:r>
              <w:rPr>
                <w:rFonts w:hint="eastAsia" w:ascii="Times New Roman" w:hAnsi="Times New Roman" w:eastAsia="宋体" w:cs="Times New Roman"/>
                <w:b w:val="0"/>
                <w:bCs w:val="0"/>
                <w:color w:val="auto"/>
                <w:sz w:val="24"/>
                <w:highlight w:val="none"/>
                <w:lang w:val="en-US" w:eastAsia="zh-CN"/>
              </w:rPr>
              <w:t>等</w:t>
            </w:r>
            <w:r>
              <w:rPr>
                <w:rFonts w:hint="eastAsia" w:cs="Times New Roman"/>
                <w:b w:val="0"/>
                <w:bCs w:val="0"/>
                <w:color w:val="auto"/>
                <w:sz w:val="24"/>
                <w:highlight w:val="none"/>
                <w:lang w:val="en-US" w:eastAsia="zh-CN"/>
              </w:rPr>
              <w:t>容器破损和失误操作</w:t>
            </w:r>
            <w:r>
              <w:rPr>
                <w:rFonts w:hint="eastAsia" w:ascii="Times New Roman" w:hAnsi="Times New Roman" w:eastAsia="宋体" w:cs="Times New Roman"/>
                <w:b w:val="0"/>
                <w:bCs w:val="0"/>
                <w:color w:val="auto"/>
                <w:sz w:val="24"/>
                <w:highlight w:val="none"/>
                <w:lang w:val="en-US" w:eastAsia="zh-CN"/>
              </w:rPr>
              <w:t>发生泄漏事故。</w:t>
            </w:r>
          </w:p>
          <w:p w14:paraId="7F0E4F09">
            <w:pPr>
              <w:keepNext/>
              <w:keepLines w:val="0"/>
              <w:pageBreakBefore w:val="0"/>
              <w:widowControl w:val="0"/>
              <w:kinsoku/>
              <w:wordWrap/>
              <w:overflowPunct w:val="0"/>
              <w:topLinePunct w:val="0"/>
              <w:autoSpaceDE/>
              <w:autoSpaceDN/>
              <w:bidi w:val="0"/>
              <w:adjustRightInd/>
              <w:snapToGrid w:val="0"/>
              <w:spacing w:line="360" w:lineRule="auto"/>
              <w:ind w:firstLine="480" w:firstLineChars="200"/>
              <w:jc w:val="both"/>
              <w:textAlignment w:val="auto"/>
              <w:rPr>
                <w:rFonts w:hint="eastAsia" w:ascii="Times New Roman" w:hAnsi="Times New Roman" w:eastAsia="宋体" w:cs="Times New Roman"/>
                <w:b w:val="0"/>
                <w:bCs w:val="0"/>
                <w:color w:val="auto"/>
                <w:sz w:val="24"/>
                <w:highlight w:val="none"/>
                <w:lang w:val="en-US" w:eastAsia="zh-CN"/>
              </w:rPr>
            </w:pPr>
            <w:r>
              <w:rPr>
                <w:rFonts w:hint="eastAsia" w:cs="Times New Roman"/>
                <w:b w:val="0"/>
                <w:bCs w:val="0"/>
                <w:color w:val="auto"/>
                <w:sz w:val="24"/>
                <w:highlight w:val="none"/>
                <w:lang w:val="en-US" w:eastAsia="zh-CN"/>
              </w:rPr>
              <w:t>（3）废润滑油、废柴油、脱脂清洗废液等危险废物</w:t>
            </w:r>
            <w:r>
              <w:rPr>
                <w:rFonts w:hint="eastAsia" w:ascii="Times New Roman" w:hAnsi="Times New Roman" w:eastAsia="宋体" w:cs="Times New Roman"/>
                <w:b w:val="0"/>
                <w:bCs w:val="0"/>
                <w:color w:val="auto"/>
                <w:sz w:val="24"/>
                <w:highlight w:val="none"/>
                <w:lang w:val="en-US" w:eastAsia="zh-CN"/>
              </w:rPr>
              <w:t>等运输和贮存过</w:t>
            </w:r>
            <w:r>
              <w:rPr>
                <w:rFonts w:hint="eastAsia" w:cs="Times New Roman"/>
                <w:b w:val="0"/>
                <w:bCs w:val="0"/>
                <w:color w:val="auto"/>
                <w:sz w:val="24"/>
                <w:highlight w:val="none"/>
                <w:lang w:val="en-US" w:eastAsia="zh-CN"/>
              </w:rPr>
              <w:t>程中</w:t>
            </w:r>
            <w:r>
              <w:rPr>
                <w:rFonts w:hint="eastAsia" w:ascii="Times New Roman" w:hAnsi="Times New Roman" w:eastAsia="宋体" w:cs="Times New Roman"/>
                <w:b w:val="0"/>
                <w:bCs w:val="0"/>
                <w:color w:val="auto"/>
                <w:sz w:val="24"/>
                <w:highlight w:val="none"/>
                <w:lang w:val="en-US" w:eastAsia="zh-CN"/>
              </w:rPr>
              <w:t>发生泄漏事故。</w:t>
            </w:r>
          </w:p>
          <w:p w14:paraId="5FB7DDFE">
            <w:pPr>
              <w:keepNext/>
              <w:keepLines w:val="0"/>
              <w:pageBreakBefore w:val="0"/>
              <w:widowControl w:val="0"/>
              <w:kinsoku/>
              <w:wordWrap/>
              <w:overflowPunct w:val="0"/>
              <w:topLinePunct w:val="0"/>
              <w:autoSpaceDE/>
              <w:autoSpaceDN/>
              <w:bidi w:val="0"/>
              <w:adjustRightInd/>
              <w:snapToGrid w:val="0"/>
              <w:spacing w:line="360" w:lineRule="auto"/>
              <w:ind w:firstLine="480" w:firstLineChars="200"/>
              <w:jc w:val="both"/>
              <w:textAlignment w:val="auto"/>
              <w:rPr>
                <w:rFonts w:hint="default" w:ascii="Times New Roman" w:hAnsi="Times New Roman" w:eastAsia="宋体" w:cs="Times New Roman"/>
                <w:b w:val="0"/>
                <w:bCs w:val="0"/>
                <w:color w:val="auto"/>
                <w:sz w:val="24"/>
                <w:highlight w:val="none"/>
                <w:lang w:val="en-US" w:eastAsia="zh-CN"/>
              </w:rPr>
            </w:pPr>
            <w:r>
              <w:rPr>
                <w:rFonts w:hint="eastAsia" w:ascii="Times New Roman" w:hAnsi="Times New Roman" w:eastAsia="宋体" w:cs="Times New Roman"/>
                <w:b w:val="0"/>
                <w:bCs w:val="0"/>
                <w:color w:val="auto"/>
                <w:sz w:val="24"/>
                <w:highlight w:val="none"/>
                <w:lang w:val="en-US" w:eastAsia="zh-CN"/>
              </w:rPr>
              <w:t>（4）</w:t>
            </w:r>
            <w:r>
              <w:rPr>
                <w:rFonts w:ascii="Times New Roman" w:hAnsi="Times New Roman" w:eastAsia="宋体"/>
                <w:color w:val="auto"/>
                <w:kern w:val="0"/>
                <w:sz w:val="24"/>
                <w:szCs w:val="20"/>
                <w:highlight w:val="none"/>
              </w:rPr>
              <w:t>废气处理设施故障时</w:t>
            </w:r>
            <w:r>
              <w:rPr>
                <w:rFonts w:hint="eastAsia" w:ascii="Times New Roman" w:hAnsi="Times New Roman" w:eastAsia="宋体"/>
                <w:color w:val="auto"/>
                <w:kern w:val="0"/>
                <w:sz w:val="24"/>
                <w:szCs w:val="20"/>
                <w:highlight w:val="none"/>
              </w:rPr>
              <w:t>，</w:t>
            </w:r>
            <w:r>
              <w:rPr>
                <w:rFonts w:ascii="Times New Roman" w:hAnsi="Times New Roman" w:eastAsia="宋体"/>
                <w:color w:val="auto"/>
                <w:kern w:val="0"/>
                <w:sz w:val="24"/>
                <w:szCs w:val="20"/>
                <w:highlight w:val="none"/>
              </w:rPr>
              <w:t>造成废气事故排放</w:t>
            </w:r>
            <w:r>
              <w:rPr>
                <w:rFonts w:hint="eastAsia" w:ascii="Times New Roman" w:hAnsi="Times New Roman" w:eastAsia="宋体"/>
                <w:color w:val="auto"/>
                <w:kern w:val="0"/>
                <w:sz w:val="24"/>
                <w:szCs w:val="20"/>
                <w:highlight w:val="none"/>
              </w:rPr>
              <w:t>，</w:t>
            </w:r>
            <w:r>
              <w:rPr>
                <w:rFonts w:ascii="Times New Roman" w:hAnsi="Times New Roman" w:eastAsia="宋体"/>
                <w:color w:val="auto"/>
                <w:kern w:val="0"/>
                <w:sz w:val="24"/>
                <w:szCs w:val="20"/>
                <w:highlight w:val="none"/>
              </w:rPr>
              <w:t>影响周边大气环境</w:t>
            </w:r>
            <w:r>
              <w:rPr>
                <w:rFonts w:hint="eastAsia" w:ascii="Times New Roman" w:hAnsi="Times New Roman" w:eastAsia="宋体"/>
                <w:color w:val="auto"/>
                <w:kern w:val="0"/>
                <w:sz w:val="24"/>
                <w:szCs w:val="20"/>
                <w:highlight w:val="none"/>
              </w:rPr>
              <w:t>。</w:t>
            </w:r>
          </w:p>
          <w:p w14:paraId="18F95267">
            <w:pPr>
              <w:keepNext/>
              <w:keepLines/>
              <w:jc w:val="center"/>
              <w:outlineLvl w:val="1"/>
              <w:rPr>
                <w:rFonts w:hint="eastAsia"/>
                <w:b/>
                <w:color w:val="auto"/>
                <w:szCs w:val="21"/>
                <w:lang w:val="en-US" w:eastAsia="zh-CN"/>
              </w:rPr>
            </w:pPr>
            <w:r>
              <w:rPr>
                <w:rFonts w:hint="eastAsia"/>
                <w:b/>
                <w:color w:val="auto"/>
                <w:szCs w:val="21"/>
                <w:lang w:val="en-US" w:eastAsia="zh-CN"/>
              </w:rPr>
              <w:t>表4.2-12本项目可能发生的风险类型</w:t>
            </w:r>
          </w:p>
          <w:tbl>
            <w:tblPr>
              <w:tblStyle w:val="31"/>
              <w:tblW w:w="8019"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27"/>
              <w:gridCol w:w="3315"/>
              <w:gridCol w:w="3177"/>
            </w:tblGrid>
            <w:tr w14:paraId="5AFBD3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527" w:type="dxa"/>
                  <w:vAlign w:val="center"/>
                </w:tcPr>
                <w:p w14:paraId="134B0B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val="en-US" w:eastAsia="zh-CN" w:bidi="ar"/>
                    </w:rPr>
                  </w:pPr>
                  <w:r>
                    <w:rPr>
                      <w:rFonts w:hint="default" w:ascii="Times New Roman" w:hAnsi="Times New Roman" w:eastAsia="宋体" w:cs="Times New Roman"/>
                      <w:b/>
                      <w:bCs/>
                      <w:color w:val="auto"/>
                      <w:sz w:val="21"/>
                      <w:szCs w:val="21"/>
                      <w:highlight w:val="none"/>
                      <w:lang w:val="en-US" w:eastAsia="zh-CN" w:bidi="ar"/>
                    </w:rPr>
                    <w:t>风险类型</w:t>
                  </w:r>
                </w:p>
              </w:tc>
              <w:tc>
                <w:tcPr>
                  <w:tcW w:w="3315" w:type="dxa"/>
                  <w:vAlign w:val="center"/>
                </w:tcPr>
                <w:p w14:paraId="5F9AD1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auto"/>
                      <w:sz w:val="21"/>
                      <w:szCs w:val="21"/>
                      <w:highlight w:val="none"/>
                      <w:lang w:val="en-US" w:eastAsia="zh-CN" w:bidi="ar"/>
                    </w:rPr>
                  </w:pPr>
                  <w:r>
                    <w:rPr>
                      <w:rFonts w:hint="eastAsia" w:ascii="Times New Roman" w:hAnsi="Times New Roman" w:eastAsia="宋体" w:cs="Times New Roman"/>
                      <w:b/>
                      <w:bCs/>
                      <w:color w:val="auto"/>
                      <w:sz w:val="21"/>
                      <w:szCs w:val="21"/>
                      <w:highlight w:val="none"/>
                      <w:lang w:val="en-US" w:eastAsia="zh-CN" w:bidi="ar"/>
                    </w:rPr>
                    <w:t>危害途径</w:t>
                  </w:r>
                </w:p>
              </w:tc>
              <w:tc>
                <w:tcPr>
                  <w:tcW w:w="3177" w:type="dxa"/>
                  <w:vAlign w:val="center"/>
                </w:tcPr>
                <w:p w14:paraId="4062D9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val="en-US" w:eastAsia="zh-CN" w:bidi="ar"/>
                    </w:rPr>
                  </w:pPr>
                  <w:r>
                    <w:rPr>
                      <w:rFonts w:hint="default" w:ascii="Times New Roman" w:hAnsi="Times New Roman" w:eastAsia="宋体" w:cs="Times New Roman"/>
                      <w:b/>
                      <w:bCs/>
                      <w:color w:val="auto"/>
                      <w:sz w:val="21"/>
                      <w:szCs w:val="21"/>
                      <w:highlight w:val="none"/>
                      <w:lang w:val="en-US" w:eastAsia="zh-CN" w:bidi="ar"/>
                    </w:rPr>
                    <w:t>可能引发的原因</w:t>
                  </w:r>
                </w:p>
              </w:tc>
            </w:tr>
            <w:tr w14:paraId="2F8F10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26" w:hRule="atLeast"/>
              </w:trPr>
              <w:tc>
                <w:tcPr>
                  <w:tcW w:w="1527" w:type="dxa"/>
                  <w:vAlign w:val="center"/>
                </w:tcPr>
                <w:p w14:paraId="4A4ADB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val="0"/>
                      <w:color w:val="auto"/>
                      <w:sz w:val="21"/>
                      <w:szCs w:val="21"/>
                      <w:highlight w:val="none"/>
                      <w:lang w:val="en-US" w:eastAsia="zh-CN" w:bidi="ar"/>
                    </w:rPr>
                  </w:pPr>
                  <w:r>
                    <w:rPr>
                      <w:rFonts w:hint="eastAsia" w:ascii="Times New Roman" w:hAnsi="Times New Roman" w:eastAsia="宋体" w:cs="Times New Roman"/>
                      <w:b w:val="0"/>
                      <w:bCs w:val="0"/>
                      <w:color w:val="auto"/>
                      <w:sz w:val="21"/>
                      <w:szCs w:val="21"/>
                      <w:highlight w:val="none"/>
                      <w:lang w:val="en-US" w:eastAsia="zh-CN" w:bidi="ar"/>
                    </w:rPr>
                    <w:t>火灾</w:t>
                  </w:r>
                </w:p>
              </w:tc>
              <w:tc>
                <w:tcPr>
                  <w:tcW w:w="3315" w:type="dxa"/>
                  <w:vAlign w:val="center"/>
                </w:tcPr>
                <w:p w14:paraId="651969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val="0"/>
                      <w:color w:val="auto"/>
                      <w:sz w:val="21"/>
                      <w:szCs w:val="21"/>
                      <w:highlight w:val="none"/>
                      <w:lang w:val="en-US" w:eastAsia="zh-CN" w:bidi="ar"/>
                    </w:rPr>
                  </w:pPr>
                  <w:r>
                    <w:rPr>
                      <w:rFonts w:hint="eastAsia" w:ascii="Times New Roman" w:hAnsi="Times New Roman" w:eastAsia="宋体" w:cs="Times New Roman"/>
                      <w:b w:val="0"/>
                      <w:bCs w:val="0"/>
                      <w:color w:val="auto"/>
                      <w:sz w:val="21"/>
                      <w:szCs w:val="21"/>
                      <w:highlight w:val="none"/>
                      <w:lang w:val="en-US" w:eastAsia="zh-CN" w:bidi="ar"/>
                    </w:rPr>
                    <w:t>火灾产生的热辐射、浓烟、有害气体等直接进入环境，火灾扑救过程中产生的消防废水</w:t>
                  </w:r>
                </w:p>
              </w:tc>
              <w:tc>
                <w:tcPr>
                  <w:tcW w:w="3177" w:type="dxa"/>
                  <w:vAlign w:val="center"/>
                </w:tcPr>
                <w:p w14:paraId="393FF5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val="0"/>
                      <w:color w:val="auto"/>
                      <w:sz w:val="21"/>
                      <w:szCs w:val="21"/>
                      <w:highlight w:val="none"/>
                      <w:lang w:val="en-US" w:eastAsia="zh-CN" w:bidi="ar"/>
                    </w:rPr>
                  </w:pPr>
                  <w:r>
                    <w:rPr>
                      <w:rFonts w:hint="eastAsia" w:ascii="Times New Roman" w:hAnsi="Times New Roman" w:eastAsia="宋体" w:cs="Times New Roman"/>
                      <w:b w:val="0"/>
                      <w:bCs w:val="0"/>
                      <w:color w:val="auto"/>
                      <w:sz w:val="21"/>
                      <w:szCs w:val="21"/>
                      <w:highlight w:val="none"/>
                      <w:lang w:val="en-US" w:eastAsia="zh-CN" w:bidi="ar"/>
                    </w:rPr>
                    <w:t>电线短路、静电火花等，遇明火或高热发生火灾事故</w:t>
                  </w:r>
                </w:p>
              </w:tc>
            </w:tr>
            <w:tr w14:paraId="414668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1527" w:type="dxa"/>
                  <w:vAlign w:val="center"/>
                </w:tcPr>
                <w:p w14:paraId="603EB7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bidi="ar"/>
                    </w:rPr>
                  </w:pPr>
                  <w:r>
                    <w:rPr>
                      <w:rFonts w:hint="default" w:ascii="Times New Roman" w:hAnsi="Times New Roman" w:eastAsia="宋体" w:cs="Times New Roman"/>
                      <w:b w:val="0"/>
                      <w:bCs w:val="0"/>
                      <w:color w:val="auto"/>
                      <w:sz w:val="21"/>
                      <w:szCs w:val="21"/>
                      <w:highlight w:val="none"/>
                      <w:lang w:val="en-US" w:eastAsia="zh-CN" w:bidi="ar"/>
                    </w:rPr>
                    <w:t>油品类泄漏</w:t>
                  </w:r>
                </w:p>
              </w:tc>
              <w:tc>
                <w:tcPr>
                  <w:tcW w:w="3315" w:type="dxa"/>
                  <w:vAlign w:val="center"/>
                </w:tcPr>
                <w:p w14:paraId="3EDF92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bidi="ar"/>
                    </w:rPr>
                  </w:pPr>
                  <w:r>
                    <w:rPr>
                      <w:rFonts w:hint="default" w:ascii="Times New Roman" w:hAnsi="Times New Roman" w:eastAsia="宋体" w:cs="Times New Roman"/>
                      <w:b w:val="0"/>
                      <w:bCs w:val="0"/>
                      <w:color w:val="auto"/>
                      <w:sz w:val="21"/>
                      <w:szCs w:val="21"/>
                      <w:highlight w:val="none"/>
                      <w:lang w:val="en-US" w:eastAsia="zh-CN" w:bidi="ar"/>
                    </w:rPr>
                    <w:t>润滑油、柴油渗入土壤及排入周边水体</w:t>
                  </w:r>
                </w:p>
              </w:tc>
              <w:tc>
                <w:tcPr>
                  <w:tcW w:w="3177" w:type="dxa"/>
                  <w:vAlign w:val="center"/>
                </w:tcPr>
                <w:p w14:paraId="1EFDF2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bidi="ar"/>
                    </w:rPr>
                  </w:pPr>
                  <w:r>
                    <w:rPr>
                      <w:rFonts w:hint="eastAsia" w:ascii="Times New Roman" w:hAnsi="Times New Roman" w:eastAsia="宋体" w:cs="Times New Roman"/>
                      <w:b w:val="0"/>
                      <w:bCs w:val="0"/>
                      <w:color w:val="auto"/>
                      <w:sz w:val="21"/>
                      <w:szCs w:val="21"/>
                      <w:highlight w:val="none"/>
                      <w:lang w:val="en-US" w:eastAsia="zh-CN" w:bidi="ar"/>
                    </w:rPr>
                    <w:t>容器破损；</w:t>
                  </w:r>
                  <w:r>
                    <w:rPr>
                      <w:rFonts w:hint="default" w:ascii="Times New Roman" w:hAnsi="Times New Roman" w:eastAsia="宋体" w:cs="Times New Roman"/>
                      <w:b w:val="0"/>
                      <w:bCs w:val="0"/>
                      <w:color w:val="auto"/>
                      <w:sz w:val="21"/>
                      <w:szCs w:val="21"/>
                      <w:highlight w:val="none"/>
                      <w:lang w:val="en-US" w:eastAsia="zh-CN" w:bidi="ar"/>
                    </w:rPr>
                    <w:t>失误操作</w:t>
                  </w:r>
                </w:p>
              </w:tc>
            </w:tr>
            <w:tr w14:paraId="4F55D5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1527" w:type="dxa"/>
                  <w:shd w:val="clear" w:color="auto" w:fill="auto"/>
                  <w:vAlign w:val="center"/>
                </w:tcPr>
                <w:p w14:paraId="392E25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bidi="ar"/>
                    </w:rPr>
                  </w:pPr>
                  <w:r>
                    <w:rPr>
                      <w:rFonts w:hint="default" w:ascii="Times New Roman" w:hAnsi="Times New Roman" w:eastAsia="宋体" w:cs="Times New Roman"/>
                      <w:b w:val="0"/>
                      <w:bCs w:val="0"/>
                      <w:color w:val="auto"/>
                      <w:sz w:val="21"/>
                      <w:szCs w:val="21"/>
                      <w:highlight w:val="none"/>
                      <w:lang w:val="en-US" w:eastAsia="zh-CN" w:bidi="ar"/>
                    </w:rPr>
                    <w:t>危险</w:t>
                  </w:r>
                  <w:r>
                    <w:rPr>
                      <w:rFonts w:hint="eastAsia" w:ascii="Times New Roman" w:hAnsi="Times New Roman" w:eastAsia="宋体" w:cs="Times New Roman"/>
                      <w:b w:val="0"/>
                      <w:bCs w:val="0"/>
                      <w:color w:val="auto"/>
                      <w:sz w:val="21"/>
                      <w:szCs w:val="21"/>
                      <w:highlight w:val="none"/>
                      <w:lang w:val="en-US" w:eastAsia="zh-CN" w:bidi="ar"/>
                    </w:rPr>
                    <w:t>废物</w:t>
                  </w:r>
                  <w:r>
                    <w:rPr>
                      <w:rFonts w:hint="default" w:ascii="Times New Roman" w:hAnsi="Times New Roman" w:eastAsia="宋体" w:cs="Times New Roman"/>
                      <w:b w:val="0"/>
                      <w:bCs w:val="0"/>
                      <w:color w:val="auto"/>
                      <w:sz w:val="21"/>
                      <w:szCs w:val="21"/>
                      <w:highlight w:val="none"/>
                      <w:lang w:val="en-US" w:eastAsia="zh-CN" w:bidi="ar"/>
                    </w:rPr>
                    <w:t>泄漏</w:t>
                  </w:r>
                </w:p>
              </w:tc>
              <w:tc>
                <w:tcPr>
                  <w:tcW w:w="3315" w:type="dxa"/>
                  <w:shd w:val="clear" w:color="auto" w:fill="auto"/>
                  <w:vAlign w:val="center"/>
                </w:tcPr>
                <w:p w14:paraId="7BA171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bidi="ar"/>
                    </w:rPr>
                  </w:pPr>
                  <w:r>
                    <w:rPr>
                      <w:rFonts w:hint="default" w:ascii="Times New Roman" w:hAnsi="Times New Roman" w:eastAsia="宋体" w:cs="Times New Roman"/>
                      <w:b w:val="0"/>
                      <w:bCs w:val="0"/>
                      <w:color w:val="auto"/>
                      <w:sz w:val="21"/>
                      <w:szCs w:val="21"/>
                      <w:highlight w:val="none"/>
                      <w:lang w:val="en-US" w:eastAsia="zh-CN" w:bidi="ar"/>
                    </w:rPr>
                    <w:t>废润滑油、废柴油</w:t>
                  </w:r>
                  <w:r>
                    <w:rPr>
                      <w:rFonts w:hint="eastAsia" w:ascii="Times New Roman" w:hAnsi="Times New Roman" w:eastAsia="宋体" w:cs="Times New Roman"/>
                      <w:b w:val="0"/>
                      <w:bCs w:val="0"/>
                      <w:color w:val="auto"/>
                      <w:sz w:val="21"/>
                      <w:szCs w:val="21"/>
                      <w:highlight w:val="none"/>
                      <w:lang w:val="en-US" w:eastAsia="zh-CN" w:bidi="ar"/>
                    </w:rPr>
                    <w:t>、脱脂清洗废液</w:t>
                  </w:r>
                  <w:r>
                    <w:rPr>
                      <w:rFonts w:hint="default" w:ascii="Times New Roman" w:hAnsi="Times New Roman" w:eastAsia="宋体" w:cs="Times New Roman"/>
                      <w:b w:val="0"/>
                      <w:bCs w:val="0"/>
                      <w:color w:val="auto"/>
                      <w:sz w:val="21"/>
                      <w:szCs w:val="21"/>
                      <w:highlight w:val="none"/>
                      <w:lang w:val="en-US" w:eastAsia="zh-CN" w:bidi="ar"/>
                    </w:rPr>
                    <w:t>渗入土壤及排入周边水体</w:t>
                  </w:r>
                </w:p>
              </w:tc>
              <w:tc>
                <w:tcPr>
                  <w:tcW w:w="3177" w:type="dxa"/>
                  <w:shd w:val="clear" w:color="auto" w:fill="auto"/>
                  <w:vAlign w:val="center"/>
                </w:tcPr>
                <w:p w14:paraId="1B6C86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bidi="ar"/>
                    </w:rPr>
                  </w:pPr>
                  <w:r>
                    <w:rPr>
                      <w:rFonts w:hint="eastAsia" w:ascii="Times New Roman" w:hAnsi="Times New Roman" w:eastAsia="宋体" w:cs="Times New Roman"/>
                      <w:b w:val="0"/>
                      <w:bCs w:val="0"/>
                      <w:color w:val="auto"/>
                      <w:sz w:val="21"/>
                      <w:szCs w:val="21"/>
                      <w:highlight w:val="none"/>
                      <w:lang w:val="en-US" w:eastAsia="zh-CN" w:bidi="ar"/>
                    </w:rPr>
                    <w:t>容器破损；</w:t>
                  </w:r>
                  <w:r>
                    <w:rPr>
                      <w:rFonts w:hint="default" w:ascii="Times New Roman" w:hAnsi="Times New Roman" w:eastAsia="宋体" w:cs="Times New Roman"/>
                      <w:b w:val="0"/>
                      <w:bCs w:val="0"/>
                      <w:color w:val="auto"/>
                      <w:sz w:val="21"/>
                      <w:szCs w:val="21"/>
                      <w:highlight w:val="none"/>
                      <w:lang w:val="en-US" w:eastAsia="zh-CN" w:bidi="ar"/>
                    </w:rPr>
                    <w:t>危废转运泄漏</w:t>
                  </w:r>
                </w:p>
              </w:tc>
            </w:tr>
            <w:tr w14:paraId="58E6E4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1527" w:type="dxa"/>
                  <w:shd w:val="clear" w:color="auto" w:fill="auto"/>
                  <w:vAlign w:val="center"/>
                </w:tcPr>
                <w:p w14:paraId="643AE7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bidi="ar"/>
                    </w:rPr>
                  </w:pPr>
                  <w:r>
                    <w:rPr>
                      <w:rFonts w:hint="eastAsia" w:ascii="Times New Roman" w:hAnsi="Times New Roman" w:eastAsia="宋体" w:cs="Times New Roman"/>
                      <w:b w:val="0"/>
                      <w:bCs w:val="0"/>
                      <w:color w:val="auto"/>
                      <w:sz w:val="21"/>
                      <w:szCs w:val="21"/>
                      <w:highlight w:val="none"/>
                      <w:lang w:val="en-US" w:eastAsia="zh-CN" w:bidi="ar"/>
                    </w:rPr>
                    <w:t>废气事故排放</w:t>
                  </w:r>
                </w:p>
              </w:tc>
              <w:tc>
                <w:tcPr>
                  <w:tcW w:w="3315" w:type="dxa"/>
                  <w:shd w:val="clear" w:color="auto" w:fill="auto"/>
                  <w:vAlign w:val="center"/>
                </w:tcPr>
                <w:p w14:paraId="223343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bidi="ar"/>
                    </w:rPr>
                  </w:pPr>
                  <w:r>
                    <w:rPr>
                      <w:rFonts w:hint="eastAsia" w:ascii="Times New Roman" w:hAnsi="Times New Roman" w:eastAsia="宋体" w:cs="Times New Roman"/>
                      <w:b w:val="0"/>
                      <w:bCs w:val="0"/>
                      <w:color w:val="auto"/>
                      <w:sz w:val="21"/>
                      <w:szCs w:val="21"/>
                      <w:highlight w:val="none"/>
                      <w:lang w:val="en-US" w:eastAsia="zh-CN" w:bidi="ar"/>
                    </w:rPr>
                    <w:t>废气未经处理全部直接排放扩散</w:t>
                  </w:r>
                </w:p>
              </w:tc>
              <w:tc>
                <w:tcPr>
                  <w:tcW w:w="3177" w:type="dxa"/>
                  <w:shd w:val="clear" w:color="auto" w:fill="auto"/>
                  <w:vAlign w:val="center"/>
                </w:tcPr>
                <w:p w14:paraId="4394D8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val="0"/>
                      <w:color w:val="auto"/>
                      <w:sz w:val="21"/>
                      <w:szCs w:val="21"/>
                      <w:highlight w:val="none"/>
                      <w:lang w:val="en-US" w:eastAsia="zh-CN" w:bidi="ar"/>
                    </w:rPr>
                  </w:pPr>
                  <w:r>
                    <w:rPr>
                      <w:rFonts w:hint="eastAsia" w:ascii="Times New Roman" w:hAnsi="Times New Roman" w:eastAsia="宋体" w:cs="Times New Roman"/>
                      <w:b w:val="0"/>
                      <w:bCs w:val="0"/>
                      <w:color w:val="auto"/>
                      <w:sz w:val="21"/>
                      <w:szCs w:val="21"/>
                      <w:highlight w:val="none"/>
                      <w:lang w:val="en-US" w:eastAsia="zh-CN" w:bidi="ar"/>
                    </w:rPr>
                    <w:t>废气处理设施故障</w:t>
                  </w:r>
                </w:p>
              </w:tc>
            </w:tr>
          </w:tbl>
          <w:p w14:paraId="68879235">
            <w:pPr>
              <w:keepNext w:val="0"/>
              <w:keepLines w:val="0"/>
              <w:pageBreakBefore w:val="0"/>
              <w:widowControl w:val="0"/>
              <w:kinsoku/>
              <w:wordWrap/>
              <w:overflowPunct/>
              <w:topLinePunct w:val="0"/>
              <w:autoSpaceDE/>
              <w:autoSpaceDN/>
              <w:bidi w:val="0"/>
              <w:adjustRightInd/>
              <w:snapToGrid/>
              <w:spacing w:before="157" w:beforeLines="50" w:line="360" w:lineRule="auto"/>
              <w:ind w:firstLine="241" w:firstLineChars="100"/>
              <w:jc w:val="both"/>
              <w:textAlignment w:val="auto"/>
              <w:rPr>
                <w:rFonts w:hint="default" w:ascii="Times New Roman" w:hAnsi="Times New Roman" w:eastAsia="宋体" w:cs="Times New Roman"/>
                <w:b w:val="0"/>
                <w:bCs/>
                <w:color w:val="auto"/>
                <w:kern w:val="2"/>
                <w:sz w:val="24"/>
                <w:szCs w:val="24"/>
                <w:highlight w:val="none"/>
                <w:lang w:val="en-US" w:eastAsia="zh-CN" w:bidi="ar-SA"/>
              </w:rPr>
            </w:pPr>
            <w:r>
              <w:rPr>
                <w:rFonts w:hint="eastAsia" w:ascii="Times New Roman" w:hAnsi="Times New Roman" w:eastAsia="宋体" w:cs="Times New Roman"/>
                <w:b/>
                <w:bCs w:val="0"/>
                <w:color w:val="auto"/>
                <w:kern w:val="2"/>
                <w:sz w:val="24"/>
                <w:szCs w:val="24"/>
                <w:highlight w:val="none"/>
                <w:lang w:val="en-US" w:eastAsia="zh-CN" w:bidi="ar-SA"/>
              </w:rPr>
              <w:t>4.2.6.</w:t>
            </w:r>
            <w:r>
              <w:rPr>
                <w:rFonts w:hint="eastAsia" w:cs="Times New Roman"/>
                <w:b/>
                <w:bCs w:val="0"/>
                <w:color w:val="auto"/>
                <w:kern w:val="2"/>
                <w:sz w:val="24"/>
                <w:szCs w:val="24"/>
                <w:highlight w:val="none"/>
                <w:lang w:val="en-US" w:eastAsia="zh-CN" w:bidi="ar-SA"/>
              </w:rPr>
              <w:t>4</w:t>
            </w:r>
            <w:r>
              <w:rPr>
                <w:rFonts w:hint="eastAsia" w:ascii="Times New Roman" w:hAnsi="Times New Roman" w:eastAsia="宋体" w:cs="Times New Roman"/>
                <w:b/>
                <w:bCs w:val="0"/>
                <w:color w:val="auto"/>
                <w:kern w:val="2"/>
                <w:sz w:val="24"/>
                <w:szCs w:val="24"/>
                <w:highlight w:val="none"/>
                <w:lang w:val="en-US" w:eastAsia="zh-CN" w:bidi="ar-SA"/>
              </w:rPr>
              <w:t>环境影响分析</w:t>
            </w:r>
          </w:p>
          <w:p w14:paraId="7F86358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（1）火灾及爆炸引发的伴生/次生污染环境影响分析</w:t>
            </w:r>
          </w:p>
          <w:p w14:paraId="3362650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项目在生产过程中使用的原辅料、成品等可燃原辅材料在遇到明火等情况下可燃，在管理不当时，可能会发生火灾，如发生火灾事故，物料燃烧会产生大量的燃烧废气，废气中的污染物主要为一氧化碳、二氧化碳等，对周围环境空气会造成一定影响。另外，</w:t>
            </w:r>
            <w:r>
              <w:rPr>
                <w:rFonts w:hint="eastAsia" w:cs="Times New Roman"/>
                <w:b w:val="0"/>
                <w:bCs w:val="0"/>
                <w:color w:val="auto"/>
                <w:sz w:val="24"/>
                <w:highlight w:val="none"/>
                <w:lang w:val="en-US" w:eastAsia="zh-CN"/>
              </w:rPr>
              <w:t>若</w:t>
            </w:r>
            <w:r>
              <w:rPr>
                <w:rFonts w:hint="default" w:ascii="Times New Roman" w:hAnsi="Times New Roman" w:eastAsia="宋体" w:cs="Times New Roman"/>
                <w:b w:val="0"/>
                <w:bCs w:val="0"/>
                <w:color w:val="auto"/>
                <w:sz w:val="24"/>
                <w:highlight w:val="none"/>
                <w:lang w:val="en-US" w:eastAsia="zh-CN"/>
              </w:rPr>
              <w:t>未妥善处置消防废水，事故中的有毒有害物质会随消防废水直接进入水体，对附近水体造成污染。</w:t>
            </w:r>
          </w:p>
          <w:p w14:paraId="4396192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w:t>
            </w:r>
            <w:r>
              <w:rPr>
                <w:rFonts w:hint="eastAsia" w:cs="Times New Roman"/>
                <w:b w:val="0"/>
                <w:bCs w:val="0"/>
                <w:color w:val="auto"/>
                <w:sz w:val="24"/>
                <w:highlight w:val="none"/>
                <w:lang w:val="en-US" w:eastAsia="zh-CN"/>
              </w:rPr>
              <w:t>2</w:t>
            </w:r>
            <w:r>
              <w:rPr>
                <w:rFonts w:hint="default" w:ascii="Times New Roman" w:hAnsi="Times New Roman" w:eastAsia="宋体" w:cs="Times New Roman"/>
                <w:b w:val="0"/>
                <w:bCs w:val="0"/>
                <w:color w:val="auto"/>
                <w:sz w:val="24"/>
                <w:highlight w:val="none"/>
                <w:lang w:val="en-US" w:eastAsia="zh-CN"/>
              </w:rPr>
              <w:t>）</w:t>
            </w:r>
            <w:r>
              <w:rPr>
                <w:rFonts w:hint="eastAsia" w:cs="Times New Roman"/>
                <w:b w:val="0"/>
                <w:bCs w:val="0"/>
                <w:color w:val="auto"/>
                <w:sz w:val="24"/>
                <w:highlight w:val="none"/>
                <w:lang w:val="en-US" w:eastAsia="zh-CN"/>
              </w:rPr>
              <w:t>润滑油、柴油</w:t>
            </w:r>
            <w:r>
              <w:rPr>
                <w:rFonts w:hint="default" w:ascii="Times New Roman" w:hAnsi="Times New Roman" w:eastAsia="宋体" w:cs="Times New Roman"/>
                <w:b w:val="0"/>
                <w:bCs w:val="0"/>
                <w:color w:val="auto"/>
                <w:sz w:val="24"/>
                <w:highlight w:val="none"/>
                <w:lang w:val="en-US" w:eastAsia="zh-CN"/>
              </w:rPr>
              <w:t>对</w:t>
            </w:r>
            <w:r>
              <w:rPr>
                <w:rFonts w:hint="eastAsia" w:cs="Times New Roman"/>
                <w:b w:val="0"/>
                <w:bCs w:val="0"/>
                <w:color w:val="auto"/>
                <w:sz w:val="24"/>
                <w:highlight w:val="none"/>
                <w:lang w:val="en-US" w:eastAsia="zh-CN"/>
              </w:rPr>
              <w:t>周边土壤、</w:t>
            </w:r>
            <w:r>
              <w:rPr>
                <w:rFonts w:hint="default" w:ascii="Times New Roman" w:hAnsi="Times New Roman" w:eastAsia="宋体" w:cs="Times New Roman"/>
                <w:b w:val="0"/>
                <w:bCs w:val="0"/>
                <w:color w:val="auto"/>
                <w:sz w:val="24"/>
                <w:highlight w:val="none"/>
                <w:lang w:val="en-US" w:eastAsia="zh-CN"/>
              </w:rPr>
              <w:t>地表水及地下水影响分析</w:t>
            </w:r>
          </w:p>
          <w:p w14:paraId="50F5C76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本项目</w:t>
            </w:r>
            <w:r>
              <w:rPr>
                <w:rFonts w:hint="eastAsia" w:cs="Times New Roman"/>
                <w:b w:val="0"/>
                <w:bCs w:val="0"/>
                <w:color w:val="auto"/>
                <w:sz w:val="24"/>
                <w:highlight w:val="none"/>
                <w:lang w:val="en-US" w:eastAsia="zh-CN"/>
              </w:rPr>
              <w:t>润滑油、柴油</w:t>
            </w:r>
            <w:r>
              <w:rPr>
                <w:rFonts w:hint="default" w:ascii="Times New Roman" w:hAnsi="Times New Roman" w:eastAsia="宋体" w:cs="Times New Roman"/>
                <w:b w:val="0"/>
                <w:bCs w:val="0"/>
                <w:color w:val="auto"/>
                <w:sz w:val="24"/>
                <w:highlight w:val="none"/>
                <w:lang w:val="en-US" w:eastAsia="zh-CN"/>
              </w:rPr>
              <w:t>发生突发性泄漏发生概率小，经现场人员紧急处理后，可将其控制在原辅料仓库内部，不会发生车间漫流现象，局限于泄漏点周边，不会对周边地表水造成影响。</w:t>
            </w:r>
            <w:r>
              <w:rPr>
                <w:rFonts w:hint="eastAsia" w:cs="Times New Roman"/>
                <w:b w:val="0"/>
                <w:bCs w:val="0"/>
                <w:color w:val="auto"/>
                <w:sz w:val="24"/>
                <w:highlight w:val="none"/>
                <w:lang w:val="en-US" w:eastAsia="zh-CN"/>
              </w:rPr>
              <w:t>润滑油、柴油</w:t>
            </w:r>
            <w:r>
              <w:rPr>
                <w:rFonts w:hint="default" w:ascii="Times New Roman" w:hAnsi="Times New Roman" w:eastAsia="宋体" w:cs="Times New Roman"/>
                <w:b w:val="0"/>
                <w:bCs w:val="0"/>
                <w:color w:val="auto"/>
                <w:sz w:val="24"/>
                <w:highlight w:val="none"/>
                <w:lang w:val="en-US" w:eastAsia="zh-CN"/>
              </w:rPr>
              <w:t>发生泄漏风险事故时，污染物可能经漫流进入地表水体；通过土壤，经垂直入渗进入包气带，从而污染</w:t>
            </w:r>
            <w:r>
              <w:rPr>
                <w:rFonts w:hint="eastAsia" w:cs="Times New Roman"/>
                <w:b w:val="0"/>
                <w:bCs w:val="0"/>
                <w:color w:val="auto"/>
                <w:sz w:val="24"/>
                <w:highlight w:val="none"/>
                <w:lang w:val="en-US" w:eastAsia="zh-CN"/>
              </w:rPr>
              <w:t>土壤及</w:t>
            </w:r>
            <w:r>
              <w:rPr>
                <w:rFonts w:hint="default" w:ascii="Times New Roman" w:hAnsi="Times New Roman" w:eastAsia="宋体" w:cs="Times New Roman"/>
                <w:b w:val="0"/>
                <w:bCs w:val="0"/>
                <w:color w:val="auto"/>
                <w:sz w:val="24"/>
                <w:highlight w:val="none"/>
                <w:lang w:val="en-US" w:eastAsia="zh-CN"/>
              </w:rPr>
              <w:t>地下水。</w:t>
            </w:r>
          </w:p>
          <w:p w14:paraId="60834D7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w:t>
            </w:r>
            <w:r>
              <w:rPr>
                <w:rFonts w:hint="eastAsia" w:cs="Times New Roman"/>
                <w:b w:val="0"/>
                <w:bCs w:val="0"/>
                <w:color w:val="auto"/>
                <w:sz w:val="24"/>
                <w:highlight w:val="none"/>
                <w:lang w:val="en-US" w:eastAsia="zh-CN"/>
              </w:rPr>
              <w:t>3</w:t>
            </w:r>
            <w:r>
              <w:rPr>
                <w:rFonts w:hint="default" w:ascii="Times New Roman" w:hAnsi="Times New Roman" w:eastAsia="宋体" w:cs="Times New Roman"/>
                <w:b w:val="0"/>
                <w:bCs w:val="0"/>
                <w:color w:val="auto"/>
                <w:sz w:val="24"/>
                <w:highlight w:val="none"/>
                <w:lang w:val="en-US" w:eastAsia="zh-CN"/>
              </w:rPr>
              <w:t>）</w:t>
            </w:r>
            <w:r>
              <w:rPr>
                <w:rFonts w:hint="eastAsia" w:ascii="Times New Roman" w:hAnsi="Times New Roman" w:eastAsia="宋体" w:cs="Times New Roman"/>
                <w:b w:val="0"/>
                <w:bCs w:val="0"/>
                <w:color w:val="auto"/>
                <w:sz w:val="24"/>
                <w:highlight w:val="none"/>
                <w:lang w:val="en-US" w:eastAsia="zh-CN"/>
              </w:rPr>
              <w:t>废</w:t>
            </w:r>
            <w:r>
              <w:rPr>
                <w:rFonts w:hint="eastAsia" w:cs="Times New Roman"/>
                <w:b w:val="0"/>
                <w:bCs w:val="0"/>
                <w:color w:val="auto"/>
                <w:sz w:val="24"/>
                <w:highlight w:val="none"/>
                <w:lang w:val="en-US" w:eastAsia="zh-CN"/>
              </w:rPr>
              <w:t>润滑油、废柴油、脱脂清洗废液等危险废物</w:t>
            </w:r>
            <w:r>
              <w:rPr>
                <w:rFonts w:hint="default" w:ascii="Times New Roman" w:hAnsi="Times New Roman" w:eastAsia="宋体" w:cs="Times New Roman"/>
                <w:b w:val="0"/>
                <w:bCs w:val="0"/>
                <w:color w:val="auto"/>
                <w:sz w:val="24"/>
                <w:highlight w:val="none"/>
                <w:lang w:val="en-US" w:eastAsia="zh-CN"/>
              </w:rPr>
              <w:t>对</w:t>
            </w:r>
            <w:r>
              <w:rPr>
                <w:rFonts w:hint="eastAsia" w:cs="Times New Roman"/>
                <w:b w:val="0"/>
                <w:bCs w:val="0"/>
                <w:color w:val="auto"/>
                <w:sz w:val="24"/>
                <w:highlight w:val="none"/>
                <w:lang w:val="en-US" w:eastAsia="zh-CN"/>
              </w:rPr>
              <w:t>周边土壤、</w:t>
            </w:r>
            <w:r>
              <w:rPr>
                <w:rFonts w:hint="default" w:ascii="Times New Roman" w:hAnsi="Times New Roman" w:eastAsia="宋体" w:cs="Times New Roman"/>
                <w:b w:val="0"/>
                <w:bCs w:val="0"/>
                <w:color w:val="auto"/>
                <w:sz w:val="24"/>
                <w:highlight w:val="none"/>
                <w:lang w:val="en-US" w:eastAsia="zh-CN"/>
              </w:rPr>
              <w:t>地表水及地下水影响分析</w:t>
            </w:r>
          </w:p>
          <w:p w14:paraId="198626B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本项目</w:t>
            </w:r>
            <w:r>
              <w:rPr>
                <w:rFonts w:hint="eastAsia" w:ascii="Times New Roman" w:hAnsi="Times New Roman" w:eastAsia="宋体" w:cs="Times New Roman"/>
                <w:b w:val="0"/>
                <w:bCs w:val="0"/>
                <w:color w:val="auto"/>
                <w:sz w:val="24"/>
                <w:highlight w:val="none"/>
                <w:lang w:val="en-US" w:eastAsia="zh-CN"/>
              </w:rPr>
              <w:t>废</w:t>
            </w:r>
            <w:r>
              <w:rPr>
                <w:rFonts w:hint="eastAsia" w:cs="Times New Roman"/>
                <w:b w:val="0"/>
                <w:bCs w:val="0"/>
                <w:color w:val="auto"/>
                <w:sz w:val="24"/>
                <w:highlight w:val="none"/>
                <w:lang w:val="en-US" w:eastAsia="zh-CN"/>
              </w:rPr>
              <w:t>润滑油、废柴油、脱脂清洗废液</w:t>
            </w:r>
            <w:r>
              <w:rPr>
                <w:rFonts w:hint="default" w:ascii="Times New Roman" w:hAnsi="Times New Roman" w:eastAsia="宋体" w:cs="Times New Roman"/>
                <w:b w:val="0"/>
                <w:bCs w:val="0"/>
                <w:color w:val="auto"/>
                <w:sz w:val="24"/>
                <w:highlight w:val="none"/>
                <w:lang w:val="en-US" w:eastAsia="zh-CN"/>
              </w:rPr>
              <w:t>发生突发性泄漏发生概率小，经现场人员紧急处理后，可将其控制在</w:t>
            </w:r>
            <w:r>
              <w:rPr>
                <w:rFonts w:hint="eastAsia" w:ascii="Times New Roman" w:hAnsi="Times New Roman" w:eastAsia="宋体" w:cs="Times New Roman"/>
                <w:b w:val="0"/>
                <w:bCs w:val="0"/>
                <w:color w:val="auto"/>
                <w:sz w:val="24"/>
                <w:highlight w:val="none"/>
                <w:lang w:val="en-US" w:eastAsia="zh-CN"/>
              </w:rPr>
              <w:t>危废暂存间内</w:t>
            </w:r>
            <w:r>
              <w:rPr>
                <w:rFonts w:hint="default" w:ascii="Times New Roman" w:hAnsi="Times New Roman" w:eastAsia="宋体" w:cs="Times New Roman"/>
                <w:b w:val="0"/>
                <w:bCs w:val="0"/>
                <w:color w:val="auto"/>
                <w:sz w:val="24"/>
                <w:highlight w:val="none"/>
                <w:lang w:val="en-US" w:eastAsia="zh-CN"/>
              </w:rPr>
              <w:t>，不会发生车间漫流现象，局限于泄漏点周边，不会对周边地表水造成影响。发生泄漏风险事故时，污染物可能经漫流进入地表水体；通过土壤，经垂直入渗进入包气带，从而污染</w:t>
            </w:r>
            <w:r>
              <w:rPr>
                <w:rFonts w:hint="eastAsia" w:cs="Times New Roman"/>
                <w:b w:val="0"/>
                <w:bCs w:val="0"/>
                <w:color w:val="auto"/>
                <w:sz w:val="24"/>
                <w:highlight w:val="none"/>
                <w:lang w:val="en-US" w:eastAsia="zh-CN"/>
              </w:rPr>
              <w:t>土壤及</w:t>
            </w:r>
            <w:r>
              <w:rPr>
                <w:rFonts w:hint="default" w:ascii="Times New Roman" w:hAnsi="Times New Roman" w:eastAsia="宋体" w:cs="Times New Roman"/>
                <w:b w:val="0"/>
                <w:bCs w:val="0"/>
                <w:color w:val="auto"/>
                <w:sz w:val="24"/>
                <w:highlight w:val="none"/>
                <w:lang w:val="en-US" w:eastAsia="zh-CN"/>
              </w:rPr>
              <w:t>地下水。</w:t>
            </w:r>
          </w:p>
          <w:p w14:paraId="72ED0B4E">
            <w:pPr>
              <w:spacing w:line="360" w:lineRule="auto"/>
              <w:ind w:firstLine="480" w:firstLineChars="200"/>
              <w:rPr>
                <w:rFonts w:ascii="Times New Roman" w:hAnsi="Times New Roman" w:eastAsia="宋体"/>
                <w:color w:val="auto"/>
                <w:sz w:val="24"/>
                <w:highlight w:val="none"/>
              </w:rPr>
            </w:pPr>
            <w:r>
              <w:rPr>
                <w:rFonts w:ascii="Times New Roman" w:hAnsi="Times New Roman" w:eastAsia="宋体"/>
                <w:color w:val="auto"/>
                <w:sz w:val="24"/>
                <w:highlight w:val="none"/>
              </w:rPr>
              <w:t>（</w:t>
            </w:r>
            <w:r>
              <w:rPr>
                <w:rFonts w:hint="eastAsia" w:eastAsia="宋体"/>
                <w:color w:val="auto"/>
                <w:sz w:val="24"/>
                <w:highlight w:val="none"/>
                <w:lang w:val="en-US" w:eastAsia="zh-CN"/>
              </w:rPr>
              <w:t>4</w:t>
            </w:r>
            <w:r>
              <w:rPr>
                <w:rFonts w:ascii="Times New Roman" w:hAnsi="Times New Roman" w:eastAsia="宋体"/>
                <w:color w:val="auto"/>
                <w:sz w:val="24"/>
                <w:highlight w:val="none"/>
              </w:rPr>
              <w:t>）废气事故排放对周边大气环境影响分析</w:t>
            </w:r>
          </w:p>
          <w:p w14:paraId="3F59DB58">
            <w:pPr>
              <w:spacing w:line="360" w:lineRule="auto"/>
              <w:ind w:firstLine="480" w:firstLineChars="200"/>
              <w:rPr>
                <w:rFonts w:ascii="Times New Roman" w:hAnsi="Times New Roman" w:eastAsia="宋体"/>
                <w:color w:val="auto"/>
                <w:sz w:val="24"/>
                <w:highlight w:val="none"/>
              </w:rPr>
            </w:pPr>
            <w:r>
              <w:rPr>
                <w:rFonts w:ascii="Times New Roman" w:hAnsi="Times New Roman" w:eastAsia="宋体"/>
                <w:color w:val="auto"/>
                <w:sz w:val="24"/>
                <w:highlight w:val="none"/>
              </w:rPr>
              <w:t>若项目废气治理设施或集气设施配套引风机故障</w:t>
            </w:r>
            <w:r>
              <w:rPr>
                <w:rFonts w:hint="eastAsia" w:ascii="Times New Roman" w:hAnsi="Times New Roman" w:eastAsia="宋体"/>
                <w:color w:val="auto"/>
                <w:sz w:val="24"/>
                <w:highlight w:val="none"/>
              </w:rPr>
              <w:t>，</w:t>
            </w:r>
            <w:r>
              <w:rPr>
                <w:rFonts w:ascii="Times New Roman" w:hAnsi="Times New Roman" w:eastAsia="宋体"/>
                <w:color w:val="auto"/>
                <w:sz w:val="24"/>
                <w:highlight w:val="none"/>
              </w:rPr>
              <w:t>不能够有效地收集及处置</w:t>
            </w:r>
            <w:r>
              <w:rPr>
                <w:rFonts w:hint="eastAsia" w:eastAsia="宋体"/>
                <w:color w:val="auto"/>
                <w:sz w:val="24"/>
                <w:highlight w:val="none"/>
                <w:lang w:eastAsia="zh-CN"/>
              </w:rPr>
              <w:t>废气，使</w:t>
            </w:r>
            <w:r>
              <w:rPr>
                <w:rFonts w:ascii="Times New Roman" w:hAnsi="Times New Roman" w:eastAsia="宋体"/>
                <w:color w:val="auto"/>
                <w:sz w:val="24"/>
                <w:highlight w:val="none"/>
              </w:rPr>
              <w:t>废气</w:t>
            </w:r>
            <w:r>
              <w:rPr>
                <w:rFonts w:hint="eastAsia" w:eastAsia="宋体"/>
                <w:color w:val="auto"/>
                <w:sz w:val="24"/>
                <w:highlight w:val="none"/>
                <w:lang w:eastAsia="zh-CN"/>
              </w:rPr>
              <w:t>以</w:t>
            </w:r>
            <w:r>
              <w:rPr>
                <w:rFonts w:ascii="Times New Roman" w:hAnsi="Times New Roman" w:eastAsia="宋体"/>
                <w:color w:val="auto"/>
                <w:sz w:val="24"/>
                <w:highlight w:val="none"/>
              </w:rPr>
              <w:t>无组织</w:t>
            </w:r>
            <w:r>
              <w:rPr>
                <w:rFonts w:hint="eastAsia" w:eastAsia="宋体"/>
                <w:color w:val="auto"/>
                <w:sz w:val="24"/>
                <w:highlight w:val="none"/>
                <w:lang w:eastAsia="zh-CN"/>
              </w:rPr>
              <w:t>形式</w:t>
            </w:r>
            <w:r>
              <w:rPr>
                <w:rFonts w:ascii="Times New Roman" w:hAnsi="Times New Roman" w:eastAsia="宋体"/>
                <w:color w:val="auto"/>
                <w:sz w:val="24"/>
                <w:highlight w:val="none"/>
              </w:rPr>
              <w:t>排放</w:t>
            </w:r>
            <w:r>
              <w:rPr>
                <w:rFonts w:hint="eastAsia" w:ascii="Times New Roman" w:hAnsi="Times New Roman" w:eastAsia="宋体"/>
                <w:color w:val="auto"/>
                <w:sz w:val="24"/>
                <w:highlight w:val="none"/>
              </w:rPr>
              <w:t>，</w:t>
            </w:r>
            <w:r>
              <w:rPr>
                <w:rFonts w:ascii="Times New Roman" w:hAnsi="Times New Roman" w:eastAsia="宋体"/>
                <w:color w:val="auto"/>
                <w:sz w:val="24"/>
                <w:highlight w:val="none"/>
              </w:rPr>
              <w:t>将导致车间内污染物浓度增大和对外环境也会产生不利影响</w:t>
            </w:r>
            <w:r>
              <w:rPr>
                <w:rFonts w:hint="eastAsia" w:ascii="Times New Roman" w:hAnsi="Times New Roman" w:eastAsia="宋体"/>
                <w:color w:val="auto"/>
                <w:sz w:val="24"/>
                <w:highlight w:val="none"/>
              </w:rPr>
              <w:t>，</w:t>
            </w:r>
            <w:r>
              <w:rPr>
                <w:rFonts w:ascii="Times New Roman" w:hAnsi="Times New Roman" w:eastAsia="宋体"/>
                <w:color w:val="auto"/>
                <w:sz w:val="24"/>
                <w:highlight w:val="none"/>
              </w:rPr>
              <w:t>而且无组织源排放高度低</w:t>
            </w:r>
            <w:r>
              <w:rPr>
                <w:rFonts w:hint="eastAsia" w:ascii="Times New Roman" w:hAnsi="Times New Roman" w:eastAsia="宋体"/>
                <w:color w:val="auto"/>
                <w:sz w:val="24"/>
                <w:highlight w:val="none"/>
              </w:rPr>
              <w:t>，</w:t>
            </w:r>
            <w:r>
              <w:rPr>
                <w:rFonts w:ascii="Times New Roman" w:hAnsi="Times New Roman" w:eastAsia="宋体"/>
                <w:color w:val="auto"/>
                <w:sz w:val="24"/>
                <w:highlight w:val="none"/>
              </w:rPr>
              <w:t>大气的扩散稀释强度较弱</w:t>
            </w:r>
            <w:r>
              <w:rPr>
                <w:rFonts w:hint="eastAsia" w:ascii="Times New Roman" w:hAnsi="Times New Roman" w:eastAsia="宋体"/>
                <w:color w:val="auto"/>
                <w:sz w:val="24"/>
                <w:highlight w:val="none"/>
              </w:rPr>
              <w:t>，</w:t>
            </w:r>
            <w:r>
              <w:rPr>
                <w:rFonts w:ascii="Times New Roman" w:hAnsi="Times New Roman" w:eastAsia="宋体"/>
                <w:color w:val="auto"/>
                <w:sz w:val="24"/>
                <w:highlight w:val="none"/>
              </w:rPr>
              <w:t>对厂界附近的环境空气质量将产生一定程度的影响。</w:t>
            </w:r>
          </w:p>
          <w:p w14:paraId="0AEE996B">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Times New Roman" w:hAnsi="Times New Roman" w:eastAsia="宋体" w:cs="Times New Roman"/>
                <w:b w:val="0"/>
                <w:bCs w:val="0"/>
                <w:color w:val="auto"/>
                <w:sz w:val="24"/>
                <w:highlight w:val="none"/>
                <w:lang w:val="en-US" w:eastAsia="zh-CN"/>
              </w:rPr>
            </w:pPr>
            <w:r>
              <w:rPr>
                <w:rFonts w:hint="eastAsia" w:ascii="Times New Roman" w:hAnsi="Times New Roman" w:eastAsia="宋体" w:cs="Times New Roman"/>
                <w:b/>
                <w:bCs w:val="0"/>
                <w:color w:val="auto"/>
                <w:kern w:val="2"/>
                <w:sz w:val="24"/>
                <w:szCs w:val="24"/>
                <w:highlight w:val="none"/>
                <w:lang w:val="en-US" w:eastAsia="zh-CN" w:bidi="ar-SA"/>
              </w:rPr>
              <w:t>4.2.6.</w:t>
            </w:r>
            <w:r>
              <w:rPr>
                <w:rFonts w:hint="eastAsia" w:cs="Times New Roman"/>
                <w:b/>
                <w:bCs w:val="0"/>
                <w:color w:val="auto"/>
                <w:kern w:val="2"/>
                <w:sz w:val="24"/>
                <w:szCs w:val="24"/>
                <w:highlight w:val="none"/>
                <w:lang w:val="en-US" w:eastAsia="zh-CN" w:bidi="ar-SA"/>
              </w:rPr>
              <w:t>5</w:t>
            </w:r>
            <w:r>
              <w:rPr>
                <w:rFonts w:hint="eastAsia" w:ascii="Times New Roman" w:hAnsi="Times New Roman" w:eastAsia="宋体" w:cs="Times New Roman"/>
                <w:b/>
                <w:bCs w:val="0"/>
                <w:color w:val="auto"/>
                <w:kern w:val="2"/>
                <w:sz w:val="24"/>
                <w:szCs w:val="24"/>
                <w:highlight w:val="none"/>
                <w:lang w:val="en-US" w:eastAsia="zh-CN" w:bidi="ar-SA"/>
              </w:rPr>
              <w:t>环境风险防范措施</w:t>
            </w:r>
          </w:p>
          <w:p w14:paraId="3662B09C">
            <w:pPr>
              <w:spacing w:line="360" w:lineRule="auto"/>
              <w:ind w:firstLine="480" w:firstLineChars="200"/>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为做到安全生产，使事故风险减小到最低限度，企业的生产管理部门应加强安全生产管理，制定完备、有效的安全防范措施，尽可能降低各项事故发生的概率。</w:t>
            </w:r>
          </w:p>
          <w:p w14:paraId="0B710ECF">
            <w:pPr>
              <w:spacing w:line="360" w:lineRule="auto"/>
              <w:ind w:firstLine="480" w:firstLineChars="200"/>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（1）定期对废气收集及处理设施进行检修维护，确保其正常工作，发生故障时应及时停止相关</w:t>
            </w:r>
            <w:r>
              <w:rPr>
                <w:rFonts w:hint="eastAsia"/>
                <w:color w:val="auto"/>
                <w:sz w:val="24"/>
                <w:highlight w:val="none"/>
                <w:lang w:eastAsia="zh-CN"/>
              </w:rPr>
              <w:t>工序生产设备</w:t>
            </w:r>
            <w:r>
              <w:rPr>
                <w:rFonts w:hint="eastAsia" w:ascii="Times New Roman" w:hAnsi="Times New Roman" w:eastAsia="宋体"/>
                <w:color w:val="auto"/>
                <w:sz w:val="24"/>
                <w:highlight w:val="none"/>
              </w:rPr>
              <w:t>，维修正常后再开始作业。</w:t>
            </w:r>
          </w:p>
          <w:p w14:paraId="2DC6EC55">
            <w:pPr>
              <w:spacing w:line="360" w:lineRule="auto"/>
              <w:ind w:firstLine="480" w:firstLineChars="200"/>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（2）在生产车间</w:t>
            </w:r>
            <w:r>
              <w:rPr>
                <w:rFonts w:hint="eastAsia"/>
                <w:color w:val="auto"/>
                <w:sz w:val="24"/>
                <w:highlight w:val="none"/>
                <w:lang w:eastAsia="zh-CN"/>
              </w:rPr>
              <w:t>显眼</w:t>
            </w:r>
            <w:r>
              <w:rPr>
                <w:rFonts w:hint="eastAsia" w:ascii="Times New Roman" w:hAnsi="Times New Roman" w:eastAsia="宋体"/>
                <w:color w:val="auto"/>
                <w:sz w:val="24"/>
                <w:highlight w:val="none"/>
              </w:rPr>
              <w:t>位置张贴禁用明火的</w:t>
            </w:r>
            <w:r>
              <w:rPr>
                <w:rFonts w:hint="eastAsia"/>
                <w:color w:val="auto"/>
                <w:sz w:val="24"/>
                <w:highlight w:val="none"/>
                <w:lang w:eastAsia="zh-CN"/>
              </w:rPr>
              <w:t>标识</w:t>
            </w:r>
            <w:r>
              <w:rPr>
                <w:rFonts w:hint="eastAsia" w:ascii="Times New Roman" w:hAnsi="Times New Roman" w:eastAsia="宋体"/>
                <w:color w:val="auto"/>
                <w:sz w:val="24"/>
                <w:highlight w:val="none"/>
              </w:rPr>
              <w:t>，厂内应配备灭火器、消防栓、消防沙等消防应急设施，灭火器应布置在明显</w:t>
            </w:r>
            <w:r>
              <w:rPr>
                <w:rFonts w:hint="eastAsia"/>
                <w:color w:val="auto"/>
                <w:sz w:val="24"/>
                <w:highlight w:val="none"/>
                <w:lang w:eastAsia="zh-CN"/>
              </w:rPr>
              <w:t>且</w:t>
            </w:r>
            <w:r>
              <w:rPr>
                <w:rFonts w:hint="eastAsia" w:ascii="Times New Roman" w:hAnsi="Times New Roman" w:eastAsia="宋体"/>
                <w:color w:val="auto"/>
                <w:sz w:val="24"/>
                <w:highlight w:val="none"/>
              </w:rPr>
              <w:t>便于取用的地方，并定期维护检查。</w:t>
            </w:r>
          </w:p>
          <w:p w14:paraId="2E589936">
            <w:pPr>
              <w:spacing w:line="360" w:lineRule="auto"/>
              <w:ind w:firstLine="480" w:firstLineChars="200"/>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（3）原辅材料储存区应注明</w:t>
            </w:r>
            <w:r>
              <w:rPr>
                <w:rFonts w:hint="eastAsia"/>
                <w:color w:val="auto"/>
                <w:sz w:val="24"/>
                <w:highlight w:val="none"/>
                <w:lang w:eastAsia="zh-CN"/>
              </w:rPr>
              <w:t>风险</w:t>
            </w:r>
            <w:r>
              <w:rPr>
                <w:rFonts w:hint="eastAsia" w:ascii="Times New Roman" w:hAnsi="Times New Roman" w:eastAsia="宋体"/>
                <w:color w:val="auto"/>
                <w:sz w:val="24"/>
                <w:highlight w:val="none"/>
              </w:rPr>
              <w:t>物质危险特性、安全使用说明以及事故应对措施。</w:t>
            </w:r>
          </w:p>
          <w:p w14:paraId="60A8F701">
            <w:pPr>
              <w:spacing w:line="360" w:lineRule="auto"/>
              <w:ind w:firstLine="480" w:firstLineChars="200"/>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（4）涉及油类</w:t>
            </w:r>
            <w:r>
              <w:rPr>
                <w:rFonts w:hint="eastAsia"/>
                <w:color w:val="auto"/>
                <w:sz w:val="24"/>
                <w:highlight w:val="none"/>
                <w:lang w:eastAsia="zh-CN"/>
              </w:rPr>
              <w:t>使用的生产车间区域</w:t>
            </w:r>
            <w:r>
              <w:rPr>
                <w:rFonts w:hint="eastAsia" w:ascii="Times New Roman" w:hAnsi="Times New Roman" w:eastAsia="宋体"/>
                <w:color w:val="auto"/>
                <w:sz w:val="24"/>
                <w:highlight w:val="none"/>
              </w:rPr>
              <w:t>应配备收油托盘，地面做好防渗措施；车间地面油</w:t>
            </w:r>
            <w:r>
              <w:rPr>
                <w:rFonts w:hint="eastAsia"/>
                <w:color w:val="auto"/>
                <w:sz w:val="24"/>
                <w:highlight w:val="none"/>
                <w:lang w:eastAsia="zh-CN"/>
              </w:rPr>
              <w:t>类</w:t>
            </w:r>
            <w:r>
              <w:rPr>
                <w:rFonts w:hint="eastAsia" w:ascii="Times New Roman" w:hAnsi="Times New Roman" w:eastAsia="宋体"/>
                <w:color w:val="auto"/>
                <w:sz w:val="24"/>
                <w:highlight w:val="none"/>
              </w:rPr>
              <w:t>滴漏情况应随时清理，用吸附材料吸附，保持地面的清洁</w:t>
            </w:r>
            <w:r>
              <w:rPr>
                <w:rFonts w:hint="eastAsia"/>
                <w:color w:val="auto"/>
                <w:sz w:val="24"/>
                <w:highlight w:val="none"/>
                <w:lang w:eastAsia="zh-CN"/>
              </w:rPr>
              <w:t>，</w:t>
            </w:r>
            <w:r>
              <w:rPr>
                <w:rFonts w:hint="eastAsia" w:ascii="Times New Roman" w:hAnsi="Times New Roman" w:eastAsia="宋体"/>
                <w:color w:val="auto"/>
                <w:sz w:val="24"/>
                <w:highlight w:val="none"/>
              </w:rPr>
              <w:t>减少</w:t>
            </w:r>
            <w:r>
              <w:rPr>
                <w:rFonts w:hint="eastAsia"/>
                <w:color w:val="auto"/>
                <w:sz w:val="24"/>
                <w:highlight w:val="none"/>
                <w:lang w:eastAsia="zh-CN"/>
              </w:rPr>
              <w:t>油类风险物质</w:t>
            </w:r>
            <w:r>
              <w:rPr>
                <w:rFonts w:hint="eastAsia" w:ascii="Times New Roman" w:hAnsi="Times New Roman" w:eastAsia="宋体"/>
                <w:color w:val="auto"/>
                <w:sz w:val="24"/>
                <w:highlight w:val="none"/>
              </w:rPr>
              <w:t>泄漏量，</w:t>
            </w:r>
            <w:r>
              <w:rPr>
                <w:rFonts w:hint="eastAsia"/>
                <w:color w:val="auto"/>
                <w:sz w:val="24"/>
                <w:highlight w:val="none"/>
                <w:lang w:eastAsia="zh-CN"/>
              </w:rPr>
              <w:t>防止</w:t>
            </w:r>
            <w:r>
              <w:rPr>
                <w:rFonts w:hint="eastAsia" w:ascii="Times New Roman" w:hAnsi="Times New Roman" w:eastAsia="宋体"/>
                <w:color w:val="auto"/>
                <w:sz w:val="24"/>
                <w:highlight w:val="none"/>
              </w:rPr>
              <w:t>油类物质泄漏污染土壤。</w:t>
            </w:r>
          </w:p>
          <w:p w14:paraId="7F610441">
            <w:pPr>
              <w:pStyle w:val="2"/>
              <w:rPr>
                <w:rFonts w:hint="eastAsia"/>
                <w:color w:val="auto"/>
                <w:sz w:val="24"/>
                <w:highlight w:val="none"/>
                <w:lang w:eastAsia="zh-CN"/>
              </w:rPr>
            </w:pPr>
            <w:r>
              <w:rPr>
                <w:rFonts w:hint="eastAsia"/>
                <w:color w:val="auto"/>
                <w:sz w:val="24"/>
                <w:highlight w:val="none"/>
                <w:lang w:eastAsia="zh-CN"/>
              </w:rPr>
              <w:t>（</w:t>
            </w:r>
            <w:r>
              <w:rPr>
                <w:rFonts w:hint="eastAsia"/>
                <w:color w:val="auto"/>
                <w:sz w:val="24"/>
                <w:highlight w:val="none"/>
                <w:lang w:val="en-US" w:eastAsia="zh-CN"/>
              </w:rPr>
              <w:t>5</w:t>
            </w:r>
            <w:r>
              <w:rPr>
                <w:rFonts w:hint="eastAsia"/>
                <w:color w:val="auto"/>
                <w:sz w:val="24"/>
                <w:highlight w:val="none"/>
                <w:lang w:eastAsia="zh-CN"/>
              </w:rPr>
              <w:t>）建立健全安全生产责任制实行定期性安全检查，设置专人看守危废暂存间。增强安全意识，加强安全教育，增强职工安全意识，认真贯彻安全法规和制度，制定相应的应急措施。项目危废暂存间进行防渗，</w:t>
            </w:r>
            <w:r>
              <w:rPr>
                <w:rFonts w:hint="default" w:ascii="Times New Roman" w:hAnsi="Times New Roman" w:eastAsia="宋体" w:cs="Times New Roman"/>
                <w:color w:val="auto"/>
                <w:kern w:val="0"/>
                <w:sz w:val="24"/>
                <w:szCs w:val="24"/>
                <w:lang w:val="en-US" w:eastAsia="zh-CN" w:bidi="ar"/>
              </w:rPr>
              <w:t>危废暂存间为重点防渗区，防渗技术要求满足等效黏土防渗层Mb≥6.0m，K≤1×10</w:t>
            </w:r>
            <w:r>
              <w:rPr>
                <w:rFonts w:hint="eastAsia" w:cs="Times New Roman"/>
                <w:color w:val="auto"/>
                <w:kern w:val="0"/>
                <w:sz w:val="24"/>
                <w:szCs w:val="24"/>
                <w:vertAlign w:val="superscript"/>
                <w:lang w:val="en-US" w:eastAsia="zh-CN" w:bidi="ar"/>
              </w:rPr>
              <w:t>-7</w:t>
            </w:r>
            <w:r>
              <w:rPr>
                <w:rFonts w:hint="default" w:ascii="Times New Roman" w:hAnsi="Times New Roman" w:eastAsia="宋体" w:cs="Times New Roman"/>
                <w:color w:val="auto"/>
                <w:kern w:val="0"/>
                <w:sz w:val="24"/>
                <w:szCs w:val="24"/>
                <w:lang w:val="en-US" w:eastAsia="zh-CN" w:bidi="ar"/>
              </w:rPr>
              <w:t>cm/s</w:t>
            </w:r>
            <w:r>
              <w:rPr>
                <w:rFonts w:hint="eastAsia"/>
                <w:color w:val="auto"/>
                <w:sz w:val="24"/>
                <w:highlight w:val="none"/>
                <w:lang w:eastAsia="zh-CN"/>
              </w:rPr>
              <w:t>，严格执行《危险废物贮存污染控制标准》的要求。</w:t>
            </w:r>
          </w:p>
          <w:p w14:paraId="20854E22">
            <w:pPr>
              <w:pStyle w:val="2"/>
              <w:rPr>
                <w:rFonts w:hint="eastAsia" w:ascii="Times New Roman" w:hAnsi="Times New Roman" w:eastAsia="宋体" w:cs="Times New Roman"/>
                <w:color w:val="auto"/>
                <w:sz w:val="24"/>
                <w:highlight w:val="none"/>
                <w:lang w:eastAsia="zh-CN"/>
              </w:rPr>
            </w:pPr>
            <w:r>
              <w:rPr>
                <w:rFonts w:hint="eastAsia" w:ascii="Times New Roman" w:hAnsi="Times New Roman" w:eastAsia="宋体" w:cs="Times New Roman"/>
                <w:color w:val="auto"/>
                <w:sz w:val="24"/>
                <w:highlight w:val="none"/>
                <w:lang w:eastAsia="zh-CN"/>
              </w:rPr>
              <w:t>（</w:t>
            </w:r>
            <w:r>
              <w:rPr>
                <w:rFonts w:hint="eastAsia" w:ascii="Times New Roman" w:hAnsi="Times New Roman" w:eastAsia="宋体" w:cs="Times New Roman"/>
                <w:color w:val="auto"/>
                <w:sz w:val="24"/>
                <w:highlight w:val="none"/>
                <w:lang w:val="en-US" w:eastAsia="zh-CN"/>
              </w:rPr>
              <w:t>6</w:t>
            </w:r>
            <w:r>
              <w:rPr>
                <w:rFonts w:hint="eastAsia" w:ascii="Times New Roman" w:hAnsi="Times New Roman" w:eastAsia="宋体" w:cs="Times New Roman"/>
                <w:color w:val="auto"/>
                <w:sz w:val="24"/>
                <w:highlight w:val="none"/>
                <w:lang w:eastAsia="zh-CN"/>
              </w:rPr>
              <w:t>）柴油存放区应加强防腐、防渗、防漏措施，避免事故状态下柴油渗入周边土壤。</w:t>
            </w:r>
          </w:p>
          <w:p w14:paraId="7B72C92C">
            <w:pPr>
              <w:spacing w:line="360" w:lineRule="auto"/>
              <w:ind w:firstLine="480" w:firstLineChars="200"/>
              <w:rPr>
                <w:rFonts w:hint="eastAsia"/>
                <w:color w:val="auto"/>
                <w:sz w:val="24"/>
                <w:highlight w:val="none"/>
                <w:lang w:eastAsia="zh-CN"/>
              </w:rPr>
            </w:pPr>
            <w:r>
              <w:rPr>
                <w:rFonts w:hint="eastAsia"/>
                <w:color w:val="auto"/>
                <w:sz w:val="24"/>
                <w:highlight w:val="none"/>
                <w:lang w:eastAsia="zh-CN"/>
              </w:rPr>
              <w:t>（</w:t>
            </w:r>
            <w:r>
              <w:rPr>
                <w:rFonts w:hint="eastAsia"/>
                <w:color w:val="auto"/>
                <w:sz w:val="24"/>
                <w:highlight w:val="none"/>
                <w:lang w:val="en-US" w:eastAsia="zh-CN"/>
              </w:rPr>
              <w:t>7</w:t>
            </w:r>
            <w:r>
              <w:rPr>
                <w:rFonts w:hint="eastAsia"/>
                <w:color w:val="auto"/>
                <w:sz w:val="24"/>
                <w:highlight w:val="none"/>
                <w:lang w:eastAsia="zh-CN"/>
              </w:rPr>
              <w:t>）采取有效措施防止电气线路和电气设施在开关断开、接触不良、短路、漏电时产生火花，防止静电放电火花；采取防雷接地措施，防止雷电放电火花。</w:t>
            </w:r>
          </w:p>
          <w:p w14:paraId="1ACACD58">
            <w:pPr>
              <w:pStyle w:val="2"/>
              <w:rPr>
                <w:rFonts w:hint="eastAsia"/>
                <w:color w:val="auto"/>
                <w:sz w:val="24"/>
                <w:highlight w:val="none"/>
                <w:lang w:eastAsia="zh-CN"/>
              </w:rPr>
            </w:pPr>
            <w:r>
              <w:rPr>
                <w:rFonts w:hint="eastAsia"/>
                <w:color w:val="auto"/>
                <w:sz w:val="24"/>
                <w:highlight w:val="none"/>
                <w:lang w:eastAsia="zh-CN"/>
              </w:rPr>
              <w:t>（</w:t>
            </w:r>
            <w:r>
              <w:rPr>
                <w:rFonts w:hint="eastAsia"/>
                <w:color w:val="auto"/>
                <w:sz w:val="24"/>
                <w:highlight w:val="none"/>
                <w:lang w:val="en-US" w:eastAsia="zh-CN"/>
              </w:rPr>
              <w:t>8</w:t>
            </w:r>
            <w:r>
              <w:rPr>
                <w:rFonts w:hint="eastAsia"/>
                <w:color w:val="auto"/>
                <w:sz w:val="24"/>
                <w:highlight w:val="none"/>
                <w:lang w:eastAsia="zh-CN"/>
              </w:rPr>
              <w:t>）厂区总平面布置方面，严格执行相关规范要求，所有建、构筑物之间</w:t>
            </w:r>
          </w:p>
          <w:p w14:paraId="570679F1">
            <w:pPr>
              <w:pStyle w:val="2"/>
              <w:ind w:left="0" w:leftChars="0" w:firstLine="0" w:firstLineChars="0"/>
              <w:rPr>
                <w:rFonts w:hint="eastAsia"/>
                <w:color w:val="auto"/>
                <w:lang w:eastAsia="zh-CN"/>
              </w:rPr>
            </w:pPr>
            <w:r>
              <w:rPr>
                <w:rFonts w:hint="eastAsia"/>
                <w:color w:val="auto"/>
                <w:sz w:val="24"/>
                <w:highlight w:val="none"/>
                <w:lang w:eastAsia="zh-CN"/>
              </w:rPr>
              <w:t>或与其他场所之间留有足够的防火间距，防止在火灾或爆炸时相互影响；严格按工艺处理物料特性，对厂区进行危险区划分。</w:t>
            </w:r>
          </w:p>
          <w:p w14:paraId="1F3FB223">
            <w:pPr>
              <w:numPr>
                <w:ilvl w:val="0"/>
                <w:numId w:val="4"/>
              </w:numPr>
              <w:spacing w:line="360" w:lineRule="auto"/>
              <w:ind w:firstLine="480" w:firstLineChars="200"/>
              <w:rPr>
                <w:rFonts w:hint="eastAsia"/>
                <w:color w:val="auto"/>
                <w:sz w:val="24"/>
                <w:highlight w:val="none"/>
                <w:lang w:eastAsia="zh-CN"/>
              </w:rPr>
            </w:pPr>
            <w:r>
              <w:rPr>
                <w:rFonts w:hint="eastAsia"/>
                <w:color w:val="auto"/>
                <w:sz w:val="24"/>
                <w:highlight w:val="none"/>
                <w:lang w:eastAsia="zh-CN"/>
              </w:rPr>
              <w:t>事故应急池的设置</w:t>
            </w:r>
          </w:p>
          <w:p w14:paraId="14DD940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为了防止环境风险物质泄漏、事故</w:t>
            </w:r>
            <w:r>
              <w:rPr>
                <w:rFonts w:hint="eastAsia"/>
                <w:color w:val="auto"/>
                <w:sz w:val="24"/>
                <w:highlight w:val="none"/>
                <w:lang w:eastAsia="zh-CN"/>
              </w:rPr>
              <w:t>洗消</w:t>
            </w:r>
            <w:r>
              <w:rPr>
                <w:rFonts w:hint="eastAsia" w:ascii="Times New Roman" w:hAnsi="Times New Roman" w:eastAsia="宋体"/>
                <w:color w:val="auto"/>
                <w:sz w:val="24"/>
                <w:highlight w:val="none"/>
              </w:rPr>
              <w:t>废水泄漏对周边水环境造成污染事件，参照《建筑设计防火规范》（GB50016-2014）和《事故状态下水体污染的预防和控制规范》（Q/SY08190-2019）中的相关规定设置事故应急池。事故应急池最小容积测算过程如下：</w:t>
            </w:r>
          </w:p>
          <w:p w14:paraId="33C2A0FF">
            <w:pPr>
              <w:spacing w:line="360" w:lineRule="auto"/>
              <w:ind w:left="0" w:leftChars="0" w:firstLine="0" w:firstLineChars="0"/>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V总＝（V</w:t>
            </w:r>
            <w:r>
              <w:rPr>
                <w:rFonts w:hint="eastAsia" w:ascii="Times New Roman" w:hAnsi="Times New Roman" w:eastAsia="宋体"/>
                <w:color w:val="auto"/>
                <w:sz w:val="24"/>
                <w:highlight w:val="none"/>
                <w:vertAlign w:val="subscript"/>
              </w:rPr>
              <w:t>1</w:t>
            </w:r>
            <w:r>
              <w:rPr>
                <w:rFonts w:hint="eastAsia" w:ascii="Times New Roman" w:hAnsi="Times New Roman" w:eastAsia="宋体"/>
                <w:color w:val="auto"/>
                <w:sz w:val="24"/>
                <w:highlight w:val="none"/>
              </w:rPr>
              <w:t>＋V</w:t>
            </w:r>
            <w:r>
              <w:rPr>
                <w:rFonts w:hint="eastAsia" w:ascii="Times New Roman" w:hAnsi="Times New Roman" w:eastAsia="宋体"/>
                <w:color w:val="auto"/>
                <w:sz w:val="24"/>
                <w:highlight w:val="none"/>
                <w:vertAlign w:val="subscript"/>
              </w:rPr>
              <w:t>2</w:t>
            </w:r>
            <w:r>
              <w:rPr>
                <w:rFonts w:hint="eastAsia" w:ascii="Times New Roman" w:hAnsi="Times New Roman" w:eastAsia="宋体"/>
                <w:color w:val="auto"/>
                <w:sz w:val="24"/>
                <w:highlight w:val="none"/>
              </w:rPr>
              <w:t>－V</w:t>
            </w:r>
            <w:r>
              <w:rPr>
                <w:rFonts w:hint="eastAsia" w:ascii="Times New Roman" w:hAnsi="Times New Roman" w:eastAsia="宋体"/>
                <w:color w:val="auto"/>
                <w:sz w:val="24"/>
                <w:highlight w:val="none"/>
                <w:vertAlign w:val="subscript"/>
              </w:rPr>
              <w:t>3</w:t>
            </w:r>
            <w:r>
              <w:rPr>
                <w:rFonts w:hint="eastAsia" w:ascii="Times New Roman" w:hAnsi="Times New Roman" w:eastAsia="宋体"/>
                <w:color w:val="auto"/>
                <w:sz w:val="24"/>
                <w:highlight w:val="none"/>
              </w:rPr>
              <w:t>）max＋V</w:t>
            </w:r>
            <w:r>
              <w:rPr>
                <w:rFonts w:hint="eastAsia" w:ascii="Times New Roman" w:hAnsi="Times New Roman" w:eastAsia="宋体"/>
                <w:color w:val="auto"/>
                <w:sz w:val="24"/>
                <w:highlight w:val="none"/>
                <w:vertAlign w:val="subscript"/>
              </w:rPr>
              <w:t>4</w:t>
            </w:r>
            <w:r>
              <w:rPr>
                <w:rFonts w:hint="eastAsia" w:ascii="Times New Roman" w:hAnsi="Times New Roman" w:eastAsia="宋体"/>
                <w:color w:val="auto"/>
                <w:sz w:val="24"/>
                <w:highlight w:val="none"/>
              </w:rPr>
              <w:t>+V</w:t>
            </w:r>
            <w:r>
              <w:rPr>
                <w:rFonts w:hint="eastAsia" w:ascii="Times New Roman" w:hAnsi="Times New Roman" w:eastAsia="宋体"/>
                <w:color w:val="auto"/>
                <w:sz w:val="24"/>
                <w:highlight w:val="none"/>
                <w:vertAlign w:val="subscript"/>
              </w:rPr>
              <w:t>5</w:t>
            </w:r>
          </w:p>
          <w:p w14:paraId="211D6648">
            <w:pPr>
              <w:spacing w:line="360" w:lineRule="auto"/>
              <w:ind w:firstLine="480" w:firstLineChars="200"/>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注：（V</w:t>
            </w:r>
            <w:r>
              <w:rPr>
                <w:rFonts w:hint="eastAsia" w:ascii="Times New Roman" w:hAnsi="Times New Roman" w:eastAsia="宋体"/>
                <w:color w:val="auto"/>
                <w:sz w:val="24"/>
                <w:highlight w:val="none"/>
                <w:vertAlign w:val="subscript"/>
              </w:rPr>
              <w:t>1</w:t>
            </w:r>
            <w:r>
              <w:rPr>
                <w:rFonts w:hint="eastAsia" w:ascii="Times New Roman" w:hAnsi="Times New Roman" w:eastAsia="宋体"/>
                <w:color w:val="auto"/>
                <w:sz w:val="24"/>
                <w:highlight w:val="none"/>
              </w:rPr>
              <w:t>＋V</w:t>
            </w:r>
            <w:r>
              <w:rPr>
                <w:rFonts w:hint="eastAsia" w:ascii="Times New Roman" w:hAnsi="Times New Roman" w:eastAsia="宋体"/>
                <w:color w:val="auto"/>
                <w:sz w:val="24"/>
                <w:highlight w:val="none"/>
                <w:vertAlign w:val="subscript"/>
              </w:rPr>
              <w:t>2</w:t>
            </w:r>
            <w:r>
              <w:rPr>
                <w:rFonts w:hint="eastAsia" w:ascii="Times New Roman" w:hAnsi="Times New Roman" w:eastAsia="宋体"/>
                <w:color w:val="auto"/>
                <w:sz w:val="24"/>
                <w:highlight w:val="none"/>
              </w:rPr>
              <w:t>－V</w:t>
            </w:r>
            <w:r>
              <w:rPr>
                <w:rFonts w:hint="eastAsia" w:ascii="Times New Roman" w:hAnsi="Times New Roman" w:eastAsia="宋体"/>
                <w:color w:val="auto"/>
                <w:sz w:val="24"/>
                <w:highlight w:val="none"/>
                <w:vertAlign w:val="subscript"/>
              </w:rPr>
              <w:t>3</w:t>
            </w:r>
            <w:r>
              <w:rPr>
                <w:rFonts w:hint="eastAsia" w:ascii="Times New Roman" w:hAnsi="Times New Roman" w:eastAsia="宋体"/>
                <w:color w:val="auto"/>
                <w:sz w:val="24"/>
                <w:highlight w:val="none"/>
              </w:rPr>
              <w:t>）max是指对收集系统范围内不同罐组或装置分别计算，（V</w:t>
            </w:r>
            <w:r>
              <w:rPr>
                <w:rFonts w:hint="eastAsia" w:ascii="Times New Roman" w:hAnsi="Times New Roman" w:eastAsia="宋体"/>
                <w:color w:val="auto"/>
                <w:sz w:val="24"/>
                <w:highlight w:val="none"/>
                <w:vertAlign w:val="subscript"/>
              </w:rPr>
              <w:t>1</w:t>
            </w:r>
            <w:r>
              <w:rPr>
                <w:rFonts w:hint="eastAsia" w:ascii="Times New Roman" w:hAnsi="Times New Roman" w:eastAsia="宋体"/>
                <w:color w:val="auto"/>
                <w:sz w:val="24"/>
                <w:highlight w:val="none"/>
              </w:rPr>
              <w:t>＋V</w:t>
            </w:r>
            <w:r>
              <w:rPr>
                <w:rFonts w:hint="eastAsia" w:ascii="Times New Roman" w:hAnsi="Times New Roman" w:eastAsia="宋体"/>
                <w:color w:val="auto"/>
                <w:sz w:val="24"/>
                <w:highlight w:val="none"/>
                <w:vertAlign w:val="subscript"/>
              </w:rPr>
              <w:t>2</w:t>
            </w:r>
            <w:r>
              <w:rPr>
                <w:rFonts w:hint="eastAsia" w:ascii="Times New Roman" w:hAnsi="Times New Roman" w:eastAsia="宋体"/>
                <w:color w:val="auto"/>
                <w:sz w:val="24"/>
                <w:highlight w:val="none"/>
              </w:rPr>
              <w:t>－V</w:t>
            </w:r>
            <w:r>
              <w:rPr>
                <w:rFonts w:hint="eastAsia" w:ascii="Times New Roman" w:hAnsi="Times New Roman" w:eastAsia="宋体"/>
                <w:color w:val="auto"/>
                <w:sz w:val="24"/>
                <w:highlight w:val="none"/>
                <w:vertAlign w:val="subscript"/>
              </w:rPr>
              <w:t>3</w:t>
            </w:r>
            <w:r>
              <w:rPr>
                <w:rFonts w:hint="eastAsia" w:ascii="Times New Roman" w:hAnsi="Times New Roman" w:eastAsia="宋体"/>
                <w:color w:val="auto"/>
                <w:sz w:val="24"/>
                <w:highlight w:val="none"/>
              </w:rPr>
              <w:t>）取其中最大值。</w:t>
            </w:r>
          </w:p>
          <w:p w14:paraId="1379788F">
            <w:pPr>
              <w:spacing w:line="360" w:lineRule="auto"/>
              <w:ind w:firstLine="480" w:firstLineChars="200"/>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V</w:t>
            </w:r>
            <w:r>
              <w:rPr>
                <w:rFonts w:hint="eastAsia" w:ascii="Times New Roman" w:hAnsi="Times New Roman" w:eastAsia="宋体"/>
                <w:color w:val="auto"/>
                <w:sz w:val="24"/>
                <w:highlight w:val="none"/>
                <w:vertAlign w:val="subscript"/>
              </w:rPr>
              <w:t>1</w:t>
            </w:r>
            <w:r>
              <w:rPr>
                <w:rFonts w:hint="eastAsia" w:ascii="Times New Roman" w:hAnsi="Times New Roman" w:eastAsia="宋体"/>
                <w:color w:val="auto"/>
                <w:sz w:val="24"/>
                <w:highlight w:val="none"/>
              </w:rPr>
              <w:t>——收集系统范围内发生事故的一个罐组或一套装置的物料量。储存相同物料的罐组按一个最大储罐计，装置物料量按存留最大物料量的一台反应器或中间储罐计，m³；</w:t>
            </w:r>
            <w:r>
              <w:rPr>
                <w:rFonts w:hint="eastAsia" w:ascii="Times New Roman" w:hAnsi="Times New Roman" w:eastAsia="宋体"/>
                <w:color w:val="auto"/>
                <w:sz w:val="24"/>
                <w:highlight w:val="none"/>
                <w:lang w:eastAsia="zh-CN"/>
              </w:rPr>
              <w:t>建设项目拟建柴油</w:t>
            </w:r>
            <w:r>
              <w:rPr>
                <w:rFonts w:hint="eastAsia" w:ascii="Times New Roman" w:hAnsi="Times New Roman" w:eastAsia="宋体"/>
                <w:color w:val="auto"/>
                <w:sz w:val="24"/>
                <w:highlight w:val="none"/>
              </w:rPr>
              <w:t>储罐，</w:t>
            </w:r>
            <w:r>
              <w:rPr>
                <w:rFonts w:hint="eastAsia" w:ascii="Times New Roman" w:hAnsi="Times New Roman" w:eastAsia="宋体"/>
                <w:color w:val="auto"/>
                <w:sz w:val="24"/>
                <w:highlight w:val="none"/>
                <w:lang w:eastAsia="zh-CN"/>
              </w:rPr>
              <w:t>容积为</w:t>
            </w:r>
            <w:r>
              <w:rPr>
                <w:rFonts w:hint="eastAsia" w:ascii="Times New Roman" w:hAnsi="Times New Roman" w:eastAsia="宋体"/>
                <w:color w:val="auto"/>
                <w:sz w:val="24"/>
                <w:highlight w:val="none"/>
                <w:lang w:val="en-US" w:eastAsia="zh-CN"/>
              </w:rPr>
              <w:t>20t</w:t>
            </w:r>
            <w:r>
              <w:rPr>
                <w:rFonts w:hint="eastAsia" w:ascii="Times New Roman" w:hAnsi="Times New Roman" w:eastAsia="宋体"/>
                <w:color w:val="auto"/>
                <w:sz w:val="24"/>
                <w:highlight w:val="none"/>
              </w:rPr>
              <w:t>，单个容器最大容积</w:t>
            </w:r>
            <w:r>
              <w:rPr>
                <w:rFonts w:hint="eastAsia" w:ascii="Times New Roman" w:hAnsi="Times New Roman" w:eastAsia="宋体"/>
                <w:color w:val="auto"/>
                <w:sz w:val="24"/>
                <w:highlight w:val="none"/>
                <w:lang w:eastAsia="zh-CN"/>
              </w:rPr>
              <w:t>约</w:t>
            </w:r>
            <w:r>
              <w:rPr>
                <w:rFonts w:hint="eastAsia" w:ascii="Times New Roman" w:hAnsi="Times New Roman" w:eastAsia="宋体"/>
                <w:color w:val="auto"/>
                <w:sz w:val="24"/>
                <w:highlight w:val="none"/>
              </w:rPr>
              <w:t>为</w:t>
            </w:r>
            <w:r>
              <w:rPr>
                <w:rFonts w:hint="eastAsia" w:ascii="Times New Roman" w:hAnsi="Times New Roman" w:eastAsia="宋体"/>
                <w:color w:val="auto"/>
                <w:sz w:val="24"/>
                <w:highlight w:val="none"/>
                <w:lang w:val="en-US" w:eastAsia="zh-CN"/>
              </w:rPr>
              <w:t>24</w:t>
            </w:r>
            <w:r>
              <w:rPr>
                <w:rFonts w:hint="eastAsia" w:ascii="Times New Roman" w:hAnsi="Times New Roman" w:eastAsia="宋体"/>
                <w:color w:val="auto"/>
                <w:sz w:val="24"/>
                <w:highlight w:val="none"/>
              </w:rPr>
              <w:t>m</w:t>
            </w:r>
            <w:r>
              <w:rPr>
                <w:rFonts w:hint="eastAsia" w:ascii="Times New Roman" w:hAnsi="Times New Roman" w:eastAsia="宋体"/>
                <w:color w:val="auto"/>
                <w:sz w:val="24"/>
                <w:highlight w:val="none"/>
                <w:vertAlign w:val="superscript"/>
                <w:lang w:val="en-US" w:eastAsia="zh-CN"/>
              </w:rPr>
              <w:t>3</w:t>
            </w:r>
            <w:r>
              <w:rPr>
                <w:rFonts w:hint="eastAsia" w:ascii="Times New Roman" w:hAnsi="Times New Roman" w:eastAsia="宋体"/>
                <w:color w:val="auto"/>
                <w:sz w:val="24"/>
                <w:highlight w:val="none"/>
                <w:vertAlign w:val="baseline"/>
                <w:lang w:val="en-US" w:eastAsia="zh-CN"/>
              </w:rPr>
              <w:t>，V</w:t>
            </w:r>
            <w:r>
              <w:rPr>
                <w:rFonts w:hint="eastAsia" w:ascii="Times New Roman" w:hAnsi="Times New Roman" w:eastAsia="宋体"/>
                <w:color w:val="auto"/>
                <w:sz w:val="24"/>
                <w:highlight w:val="none"/>
                <w:vertAlign w:val="subscript"/>
                <w:lang w:val="en-US" w:eastAsia="zh-CN"/>
              </w:rPr>
              <w:t>1</w:t>
            </w:r>
            <w:r>
              <w:rPr>
                <w:rFonts w:hint="eastAsia" w:ascii="Times New Roman" w:hAnsi="Times New Roman" w:eastAsia="宋体"/>
                <w:color w:val="auto"/>
                <w:sz w:val="24"/>
                <w:highlight w:val="none"/>
                <w:vertAlign w:val="baseline"/>
                <w:lang w:val="en-US" w:eastAsia="zh-CN"/>
              </w:rPr>
              <w:t>=24</w:t>
            </w:r>
            <w:r>
              <w:rPr>
                <w:rFonts w:hint="eastAsia" w:ascii="Times New Roman" w:hAnsi="Times New Roman" w:eastAsia="宋体"/>
                <w:color w:val="auto"/>
                <w:sz w:val="24"/>
                <w:highlight w:val="none"/>
              </w:rPr>
              <w:t>m</w:t>
            </w:r>
            <w:r>
              <w:rPr>
                <w:rFonts w:hint="eastAsia" w:ascii="Times New Roman" w:hAnsi="Times New Roman" w:eastAsia="宋体"/>
                <w:color w:val="auto"/>
                <w:sz w:val="24"/>
                <w:highlight w:val="none"/>
                <w:vertAlign w:val="superscript"/>
                <w:lang w:val="en-US" w:eastAsia="zh-CN"/>
              </w:rPr>
              <w:t>3</w:t>
            </w:r>
            <w:r>
              <w:rPr>
                <w:rFonts w:hint="eastAsia" w:ascii="Times New Roman" w:hAnsi="Times New Roman" w:eastAsia="宋体"/>
                <w:color w:val="auto"/>
                <w:sz w:val="24"/>
                <w:highlight w:val="none"/>
              </w:rPr>
              <w:t>；</w:t>
            </w:r>
          </w:p>
          <w:p w14:paraId="74D9B690">
            <w:pPr>
              <w:spacing w:line="360" w:lineRule="auto"/>
              <w:ind w:firstLine="480" w:firstLineChars="200"/>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V</w:t>
            </w:r>
            <w:r>
              <w:rPr>
                <w:rFonts w:hint="eastAsia" w:ascii="Times New Roman" w:hAnsi="Times New Roman" w:eastAsia="宋体"/>
                <w:color w:val="auto"/>
                <w:sz w:val="24"/>
                <w:highlight w:val="none"/>
                <w:vertAlign w:val="subscript"/>
              </w:rPr>
              <w:t>2</w:t>
            </w:r>
            <w:r>
              <w:rPr>
                <w:rFonts w:hint="eastAsia" w:ascii="Times New Roman" w:hAnsi="Times New Roman" w:eastAsia="宋体"/>
                <w:color w:val="auto"/>
                <w:sz w:val="24"/>
                <w:highlight w:val="none"/>
              </w:rPr>
              <w:t>——发生事故的储罐或装置的消防水量，m</w:t>
            </w:r>
            <w:r>
              <w:rPr>
                <w:rFonts w:hint="eastAsia" w:ascii="Times New Roman" w:hAnsi="Times New Roman" w:eastAsia="宋体"/>
                <w:color w:val="auto"/>
                <w:sz w:val="24"/>
                <w:highlight w:val="none"/>
                <w:vertAlign w:val="superscript"/>
                <w:lang w:val="en-US" w:eastAsia="zh-CN"/>
              </w:rPr>
              <w:t>3</w:t>
            </w:r>
            <w:r>
              <w:rPr>
                <w:rFonts w:hint="eastAsia" w:ascii="Times New Roman" w:hAnsi="Times New Roman" w:eastAsia="宋体"/>
                <w:color w:val="auto"/>
                <w:sz w:val="24"/>
                <w:highlight w:val="none"/>
              </w:rPr>
              <w:t>；</w:t>
            </w:r>
            <w:r>
              <w:rPr>
                <w:color w:val="auto"/>
                <w:sz w:val="24"/>
                <w:highlight w:val="none"/>
              </w:rPr>
              <w:t>根据《消防给水及消火栓系统技术规范》（GB50974-2014），</w:t>
            </w:r>
            <w:r>
              <w:rPr>
                <w:rFonts w:hint="eastAsia" w:ascii="Times New Roman" w:hAnsi="Times New Roman" w:eastAsia="宋体"/>
                <w:color w:val="auto"/>
                <w:sz w:val="24"/>
                <w:highlight w:val="none"/>
              </w:rPr>
              <w:t>消防设施对应的设计消防历时；按不利情况考虑，假设火灾事故持续</w:t>
            </w:r>
            <w:r>
              <w:rPr>
                <w:rFonts w:hint="eastAsia" w:ascii="Times New Roman" w:hAnsi="Times New Roman" w:eastAsia="宋体"/>
                <w:color w:val="auto"/>
                <w:sz w:val="24"/>
                <w:highlight w:val="none"/>
                <w:lang w:val="en-US" w:eastAsia="zh-CN"/>
              </w:rPr>
              <w:t>1</w:t>
            </w:r>
            <w:r>
              <w:rPr>
                <w:rFonts w:hint="eastAsia" w:ascii="Times New Roman" w:hAnsi="Times New Roman" w:eastAsia="宋体"/>
                <w:color w:val="auto"/>
                <w:sz w:val="24"/>
                <w:highlight w:val="none"/>
              </w:rPr>
              <w:t>h，</w:t>
            </w:r>
            <w:r>
              <w:rPr>
                <w:rFonts w:hint="eastAsia"/>
                <w:color w:val="auto"/>
                <w:sz w:val="24"/>
                <w:highlight w:val="none"/>
                <w:lang w:eastAsia="zh-CN"/>
              </w:rPr>
              <w:t>消火栓设计</w:t>
            </w:r>
            <w:r>
              <w:rPr>
                <w:color w:val="auto"/>
                <w:sz w:val="24"/>
                <w:highlight w:val="none"/>
              </w:rPr>
              <w:t>水量为1</w:t>
            </w:r>
            <w:r>
              <w:rPr>
                <w:rFonts w:hint="eastAsia"/>
                <w:color w:val="auto"/>
                <w:sz w:val="24"/>
                <w:highlight w:val="none"/>
                <w:lang w:val="en-US" w:eastAsia="zh-CN"/>
              </w:rPr>
              <w:t>0</w:t>
            </w:r>
            <w:r>
              <w:rPr>
                <w:color w:val="auto"/>
                <w:sz w:val="24"/>
                <w:highlight w:val="none"/>
              </w:rPr>
              <w:t>L/s，</w:t>
            </w:r>
            <w:r>
              <w:rPr>
                <w:rFonts w:hint="eastAsia"/>
                <w:color w:val="auto"/>
                <w:sz w:val="24"/>
                <w:highlight w:val="none"/>
                <w:lang w:eastAsia="zh-CN"/>
              </w:rPr>
              <w:t>同时使用消火栓枪数为</w:t>
            </w:r>
            <w:r>
              <w:rPr>
                <w:rFonts w:hint="eastAsia"/>
                <w:color w:val="auto"/>
                <w:sz w:val="24"/>
                <w:highlight w:val="none"/>
                <w:lang w:val="en-US" w:eastAsia="zh-CN"/>
              </w:rPr>
              <w:t>2支，</w:t>
            </w:r>
            <w:r>
              <w:rPr>
                <w:rFonts w:hint="eastAsia" w:ascii="Times New Roman" w:hAnsi="Times New Roman" w:eastAsia="宋体"/>
                <w:color w:val="auto"/>
                <w:sz w:val="24"/>
                <w:highlight w:val="none"/>
              </w:rPr>
              <w:t>则消防废水量V</w:t>
            </w:r>
            <w:r>
              <w:rPr>
                <w:rFonts w:hint="eastAsia" w:ascii="Times New Roman" w:hAnsi="Times New Roman" w:eastAsia="宋体"/>
                <w:color w:val="auto"/>
                <w:sz w:val="24"/>
                <w:highlight w:val="none"/>
                <w:vertAlign w:val="subscript"/>
              </w:rPr>
              <w:t>2</w:t>
            </w:r>
            <w:r>
              <w:rPr>
                <w:rFonts w:hint="eastAsia" w:ascii="Times New Roman" w:hAnsi="Times New Roman" w:eastAsia="宋体"/>
                <w:color w:val="auto"/>
                <w:sz w:val="24"/>
                <w:highlight w:val="none"/>
              </w:rPr>
              <w:t>=</w:t>
            </w:r>
            <w:r>
              <w:rPr>
                <w:rFonts w:hint="eastAsia" w:ascii="Times New Roman" w:hAnsi="Times New Roman" w:eastAsia="宋体"/>
                <w:color w:val="auto"/>
                <w:sz w:val="24"/>
                <w:highlight w:val="none"/>
                <w:lang w:val="en-US" w:eastAsia="zh-CN"/>
              </w:rPr>
              <w:t>1</w:t>
            </w:r>
            <w:r>
              <w:rPr>
                <w:rFonts w:hint="eastAsia" w:ascii="Times New Roman" w:hAnsi="Times New Roman" w:eastAsia="宋体"/>
                <w:color w:val="auto"/>
                <w:sz w:val="24"/>
                <w:highlight w:val="none"/>
              </w:rPr>
              <w:t>0*3600*</w:t>
            </w:r>
            <w:r>
              <w:rPr>
                <w:rFonts w:hint="eastAsia" w:ascii="Times New Roman" w:hAnsi="Times New Roman" w:eastAsia="宋体"/>
                <w:color w:val="auto"/>
                <w:sz w:val="24"/>
                <w:highlight w:val="none"/>
                <w:lang w:val="en-US" w:eastAsia="zh-CN"/>
              </w:rPr>
              <w:t>2</w:t>
            </w:r>
            <w:r>
              <w:rPr>
                <w:rFonts w:hint="eastAsia" w:ascii="Times New Roman" w:hAnsi="Times New Roman" w:eastAsia="宋体"/>
                <w:color w:val="auto"/>
                <w:sz w:val="24"/>
                <w:highlight w:val="none"/>
              </w:rPr>
              <w:t>*0.001=</w:t>
            </w:r>
            <w:r>
              <w:rPr>
                <w:rFonts w:hint="eastAsia" w:ascii="Times New Roman" w:hAnsi="Times New Roman" w:eastAsia="宋体"/>
                <w:color w:val="auto"/>
                <w:sz w:val="24"/>
                <w:highlight w:val="none"/>
                <w:lang w:val="en-US" w:eastAsia="zh-CN"/>
              </w:rPr>
              <w:t>72</w:t>
            </w:r>
            <w:r>
              <w:rPr>
                <w:rFonts w:hint="eastAsia" w:ascii="Times New Roman" w:hAnsi="Times New Roman" w:eastAsia="宋体"/>
                <w:color w:val="auto"/>
                <w:sz w:val="24"/>
                <w:highlight w:val="none"/>
              </w:rPr>
              <w:t>（m</w:t>
            </w:r>
            <w:r>
              <w:rPr>
                <w:rFonts w:hint="eastAsia" w:ascii="Times New Roman" w:hAnsi="Times New Roman" w:eastAsia="宋体"/>
                <w:color w:val="auto"/>
                <w:sz w:val="24"/>
                <w:highlight w:val="none"/>
                <w:vertAlign w:val="superscript"/>
                <w:lang w:val="en-US" w:eastAsia="zh-CN"/>
              </w:rPr>
              <w:t>3</w:t>
            </w:r>
            <w:r>
              <w:rPr>
                <w:rFonts w:hint="eastAsia" w:ascii="Times New Roman" w:hAnsi="Times New Roman" w:eastAsia="宋体"/>
                <w:color w:val="auto"/>
                <w:sz w:val="24"/>
                <w:highlight w:val="none"/>
              </w:rPr>
              <w:t>）。</w:t>
            </w:r>
          </w:p>
          <w:p w14:paraId="1416673D">
            <w:pPr>
              <w:spacing w:line="360" w:lineRule="auto"/>
              <w:ind w:firstLine="480" w:firstLineChars="200"/>
              <w:rPr>
                <w:rFonts w:hint="eastAsia" w:ascii="Times New Roman" w:hAnsi="Times New Roman" w:eastAsia="宋体"/>
                <w:color w:val="auto"/>
                <w:sz w:val="24"/>
                <w:highlight w:val="none"/>
                <w:lang w:eastAsia="zh-CN"/>
              </w:rPr>
            </w:pPr>
            <w:r>
              <w:rPr>
                <w:rFonts w:hint="eastAsia" w:ascii="Times New Roman" w:hAnsi="Times New Roman" w:eastAsia="宋体"/>
                <w:color w:val="auto"/>
                <w:sz w:val="24"/>
                <w:highlight w:val="none"/>
              </w:rPr>
              <w:t>V</w:t>
            </w:r>
            <w:r>
              <w:rPr>
                <w:rFonts w:hint="eastAsia" w:ascii="Times New Roman" w:hAnsi="Times New Roman" w:eastAsia="宋体"/>
                <w:color w:val="auto"/>
                <w:sz w:val="24"/>
                <w:highlight w:val="none"/>
                <w:vertAlign w:val="subscript"/>
              </w:rPr>
              <w:t>3</w:t>
            </w:r>
            <w:r>
              <w:rPr>
                <w:rFonts w:hint="eastAsia" w:ascii="Times New Roman" w:hAnsi="Times New Roman" w:eastAsia="宋体"/>
                <w:color w:val="auto"/>
                <w:sz w:val="24"/>
                <w:highlight w:val="none"/>
              </w:rPr>
              <w:t>——发生事故时可以转输到其他储存或处理设施的物料量，m</w:t>
            </w:r>
            <w:r>
              <w:rPr>
                <w:rFonts w:hint="eastAsia" w:ascii="Times New Roman" w:hAnsi="Times New Roman" w:eastAsia="宋体"/>
                <w:color w:val="auto"/>
                <w:sz w:val="24"/>
                <w:highlight w:val="none"/>
                <w:vertAlign w:val="superscript"/>
                <w:lang w:val="en-US" w:eastAsia="zh-CN"/>
              </w:rPr>
              <w:t>3</w:t>
            </w:r>
            <w:r>
              <w:rPr>
                <w:rFonts w:hint="eastAsia" w:ascii="Times New Roman" w:hAnsi="Times New Roman" w:eastAsia="宋体"/>
                <w:color w:val="auto"/>
                <w:sz w:val="24"/>
                <w:highlight w:val="none"/>
              </w:rPr>
              <w:t>；</w:t>
            </w:r>
            <w:r>
              <w:rPr>
                <w:rFonts w:hint="eastAsia" w:ascii="Times New Roman" w:hAnsi="Times New Roman" w:eastAsia="宋体"/>
                <w:color w:val="auto"/>
                <w:sz w:val="24"/>
                <w:highlight w:val="none"/>
                <w:lang w:eastAsia="zh-CN"/>
              </w:rPr>
              <w:t>建设项目无其他</w:t>
            </w:r>
            <w:r>
              <w:rPr>
                <w:rFonts w:hint="eastAsia" w:ascii="Times New Roman" w:hAnsi="Times New Roman" w:eastAsia="宋体"/>
                <w:color w:val="auto"/>
                <w:sz w:val="24"/>
                <w:highlight w:val="none"/>
              </w:rPr>
              <w:t>储存</w:t>
            </w:r>
            <w:r>
              <w:rPr>
                <w:rFonts w:hint="eastAsia" w:ascii="Times New Roman" w:hAnsi="Times New Roman" w:eastAsia="宋体"/>
                <w:color w:val="auto"/>
                <w:sz w:val="24"/>
                <w:highlight w:val="none"/>
                <w:lang w:eastAsia="zh-CN"/>
              </w:rPr>
              <w:t>设施，取值</w:t>
            </w:r>
            <w:r>
              <w:rPr>
                <w:rFonts w:hint="eastAsia" w:ascii="Times New Roman" w:hAnsi="Times New Roman" w:eastAsia="宋体"/>
                <w:color w:val="auto"/>
                <w:sz w:val="24"/>
                <w:highlight w:val="none"/>
              </w:rPr>
              <w:t>V</w:t>
            </w:r>
            <w:r>
              <w:rPr>
                <w:rFonts w:hint="eastAsia" w:ascii="Times New Roman" w:hAnsi="Times New Roman" w:eastAsia="宋体"/>
                <w:color w:val="auto"/>
                <w:sz w:val="24"/>
                <w:highlight w:val="none"/>
                <w:vertAlign w:val="subscript"/>
                <w:lang w:val="en-US" w:eastAsia="zh-CN"/>
              </w:rPr>
              <w:t>3</w:t>
            </w:r>
            <w:r>
              <w:rPr>
                <w:rFonts w:hint="eastAsia" w:ascii="Times New Roman" w:hAnsi="Times New Roman" w:eastAsia="宋体"/>
                <w:color w:val="auto"/>
                <w:sz w:val="24"/>
                <w:highlight w:val="none"/>
              </w:rPr>
              <w:t>=0m</w:t>
            </w:r>
            <w:r>
              <w:rPr>
                <w:rFonts w:hint="eastAsia" w:ascii="Times New Roman" w:hAnsi="Times New Roman" w:eastAsia="宋体"/>
                <w:color w:val="auto"/>
                <w:sz w:val="24"/>
                <w:highlight w:val="none"/>
                <w:vertAlign w:val="superscript"/>
                <w:lang w:val="en-US" w:eastAsia="zh-CN"/>
              </w:rPr>
              <w:t>3</w:t>
            </w:r>
            <w:r>
              <w:rPr>
                <w:rFonts w:hint="eastAsia" w:ascii="Times New Roman" w:hAnsi="Times New Roman" w:eastAsia="宋体"/>
                <w:color w:val="auto"/>
                <w:sz w:val="24"/>
                <w:highlight w:val="none"/>
                <w:lang w:eastAsia="zh-CN"/>
              </w:rPr>
              <w:t>；</w:t>
            </w:r>
          </w:p>
          <w:p w14:paraId="10E0D745">
            <w:pPr>
              <w:spacing w:line="360" w:lineRule="auto"/>
              <w:ind w:firstLine="480" w:firstLineChars="200"/>
              <w:rPr>
                <w:rFonts w:hint="eastAsia" w:ascii="Times New Roman" w:hAnsi="Times New Roman" w:eastAsia="宋体"/>
                <w:color w:val="auto"/>
                <w:sz w:val="24"/>
                <w:highlight w:val="none"/>
                <w:lang w:eastAsia="zh-CN"/>
              </w:rPr>
            </w:pPr>
            <w:r>
              <w:rPr>
                <w:rFonts w:hint="eastAsia" w:ascii="Times New Roman" w:hAnsi="Times New Roman" w:eastAsia="宋体"/>
                <w:color w:val="auto"/>
                <w:sz w:val="24"/>
                <w:highlight w:val="none"/>
              </w:rPr>
              <w:t>V</w:t>
            </w:r>
            <w:r>
              <w:rPr>
                <w:rFonts w:hint="eastAsia" w:ascii="Times New Roman" w:hAnsi="Times New Roman" w:eastAsia="宋体"/>
                <w:color w:val="auto"/>
                <w:sz w:val="24"/>
                <w:highlight w:val="none"/>
                <w:vertAlign w:val="subscript"/>
              </w:rPr>
              <w:t>4</w:t>
            </w:r>
            <w:r>
              <w:rPr>
                <w:rFonts w:hint="eastAsia" w:ascii="Times New Roman" w:hAnsi="Times New Roman" w:eastAsia="宋体"/>
                <w:color w:val="auto"/>
                <w:sz w:val="24"/>
                <w:highlight w:val="none"/>
              </w:rPr>
              <w:t>——发生事故时仍必须进入该收集系统的生产废水量，m</w:t>
            </w:r>
            <w:r>
              <w:rPr>
                <w:rFonts w:hint="eastAsia" w:ascii="Times New Roman" w:hAnsi="Times New Roman" w:eastAsia="宋体"/>
                <w:color w:val="auto"/>
                <w:sz w:val="24"/>
                <w:highlight w:val="none"/>
                <w:vertAlign w:val="superscript"/>
                <w:lang w:val="en-US" w:eastAsia="zh-CN"/>
              </w:rPr>
              <w:t>3</w:t>
            </w:r>
            <w:r>
              <w:rPr>
                <w:rFonts w:hint="eastAsia" w:ascii="Times New Roman" w:hAnsi="Times New Roman" w:eastAsia="宋体"/>
                <w:color w:val="auto"/>
                <w:sz w:val="24"/>
                <w:highlight w:val="none"/>
              </w:rPr>
              <w:t>；突发环境事件时启动停产程序，几乎无废（污）水排入，V</w:t>
            </w:r>
            <w:r>
              <w:rPr>
                <w:rFonts w:hint="eastAsia" w:ascii="Times New Roman" w:hAnsi="Times New Roman" w:eastAsia="宋体"/>
                <w:color w:val="auto"/>
                <w:sz w:val="24"/>
                <w:highlight w:val="none"/>
                <w:vertAlign w:val="subscript"/>
              </w:rPr>
              <w:t>4</w:t>
            </w:r>
            <w:r>
              <w:rPr>
                <w:rFonts w:hint="eastAsia" w:ascii="Times New Roman" w:hAnsi="Times New Roman" w:eastAsia="宋体"/>
                <w:color w:val="auto"/>
                <w:sz w:val="24"/>
                <w:highlight w:val="none"/>
              </w:rPr>
              <w:t>=0m</w:t>
            </w:r>
            <w:r>
              <w:rPr>
                <w:rFonts w:hint="eastAsia" w:ascii="Times New Roman" w:hAnsi="Times New Roman" w:eastAsia="宋体"/>
                <w:color w:val="auto"/>
                <w:sz w:val="24"/>
                <w:highlight w:val="none"/>
                <w:vertAlign w:val="superscript"/>
                <w:lang w:val="en-US" w:eastAsia="zh-CN"/>
              </w:rPr>
              <w:t>3</w:t>
            </w:r>
            <w:r>
              <w:rPr>
                <w:rFonts w:hint="eastAsia" w:ascii="Times New Roman" w:hAnsi="Times New Roman" w:eastAsia="宋体"/>
                <w:color w:val="auto"/>
                <w:sz w:val="24"/>
                <w:highlight w:val="none"/>
                <w:lang w:eastAsia="zh-CN"/>
              </w:rPr>
              <w:t>；</w:t>
            </w:r>
          </w:p>
          <w:p w14:paraId="1392745F">
            <w:pPr>
              <w:spacing w:line="360" w:lineRule="auto"/>
              <w:ind w:firstLine="480" w:firstLineChars="200"/>
              <w:rPr>
                <w:color w:val="auto"/>
                <w:sz w:val="24"/>
              </w:rPr>
            </w:pPr>
            <w:r>
              <w:rPr>
                <w:rFonts w:hint="eastAsia" w:ascii="Times New Roman" w:hAnsi="Times New Roman" w:eastAsia="宋体"/>
                <w:color w:val="auto"/>
                <w:sz w:val="24"/>
                <w:highlight w:val="none"/>
              </w:rPr>
              <w:t>V</w:t>
            </w:r>
            <w:r>
              <w:rPr>
                <w:rFonts w:hint="eastAsia" w:ascii="Times New Roman" w:hAnsi="Times New Roman" w:eastAsia="宋体"/>
                <w:color w:val="auto"/>
                <w:sz w:val="24"/>
                <w:highlight w:val="none"/>
                <w:vertAlign w:val="subscript"/>
              </w:rPr>
              <w:t>5</w:t>
            </w:r>
            <w:r>
              <w:rPr>
                <w:rFonts w:hint="eastAsia" w:ascii="Times New Roman" w:hAnsi="Times New Roman" w:eastAsia="宋体"/>
                <w:color w:val="auto"/>
                <w:sz w:val="24"/>
                <w:highlight w:val="none"/>
              </w:rPr>
              <w:t>——发生事故时可能进入该收集系统的降雨量，m</w:t>
            </w:r>
            <w:r>
              <w:rPr>
                <w:rFonts w:hint="eastAsia" w:ascii="Times New Roman" w:hAnsi="Times New Roman" w:eastAsia="宋体"/>
                <w:color w:val="auto"/>
                <w:sz w:val="24"/>
                <w:highlight w:val="none"/>
                <w:vertAlign w:val="superscript"/>
                <w:lang w:val="en-US" w:eastAsia="zh-CN"/>
              </w:rPr>
              <w:t>3</w:t>
            </w:r>
            <w:r>
              <w:rPr>
                <w:rFonts w:hint="eastAsia" w:ascii="Times New Roman" w:hAnsi="Times New Roman" w:eastAsia="宋体"/>
                <w:color w:val="auto"/>
                <w:sz w:val="24"/>
                <w:highlight w:val="none"/>
              </w:rPr>
              <w:t>；</w:t>
            </w:r>
            <w:r>
              <w:rPr>
                <w:rFonts w:hint="eastAsia"/>
                <w:color w:val="auto"/>
                <w:sz w:val="24"/>
              </w:rPr>
              <w:t>泰德能源科技</w:t>
            </w:r>
            <w:r>
              <w:rPr>
                <w:rFonts w:hint="eastAsia"/>
                <w:color w:val="auto"/>
                <w:sz w:val="24"/>
                <w:lang w:val="en-US" w:eastAsia="zh-CN"/>
              </w:rPr>
              <w:t>（</w:t>
            </w:r>
            <w:r>
              <w:rPr>
                <w:rFonts w:hint="eastAsia"/>
                <w:color w:val="auto"/>
                <w:sz w:val="24"/>
              </w:rPr>
              <w:t>福建</w:t>
            </w:r>
            <w:r>
              <w:rPr>
                <w:rFonts w:hint="eastAsia"/>
                <w:color w:val="auto"/>
                <w:sz w:val="24"/>
                <w:lang w:val="en-US" w:eastAsia="zh-CN"/>
              </w:rPr>
              <w:t>）</w:t>
            </w:r>
            <w:r>
              <w:rPr>
                <w:rFonts w:hint="eastAsia"/>
                <w:color w:val="auto"/>
                <w:sz w:val="24"/>
              </w:rPr>
              <w:t>有限公司发电设备生产基地项目</w:t>
            </w:r>
            <w:r>
              <w:rPr>
                <w:rFonts w:hint="eastAsia"/>
                <w:color w:val="auto"/>
                <w:sz w:val="24"/>
                <w:lang w:eastAsia="zh-CN"/>
              </w:rPr>
              <w:t>新增用地面积为</w:t>
            </w:r>
            <w:r>
              <w:rPr>
                <w:rFonts w:hint="eastAsia"/>
                <w:color w:val="auto"/>
                <w:sz w:val="24"/>
                <w:lang w:val="en-US" w:eastAsia="zh-CN"/>
              </w:rPr>
              <w:t>48655m</w:t>
            </w:r>
            <w:r>
              <w:rPr>
                <w:rFonts w:hint="eastAsia"/>
                <w:color w:val="auto"/>
                <w:sz w:val="24"/>
                <w:vertAlign w:val="superscript"/>
                <w:lang w:val="en-US" w:eastAsia="zh-CN"/>
              </w:rPr>
              <w:t>2</w:t>
            </w:r>
            <w:r>
              <w:rPr>
                <w:rFonts w:hint="eastAsia" w:ascii="Times New Roman" w:hAnsi="Times New Roman" w:eastAsia="宋体"/>
                <w:color w:val="auto"/>
                <w:sz w:val="24"/>
                <w:highlight w:val="none"/>
                <w:lang w:eastAsia="zh-CN"/>
              </w:rPr>
              <w:t>，</w:t>
            </w:r>
            <w:r>
              <w:rPr>
                <w:color w:val="auto"/>
                <w:sz w:val="24"/>
              </w:rPr>
              <w:t>雨水汇水面积</w:t>
            </w:r>
            <w:r>
              <w:rPr>
                <w:rFonts w:hint="eastAsia"/>
                <w:color w:val="auto"/>
                <w:sz w:val="24"/>
                <w:lang w:eastAsia="zh-CN"/>
              </w:rPr>
              <w:t>取值</w:t>
            </w:r>
            <w:r>
              <w:rPr>
                <w:rFonts w:hint="eastAsia"/>
                <w:color w:val="auto"/>
                <w:sz w:val="24"/>
                <w:lang w:val="en-US" w:eastAsia="zh-CN"/>
              </w:rPr>
              <w:t>4.8655</w:t>
            </w:r>
            <w:r>
              <w:rPr>
                <w:color w:val="auto"/>
                <w:sz w:val="24"/>
              </w:rPr>
              <w:t>ha，</w:t>
            </w:r>
            <w:r>
              <w:rPr>
                <w:rFonts w:hint="eastAsia"/>
                <w:color w:val="auto"/>
                <w:kern w:val="0"/>
                <w:sz w:val="24"/>
              </w:rPr>
              <w:t>查询</w:t>
            </w:r>
            <w:r>
              <w:rPr>
                <w:rFonts w:hint="eastAsia"/>
                <w:color w:val="auto"/>
                <w:kern w:val="0"/>
                <w:sz w:val="24"/>
                <w:lang w:eastAsia="zh-CN"/>
              </w:rPr>
              <w:t>2025年闽侯县总降雨量为‌3908.2毫米‌，</w:t>
            </w:r>
            <w:r>
              <w:rPr>
                <w:rFonts w:hint="eastAsia"/>
                <w:color w:val="auto"/>
                <w:kern w:val="0"/>
                <w:sz w:val="24"/>
              </w:rPr>
              <w:t>降雨天数</w:t>
            </w:r>
            <w:r>
              <w:rPr>
                <w:rFonts w:hint="eastAsia"/>
                <w:color w:val="auto"/>
                <w:kern w:val="0"/>
                <w:sz w:val="24"/>
                <w:lang w:val="en-US" w:eastAsia="zh-CN"/>
              </w:rPr>
              <w:t>146</w:t>
            </w:r>
            <w:r>
              <w:rPr>
                <w:rFonts w:hint="eastAsia"/>
                <w:color w:val="auto"/>
                <w:kern w:val="0"/>
                <w:sz w:val="24"/>
              </w:rPr>
              <w:t>天</w:t>
            </w:r>
            <w:r>
              <w:rPr>
                <w:color w:val="auto"/>
                <w:sz w:val="24"/>
              </w:rPr>
              <w:t>。</w:t>
            </w:r>
            <w:r>
              <w:rPr>
                <w:rFonts w:hint="eastAsia"/>
                <w:color w:val="auto"/>
                <w:sz w:val="24"/>
              </w:rPr>
              <w:t>年</w:t>
            </w:r>
            <w:r>
              <w:rPr>
                <w:color w:val="auto"/>
                <w:sz w:val="24"/>
              </w:rPr>
              <w:t>平均降雨量q=</w:t>
            </w:r>
            <w:r>
              <w:rPr>
                <w:rFonts w:hint="eastAsia"/>
                <w:color w:val="auto"/>
                <w:kern w:val="0"/>
                <w:sz w:val="24"/>
                <w:lang w:eastAsia="zh-CN"/>
              </w:rPr>
              <w:t>‌3908.2</w:t>
            </w:r>
            <w:r>
              <w:rPr>
                <w:color w:val="auto"/>
                <w:sz w:val="24"/>
              </w:rPr>
              <w:t>mm/</w:t>
            </w:r>
            <w:r>
              <w:rPr>
                <w:rFonts w:hint="eastAsia"/>
                <w:color w:val="auto"/>
                <w:sz w:val="24"/>
                <w:lang w:val="en-US" w:eastAsia="zh-CN"/>
              </w:rPr>
              <w:t>146</w:t>
            </w:r>
            <w:r>
              <w:rPr>
                <w:color w:val="auto"/>
                <w:sz w:val="24"/>
              </w:rPr>
              <w:t>d=</w:t>
            </w:r>
            <w:r>
              <w:rPr>
                <w:rFonts w:hint="eastAsia"/>
                <w:color w:val="auto"/>
                <w:sz w:val="24"/>
                <w:lang w:val="en-US" w:eastAsia="zh-CN"/>
              </w:rPr>
              <w:t>26.8</w:t>
            </w:r>
            <w:r>
              <w:rPr>
                <w:color w:val="auto"/>
                <w:sz w:val="24"/>
              </w:rPr>
              <w:t>mm/d。V=10q·f=10×</w:t>
            </w:r>
            <w:r>
              <w:rPr>
                <w:rFonts w:hint="eastAsia"/>
                <w:color w:val="auto"/>
                <w:sz w:val="24"/>
                <w:lang w:val="en-US" w:eastAsia="zh-CN"/>
              </w:rPr>
              <w:t>26.8</w:t>
            </w:r>
            <w:r>
              <w:rPr>
                <w:color w:val="auto"/>
                <w:sz w:val="24"/>
              </w:rPr>
              <w:t>×</w:t>
            </w:r>
            <w:r>
              <w:rPr>
                <w:rFonts w:hint="eastAsia"/>
                <w:color w:val="auto"/>
                <w:sz w:val="24"/>
                <w:lang w:val="en-US" w:eastAsia="zh-CN"/>
              </w:rPr>
              <w:t>4.8655</w:t>
            </w:r>
            <w:r>
              <w:rPr>
                <w:color w:val="auto"/>
                <w:sz w:val="24"/>
              </w:rPr>
              <w:t>≈</w:t>
            </w:r>
            <w:r>
              <w:rPr>
                <w:rFonts w:hint="eastAsia"/>
                <w:color w:val="auto"/>
                <w:sz w:val="24"/>
                <w:lang w:val="en-US" w:eastAsia="zh-CN"/>
              </w:rPr>
              <w:t>1304</w:t>
            </w:r>
            <w:r>
              <w:rPr>
                <w:color w:val="auto"/>
                <w:sz w:val="24"/>
              </w:rPr>
              <w:t>m</w:t>
            </w:r>
            <w:r>
              <w:rPr>
                <w:color w:val="auto"/>
                <w:sz w:val="24"/>
                <w:vertAlign w:val="superscript"/>
              </w:rPr>
              <w:t>3</w:t>
            </w:r>
            <w:r>
              <w:rPr>
                <w:rFonts w:hint="eastAsia"/>
                <w:color w:val="auto"/>
                <w:sz w:val="24"/>
                <w:vertAlign w:val="baseline"/>
                <w:lang w:eastAsia="zh-CN"/>
              </w:rPr>
              <w:t>。</w:t>
            </w:r>
            <w:r>
              <w:rPr>
                <w:color w:val="auto"/>
                <w:sz w:val="24"/>
              </w:rPr>
              <w:t>降雨历时考虑火灾事故持续长度，取</w:t>
            </w:r>
            <w:r>
              <w:rPr>
                <w:rFonts w:hint="eastAsia"/>
                <w:color w:val="auto"/>
                <w:sz w:val="24"/>
                <w:lang w:val="en-US" w:eastAsia="zh-CN"/>
              </w:rPr>
              <w:t>1</w:t>
            </w:r>
            <w:r>
              <w:rPr>
                <w:color w:val="auto"/>
                <w:sz w:val="24"/>
              </w:rPr>
              <w:t>h，则V</w:t>
            </w:r>
            <w:r>
              <w:rPr>
                <w:color w:val="auto"/>
                <w:sz w:val="24"/>
                <w:vertAlign w:val="subscript"/>
              </w:rPr>
              <w:t>5</w:t>
            </w:r>
            <w:r>
              <w:rPr>
                <w:color w:val="auto"/>
                <w:sz w:val="24"/>
              </w:rPr>
              <w:t>=</w:t>
            </w:r>
            <w:r>
              <w:rPr>
                <w:rFonts w:hint="eastAsia"/>
                <w:color w:val="auto"/>
                <w:sz w:val="24"/>
              </w:rPr>
              <w:t>3</w:t>
            </w:r>
            <w:r>
              <w:rPr>
                <w:color w:val="auto"/>
                <w:sz w:val="24"/>
              </w:rPr>
              <w:t>h*V/24h =</w:t>
            </w:r>
            <w:r>
              <w:rPr>
                <w:rFonts w:hint="eastAsia"/>
                <w:color w:val="auto"/>
                <w:sz w:val="24"/>
                <w:lang w:val="en-US" w:eastAsia="zh-CN"/>
              </w:rPr>
              <w:t>1034</w:t>
            </w:r>
            <w:r>
              <w:rPr>
                <w:color w:val="auto"/>
                <w:sz w:val="24"/>
              </w:rPr>
              <w:t>m³*</w:t>
            </w:r>
            <w:r>
              <w:rPr>
                <w:rFonts w:hint="eastAsia"/>
                <w:color w:val="auto"/>
                <w:sz w:val="24"/>
                <w:lang w:val="en-US" w:eastAsia="zh-CN"/>
              </w:rPr>
              <w:t>1</w:t>
            </w:r>
            <w:r>
              <w:rPr>
                <w:color w:val="auto"/>
                <w:sz w:val="24"/>
              </w:rPr>
              <w:t>/24≈</w:t>
            </w:r>
            <w:r>
              <w:rPr>
                <w:rFonts w:hint="eastAsia"/>
                <w:color w:val="auto"/>
                <w:sz w:val="24"/>
                <w:lang w:val="en-US" w:eastAsia="zh-CN"/>
              </w:rPr>
              <w:t>43</w:t>
            </w:r>
            <w:r>
              <w:rPr>
                <w:color w:val="auto"/>
                <w:sz w:val="24"/>
              </w:rPr>
              <w:t>m</w:t>
            </w:r>
            <w:r>
              <w:rPr>
                <w:color w:val="auto"/>
                <w:sz w:val="24"/>
                <w:vertAlign w:val="superscript"/>
              </w:rPr>
              <w:t>3</w:t>
            </w:r>
            <w:r>
              <w:rPr>
                <w:color w:val="auto"/>
                <w:sz w:val="24"/>
              </w:rPr>
              <w:t>。</w:t>
            </w:r>
          </w:p>
          <w:p w14:paraId="21CE1B62">
            <w:pPr>
              <w:spacing w:line="360" w:lineRule="auto"/>
              <w:ind w:firstLine="480" w:firstLineChars="200"/>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综上，V</w:t>
            </w:r>
            <w:r>
              <w:rPr>
                <w:rFonts w:hint="eastAsia" w:ascii="Times New Roman" w:hAnsi="Times New Roman" w:eastAsia="宋体"/>
                <w:color w:val="auto"/>
                <w:sz w:val="24"/>
                <w:highlight w:val="none"/>
                <w:vertAlign w:val="subscript"/>
              </w:rPr>
              <w:t>总</w:t>
            </w:r>
            <w:r>
              <w:rPr>
                <w:rFonts w:hint="eastAsia" w:ascii="Times New Roman" w:hAnsi="Times New Roman" w:eastAsia="宋体"/>
                <w:color w:val="auto"/>
                <w:sz w:val="24"/>
                <w:highlight w:val="none"/>
              </w:rPr>
              <w:t>＝（V</w:t>
            </w:r>
            <w:r>
              <w:rPr>
                <w:rFonts w:hint="eastAsia" w:ascii="Times New Roman" w:hAnsi="Times New Roman" w:eastAsia="宋体"/>
                <w:color w:val="auto"/>
                <w:sz w:val="24"/>
                <w:highlight w:val="none"/>
                <w:vertAlign w:val="subscript"/>
              </w:rPr>
              <w:t>1</w:t>
            </w:r>
            <w:r>
              <w:rPr>
                <w:rFonts w:hint="eastAsia" w:ascii="Times New Roman" w:hAnsi="Times New Roman" w:eastAsia="宋体"/>
                <w:color w:val="auto"/>
                <w:sz w:val="24"/>
                <w:highlight w:val="none"/>
              </w:rPr>
              <w:t>＋V</w:t>
            </w:r>
            <w:r>
              <w:rPr>
                <w:rFonts w:hint="eastAsia" w:ascii="Times New Roman" w:hAnsi="Times New Roman" w:eastAsia="宋体"/>
                <w:color w:val="auto"/>
                <w:sz w:val="24"/>
                <w:highlight w:val="none"/>
                <w:vertAlign w:val="subscript"/>
              </w:rPr>
              <w:t>2</w:t>
            </w:r>
            <w:r>
              <w:rPr>
                <w:rFonts w:hint="eastAsia" w:ascii="Times New Roman" w:hAnsi="Times New Roman" w:eastAsia="宋体"/>
                <w:color w:val="auto"/>
                <w:sz w:val="24"/>
                <w:highlight w:val="none"/>
              </w:rPr>
              <w:t>－V</w:t>
            </w:r>
            <w:r>
              <w:rPr>
                <w:rFonts w:hint="eastAsia" w:ascii="Times New Roman" w:hAnsi="Times New Roman" w:eastAsia="宋体"/>
                <w:color w:val="auto"/>
                <w:sz w:val="24"/>
                <w:highlight w:val="none"/>
                <w:vertAlign w:val="subscript"/>
              </w:rPr>
              <w:t>3</w:t>
            </w:r>
            <w:r>
              <w:rPr>
                <w:rFonts w:hint="eastAsia" w:ascii="Times New Roman" w:hAnsi="Times New Roman" w:eastAsia="宋体"/>
                <w:color w:val="auto"/>
                <w:sz w:val="24"/>
                <w:highlight w:val="none"/>
              </w:rPr>
              <w:t>）max＋V</w:t>
            </w:r>
            <w:r>
              <w:rPr>
                <w:rFonts w:hint="eastAsia" w:ascii="Times New Roman" w:hAnsi="Times New Roman" w:eastAsia="宋体"/>
                <w:color w:val="auto"/>
                <w:sz w:val="24"/>
                <w:highlight w:val="none"/>
                <w:vertAlign w:val="subscript"/>
              </w:rPr>
              <w:t>4</w:t>
            </w:r>
            <w:r>
              <w:rPr>
                <w:rFonts w:hint="eastAsia" w:ascii="Times New Roman" w:hAnsi="Times New Roman" w:eastAsia="宋体"/>
                <w:color w:val="auto"/>
                <w:sz w:val="24"/>
                <w:highlight w:val="none"/>
              </w:rPr>
              <w:t>+V</w:t>
            </w:r>
            <w:r>
              <w:rPr>
                <w:rFonts w:hint="eastAsia" w:ascii="Times New Roman" w:hAnsi="Times New Roman" w:eastAsia="宋体"/>
                <w:color w:val="auto"/>
                <w:sz w:val="24"/>
                <w:highlight w:val="none"/>
                <w:vertAlign w:val="subscript"/>
              </w:rPr>
              <w:t>5</w:t>
            </w:r>
            <w:r>
              <w:rPr>
                <w:rFonts w:hint="eastAsia" w:ascii="Times New Roman" w:hAnsi="Times New Roman" w:eastAsia="宋体"/>
                <w:color w:val="auto"/>
                <w:sz w:val="24"/>
                <w:highlight w:val="none"/>
              </w:rPr>
              <w:t>=（</w:t>
            </w:r>
            <w:r>
              <w:rPr>
                <w:rFonts w:hint="eastAsia" w:ascii="Times New Roman" w:hAnsi="Times New Roman" w:eastAsia="宋体"/>
                <w:color w:val="auto"/>
                <w:sz w:val="24"/>
                <w:highlight w:val="none"/>
                <w:lang w:val="en-US" w:eastAsia="zh-CN"/>
              </w:rPr>
              <w:t>24</w:t>
            </w:r>
            <w:r>
              <w:rPr>
                <w:rFonts w:hint="eastAsia" w:ascii="Times New Roman" w:hAnsi="Times New Roman" w:eastAsia="宋体"/>
                <w:color w:val="auto"/>
                <w:sz w:val="24"/>
                <w:highlight w:val="none"/>
              </w:rPr>
              <w:t>+</w:t>
            </w:r>
            <w:r>
              <w:rPr>
                <w:rFonts w:hint="eastAsia" w:ascii="Times New Roman" w:hAnsi="Times New Roman" w:eastAsia="宋体"/>
                <w:color w:val="auto"/>
                <w:sz w:val="24"/>
                <w:highlight w:val="none"/>
                <w:lang w:val="en-US" w:eastAsia="zh-CN"/>
              </w:rPr>
              <w:t>72-0</w:t>
            </w:r>
            <w:r>
              <w:rPr>
                <w:rFonts w:hint="eastAsia" w:ascii="Times New Roman" w:hAnsi="Times New Roman" w:eastAsia="宋体"/>
                <w:color w:val="auto"/>
                <w:sz w:val="24"/>
                <w:highlight w:val="none"/>
              </w:rPr>
              <w:t>）+0+</w:t>
            </w:r>
            <w:r>
              <w:rPr>
                <w:rFonts w:hint="eastAsia"/>
                <w:color w:val="auto"/>
                <w:sz w:val="24"/>
                <w:highlight w:val="none"/>
                <w:lang w:val="en-US" w:eastAsia="zh-CN"/>
              </w:rPr>
              <w:t>43</w:t>
            </w:r>
            <w:r>
              <w:rPr>
                <w:rFonts w:hint="eastAsia" w:ascii="Times New Roman" w:hAnsi="Times New Roman" w:eastAsia="宋体"/>
                <w:color w:val="auto"/>
                <w:sz w:val="24"/>
                <w:highlight w:val="none"/>
                <w:lang w:val="en-US" w:eastAsia="zh-CN"/>
              </w:rPr>
              <w:t>=</w:t>
            </w:r>
            <w:r>
              <w:rPr>
                <w:rFonts w:hint="eastAsia"/>
                <w:color w:val="auto"/>
                <w:sz w:val="24"/>
                <w:highlight w:val="none"/>
                <w:lang w:val="en-US" w:eastAsia="zh-CN"/>
              </w:rPr>
              <w:t>139</w:t>
            </w:r>
            <w:r>
              <w:rPr>
                <w:rFonts w:hint="eastAsia" w:ascii="Times New Roman" w:hAnsi="Times New Roman" w:eastAsia="宋体"/>
                <w:color w:val="auto"/>
                <w:sz w:val="24"/>
                <w:highlight w:val="none"/>
              </w:rPr>
              <w:t>m</w:t>
            </w:r>
            <w:r>
              <w:rPr>
                <w:rFonts w:hint="eastAsia" w:ascii="Times New Roman" w:hAnsi="Times New Roman" w:eastAsia="宋体"/>
                <w:color w:val="auto"/>
                <w:sz w:val="24"/>
                <w:highlight w:val="none"/>
                <w:vertAlign w:val="superscript"/>
                <w:lang w:val="en-US" w:eastAsia="zh-CN"/>
              </w:rPr>
              <w:t>3</w:t>
            </w:r>
            <w:r>
              <w:rPr>
                <w:rFonts w:hint="eastAsia" w:ascii="Times New Roman" w:hAnsi="Times New Roman" w:eastAsia="宋体"/>
                <w:color w:val="auto"/>
                <w:sz w:val="24"/>
                <w:highlight w:val="none"/>
              </w:rPr>
              <w:t>。</w:t>
            </w:r>
          </w:p>
          <w:p w14:paraId="782277BB">
            <w:pPr>
              <w:spacing w:line="360" w:lineRule="auto"/>
              <w:ind w:firstLine="480" w:firstLineChars="200"/>
              <w:rPr>
                <w:rFonts w:hint="eastAsia" w:cs="Times New Roman"/>
                <w:color w:val="auto"/>
                <w:sz w:val="24"/>
                <w:highlight w:val="none"/>
                <w:lang w:eastAsia="zh-CN"/>
              </w:rPr>
            </w:pPr>
            <w:r>
              <w:rPr>
                <w:rFonts w:hint="eastAsia" w:ascii="Times New Roman" w:hAnsi="Times New Roman" w:eastAsia="宋体"/>
                <w:color w:val="auto"/>
                <w:sz w:val="24"/>
                <w:highlight w:val="none"/>
              </w:rPr>
              <w:t>根据测算，</w:t>
            </w:r>
            <w:r>
              <w:rPr>
                <w:rFonts w:hint="eastAsia"/>
                <w:color w:val="auto"/>
                <w:sz w:val="24"/>
                <w:shd w:val="clear" w:color="auto" w:fill="FFFFFF"/>
              </w:rPr>
              <w:t>泰德能源科技</w:t>
            </w:r>
            <w:r>
              <w:rPr>
                <w:rFonts w:hint="eastAsia"/>
                <w:color w:val="auto"/>
                <w:sz w:val="24"/>
                <w:shd w:val="clear" w:color="auto" w:fill="FFFFFF"/>
                <w:lang w:eastAsia="zh-CN"/>
              </w:rPr>
              <w:t>（</w:t>
            </w:r>
            <w:r>
              <w:rPr>
                <w:rFonts w:hint="eastAsia"/>
                <w:color w:val="auto"/>
                <w:sz w:val="24"/>
                <w:shd w:val="clear" w:color="auto" w:fill="FFFFFF"/>
              </w:rPr>
              <w:t>福建</w:t>
            </w:r>
            <w:r>
              <w:rPr>
                <w:rFonts w:hint="eastAsia"/>
                <w:color w:val="auto"/>
                <w:sz w:val="24"/>
                <w:shd w:val="clear" w:color="auto" w:fill="FFFFFF"/>
                <w:lang w:eastAsia="zh-CN"/>
              </w:rPr>
              <w:t>）</w:t>
            </w:r>
            <w:r>
              <w:rPr>
                <w:rFonts w:hint="eastAsia"/>
                <w:color w:val="auto"/>
                <w:sz w:val="24"/>
                <w:shd w:val="clear" w:color="auto" w:fill="FFFFFF"/>
              </w:rPr>
              <w:t>有限公司</w:t>
            </w:r>
            <w:r>
              <w:rPr>
                <w:rFonts w:hint="eastAsia" w:ascii="Times New Roman" w:hAnsi="Times New Roman" w:eastAsia="宋体"/>
                <w:color w:val="auto"/>
                <w:sz w:val="24"/>
                <w:highlight w:val="none"/>
              </w:rPr>
              <w:t>所需的事故池容积应不小于</w:t>
            </w:r>
            <w:r>
              <w:rPr>
                <w:rFonts w:hint="eastAsia"/>
                <w:color w:val="auto"/>
                <w:sz w:val="24"/>
                <w:highlight w:val="none"/>
                <w:lang w:val="en-US" w:eastAsia="zh-CN"/>
              </w:rPr>
              <w:t>139</w:t>
            </w:r>
            <w:r>
              <w:rPr>
                <w:rFonts w:hint="eastAsia" w:ascii="Times New Roman" w:hAnsi="Times New Roman" w:eastAsia="宋体"/>
                <w:color w:val="auto"/>
                <w:sz w:val="24"/>
                <w:highlight w:val="none"/>
              </w:rPr>
              <w:t>m</w:t>
            </w:r>
            <w:r>
              <w:rPr>
                <w:rFonts w:hint="eastAsia" w:ascii="Times New Roman" w:hAnsi="Times New Roman" w:eastAsia="宋体"/>
                <w:color w:val="auto"/>
                <w:sz w:val="24"/>
                <w:highlight w:val="none"/>
                <w:vertAlign w:val="superscript"/>
                <w:lang w:val="en-US" w:eastAsia="zh-CN"/>
              </w:rPr>
              <w:t>3</w:t>
            </w:r>
            <w:r>
              <w:rPr>
                <w:rFonts w:hint="eastAsia" w:ascii="Times New Roman" w:hAnsi="Times New Roman" w:eastAsia="宋体"/>
                <w:color w:val="auto"/>
                <w:sz w:val="24"/>
                <w:highlight w:val="none"/>
              </w:rPr>
              <w:t>。</w:t>
            </w:r>
          </w:p>
        </w:tc>
      </w:tr>
    </w:tbl>
    <w:p w14:paraId="617335AE">
      <w:pPr>
        <w:adjustRightInd w:val="0"/>
        <w:snapToGrid w:val="0"/>
        <w:spacing w:line="360" w:lineRule="auto"/>
        <w:rPr>
          <w:rFonts w:ascii="宋体" w:cs="宋体"/>
          <w:b/>
          <w:color w:val="auto"/>
          <w:kern w:val="0"/>
          <w:sz w:val="28"/>
          <w:szCs w:val="28"/>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1ABA40A0">
      <w:pPr>
        <w:numPr>
          <w:ilvl w:val="0"/>
          <w:numId w:val="5"/>
        </w:numPr>
        <w:spacing w:line="360" w:lineRule="auto"/>
        <w:jc w:val="center"/>
        <w:outlineLvl w:val="0"/>
        <w:rPr>
          <w:b/>
          <w:bCs/>
          <w:color w:val="auto"/>
          <w:sz w:val="32"/>
          <w:szCs w:val="32"/>
        </w:rPr>
      </w:pPr>
      <w:bookmarkStart w:id="24" w:name="_Toc29984"/>
      <w:bookmarkStart w:id="25" w:name="_Hlk54167917"/>
      <w:bookmarkStart w:id="26" w:name="_Toc11645"/>
      <w:r>
        <w:rPr>
          <w:rFonts w:hint="eastAsia"/>
          <w:b/>
          <w:bCs/>
          <w:color w:val="auto"/>
          <w:sz w:val="32"/>
          <w:szCs w:val="32"/>
        </w:rPr>
        <w:t>环境保护措施监督检查清单</w:t>
      </w:r>
      <w:bookmarkEnd w:id="24"/>
      <w:bookmarkEnd w:id="25"/>
      <w:bookmarkEnd w:id="26"/>
    </w:p>
    <w:tbl>
      <w:tblPr>
        <w:tblStyle w:val="31"/>
        <w:tblW w:w="83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83"/>
        <w:gridCol w:w="1264"/>
        <w:gridCol w:w="1389"/>
        <w:gridCol w:w="2199"/>
        <w:gridCol w:w="2632"/>
      </w:tblGrid>
      <w:tr w14:paraId="6A3AD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139" w:hRule="atLeast"/>
        </w:trPr>
        <w:tc>
          <w:tcPr>
            <w:tcW w:w="883" w:type="dxa"/>
            <w:tcBorders>
              <w:tl2br w:val="single" w:color="auto" w:sz="4" w:space="0"/>
            </w:tcBorders>
            <w:vAlign w:val="center"/>
          </w:tcPr>
          <w:p w14:paraId="478A5E42">
            <w:pPr>
              <w:tabs>
                <w:tab w:val="left" w:pos="630"/>
              </w:tabs>
              <w:ind w:firstLine="420"/>
              <w:jc w:val="center"/>
              <w:rPr>
                <w:color w:val="auto"/>
                <w:szCs w:val="21"/>
              </w:rPr>
            </w:pPr>
            <w:r>
              <w:rPr>
                <w:rFonts w:hint="eastAsia"/>
                <w:color w:val="auto"/>
                <w:szCs w:val="21"/>
              </w:rPr>
              <w:t>内容</w:t>
            </w:r>
          </w:p>
          <w:p w14:paraId="578F245D">
            <w:pPr>
              <w:tabs>
                <w:tab w:val="left" w:pos="630"/>
              </w:tabs>
              <w:ind w:firstLine="420"/>
              <w:jc w:val="center"/>
              <w:rPr>
                <w:color w:val="auto"/>
                <w:szCs w:val="21"/>
              </w:rPr>
            </w:pPr>
            <w:r>
              <w:rPr>
                <w:rFonts w:hint="eastAsia"/>
                <w:color w:val="auto"/>
                <w:szCs w:val="21"/>
              </w:rPr>
              <w:t xml:space="preserve">        </w:t>
            </w:r>
          </w:p>
          <w:p w14:paraId="18EF3D8C">
            <w:pPr>
              <w:rPr>
                <w:color w:val="auto"/>
                <w:szCs w:val="21"/>
              </w:rPr>
            </w:pPr>
            <w:r>
              <w:rPr>
                <w:rFonts w:hint="eastAsia"/>
                <w:color w:val="auto"/>
                <w:szCs w:val="21"/>
              </w:rPr>
              <w:t>要素</w:t>
            </w:r>
          </w:p>
        </w:tc>
        <w:tc>
          <w:tcPr>
            <w:tcW w:w="1264" w:type="dxa"/>
            <w:vAlign w:val="center"/>
          </w:tcPr>
          <w:p w14:paraId="11396836">
            <w:pPr>
              <w:jc w:val="center"/>
              <w:rPr>
                <w:color w:val="auto"/>
                <w:szCs w:val="21"/>
              </w:rPr>
            </w:pPr>
            <w:r>
              <w:rPr>
                <w:color w:val="auto"/>
                <w:szCs w:val="21"/>
              </w:rPr>
              <w:t>排放</w:t>
            </w:r>
            <w:r>
              <w:rPr>
                <w:rFonts w:hint="eastAsia"/>
                <w:color w:val="auto"/>
                <w:szCs w:val="21"/>
              </w:rPr>
              <w:t>口（编号、名称）/污染源</w:t>
            </w:r>
          </w:p>
        </w:tc>
        <w:tc>
          <w:tcPr>
            <w:tcW w:w="1389" w:type="dxa"/>
            <w:vAlign w:val="center"/>
          </w:tcPr>
          <w:p w14:paraId="49561740">
            <w:pPr>
              <w:jc w:val="center"/>
              <w:rPr>
                <w:color w:val="auto"/>
                <w:szCs w:val="21"/>
              </w:rPr>
            </w:pPr>
            <w:r>
              <w:rPr>
                <w:color w:val="auto"/>
                <w:szCs w:val="21"/>
              </w:rPr>
              <w:t>污染物</w:t>
            </w:r>
            <w:r>
              <w:rPr>
                <w:rFonts w:hint="eastAsia"/>
                <w:color w:val="auto"/>
                <w:szCs w:val="21"/>
              </w:rPr>
              <w:t>项目</w:t>
            </w:r>
          </w:p>
        </w:tc>
        <w:tc>
          <w:tcPr>
            <w:tcW w:w="2199" w:type="dxa"/>
            <w:vAlign w:val="center"/>
          </w:tcPr>
          <w:p w14:paraId="62D1CDF4">
            <w:pPr>
              <w:jc w:val="center"/>
              <w:rPr>
                <w:color w:val="auto"/>
                <w:szCs w:val="21"/>
              </w:rPr>
            </w:pPr>
            <w:r>
              <w:rPr>
                <w:rFonts w:hint="eastAsia"/>
                <w:color w:val="auto"/>
                <w:szCs w:val="21"/>
              </w:rPr>
              <w:t>环境保护</w:t>
            </w:r>
            <w:r>
              <w:rPr>
                <w:color w:val="auto"/>
                <w:szCs w:val="21"/>
              </w:rPr>
              <w:t>措施</w:t>
            </w:r>
          </w:p>
        </w:tc>
        <w:tc>
          <w:tcPr>
            <w:tcW w:w="2632" w:type="dxa"/>
            <w:vAlign w:val="center"/>
          </w:tcPr>
          <w:p w14:paraId="102D969A">
            <w:pPr>
              <w:jc w:val="center"/>
              <w:rPr>
                <w:color w:val="auto"/>
                <w:szCs w:val="21"/>
              </w:rPr>
            </w:pPr>
            <w:r>
              <w:rPr>
                <w:rFonts w:hint="eastAsia"/>
                <w:color w:val="auto"/>
                <w:szCs w:val="21"/>
              </w:rPr>
              <w:t>执行标准</w:t>
            </w:r>
          </w:p>
        </w:tc>
      </w:tr>
      <w:tr w14:paraId="6FDFB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17" w:hRule="atLeast"/>
        </w:trPr>
        <w:tc>
          <w:tcPr>
            <w:tcW w:w="883" w:type="dxa"/>
            <w:vMerge w:val="restart"/>
            <w:shd w:val="clear" w:color="auto" w:fill="auto"/>
            <w:vAlign w:val="center"/>
          </w:tcPr>
          <w:p w14:paraId="6E8EF24B">
            <w:pPr>
              <w:jc w:val="center"/>
              <w:rPr>
                <w:rFonts w:ascii="Times New Roman" w:hAnsi="Times New Roman" w:eastAsia="宋体" w:cs="Times New Roman"/>
                <w:color w:val="auto"/>
                <w:kern w:val="2"/>
                <w:sz w:val="21"/>
                <w:szCs w:val="21"/>
                <w:lang w:val="en-US" w:eastAsia="zh-CN" w:bidi="ar-SA"/>
              </w:rPr>
            </w:pPr>
            <w:r>
              <w:rPr>
                <w:rFonts w:ascii="Times New Roman" w:hAnsi="Times New Roman" w:eastAsia="宋体"/>
                <w:color w:val="auto"/>
                <w:szCs w:val="21"/>
              </w:rPr>
              <w:t>大气环境</w:t>
            </w:r>
          </w:p>
        </w:tc>
        <w:tc>
          <w:tcPr>
            <w:tcW w:w="1264" w:type="dxa"/>
            <w:shd w:val="clear" w:color="auto" w:fill="auto"/>
            <w:vAlign w:val="center"/>
          </w:tcPr>
          <w:p w14:paraId="631B9E04">
            <w:pPr>
              <w:adjustRightInd w:val="0"/>
              <w:snapToGrid w:val="0"/>
              <w:jc w:val="center"/>
              <w:rPr>
                <w:rFonts w:ascii="Times New Roman" w:hAnsi="Times New Roman" w:eastAsia="宋体" w:cs="Times New Roman"/>
                <w:color w:val="auto"/>
                <w:kern w:val="18"/>
                <w:sz w:val="21"/>
                <w:szCs w:val="21"/>
                <w:lang w:val="en-US" w:eastAsia="zh-CN" w:bidi="ar-SA"/>
              </w:rPr>
            </w:pPr>
            <w:r>
              <w:rPr>
                <w:color w:val="auto"/>
                <w:szCs w:val="21"/>
              </w:rPr>
              <w:t>排气筒（DA001）</w:t>
            </w:r>
          </w:p>
        </w:tc>
        <w:tc>
          <w:tcPr>
            <w:tcW w:w="1389" w:type="dxa"/>
            <w:shd w:val="clear" w:color="auto" w:fill="auto"/>
            <w:vAlign w:val="center"/>
          </w:tcPr>
          <w:p w14:paraId="72484F1A">
            <w:pPr>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颗粒物</w:t>
            </w:r>
          </w:p>
        </w:tc>
        <w:tc>
          <w:tcPr>
            <w:tcW w:w="2199" w:type="dxa"/>
            <w:shd w:val="clear" w:color="auto" w:fill="auto"/>
            <w:vAlign w:val="center"/>
          </w:tcPr>
          <w:p w14:paraId="72181E75">
            <w:pPr>
              <w:pStyle w:val="86"/>
              <w:rPr>
                <w:rFonts w:ascii="Times New Roman" w:hAnsi="Times New Roman" w:eastAsia="宋体" w:cs="Times New Roman"/>
                <w:bCs/>
                <w:iCs/>
                <w:color w:val="auto"/>
                <w:kern w:val="2"/>
                <w:sz w:val="21"/>
                <w:szCs w:val="21"/>
                <w:highlight w:val="none"/>
                <w:lang w:val="en-US" w:eastAsia="zh-CN" w:bidi="en-US"/>
              </w:rPr>
            </w:pPr>
            <w:r>
              <w:rPr>
                <w:rFonts w:hint="eastAsia"/>
                <w:color w:val="auto"/>
                <w:highlight w:val="none"/>
                <w:lang w:eastAsia="zh-CN"/>
              </w:rPr>
              <w:t>激光切割</w:t>
            </w:r>
            <w:r>
              <w:rPr>
                <w:rFonts w:hint="eastAsia"/>
                <w:color w:val="auto"/>
                <w:highlight w:val="none"/>
              </w:rPr>
              <w:t>废气经</w:t>
            </w:r>
            <w:r>
              <w:rPr>
                <w:rFonts w:hint="eastAsia"/>
                <w:color w:val="auto"/>
                <w:highlight w:val="none"/>
                <w:lang w:eastAsia="zh-CN"/>
              </w:rPr>
              <w:t>布袋除尘</w:t>
            </w:r>
            <w:r>
              <w:rPr>
                <w:rFonts w:hint="eastAsia"/>
                <w:color w:val="auto"/>
                <w:highlight w:val="none"/>
              </w:rPr>
              <w:t>处理设施处理后，最终通过1根</w:t>
            </w:r>
            <w:r>
              <w:rPr>
                <w:rFonts w:hint="eastAsia"/>
                <w:color w:val="auto"/>
                <w:highlight w:val="none"/>
                <w:lang w:val="en-US" w:eastAsia="zh-CN"/>
              </w:rPr>
              <w:t>2</w:t>
            </w:r>
            <w:r>
              <w:rPr>
                <w:rFonts w:hint="eastAsia"/>
                <w:color w:val="auto"/>
                <w:highlight w:val="none"/>
              </w:rPr>
              <w:t>5m高排气筒（DA001）排放</w:t>
            </w:r>
          </w:p>
        </w:tc>
        <w:tc>
          <w:tcPr>
            <w:tcW w:w="2632" w:type="dxa"/>
            <w:shd w:val="clear" w:color="auto" w:fill="auto"/>
            <w:vAlign w:val="center"/>
          </w:tcPr>
          <w:p w14:paraId="2C5C31FD">
            <w:pPr>
              <w:pStyle w:val="89"/>
              <w:adjustRightInd w:val="0"/>
              <w:snapToGrid w:val="0"/>
              <w:spacing w:line="320" w:lineRule="exact"/>
              <w:jc w:val="center"/>
              <w:rPr>
                <w:rFonts w:hint="default" w:ascii="Times New Roman" w:hAnsi="Times New Roman" w:cs="Times New Roman" w:eastAsiaTheme="minorEastAsia"/>
                <w:color w:val="auto"/>
                <w:kern w:val="2"/>
                <w:sz w:val="21"/>
                <w:szCs w:val="21"/>
                <w:lang w:val="en-US" w:eastAsia="zh-CN" w:bidi="ar-SA"/>
              </w:rPr>
            </w:pPr>
            <w:r>
              <w:rPr>
                <w:rFonts w:hint="eastAsia" w:cs="Times New Roman"/>
                <w:b w:val="0"/>
                <w:bCs/>
                <w:color w:val="auto"/>
                <w:szCs w:val="21"/>
                <w:highlight w:val="none"/>
                <w:lang w:eastAsia="zh-CN"/>
              </w:rPr>
              <w:t>《</w:t>
            </w:r>
            <w:r>
              <w:rPr>
                <w:rFonts w:hint="eastAsia" w:ascii="Times New Roman" w:hAnsi="Times New Roman" w:cs="Times New Roman"/>
                <w:b w:val="0"/>
                <w:bCs/>
                <w:color w:val="auto"/>
                <w:szCs w:val="21"/>
                <w:highlight w:val="none"/>
                <w:lang w:eastAsia="zh-CN"/>
              </w:rPr>
              <w:t>大气污染物综合排放标准</w:t>
            </w:r>
            <w:r>
              <w:rPr>
                <w:rFonts w:hint="eastAsia" w:cs="Times New Roman"/>
                <w:b w:val="0"/>
                <w:bCs/>
                <w:color w:val="auto"/>
                <w:szCs w:val="21"/>
                <w:highlight w:val="none"/>
                <w:lang w:eastAsia="zh-CN"/>
              </w:rPr>
              <w:t>》（GB16297-1996）表</w:t>
            </w:r>
            <w:r>
              <w:rPr>
                <w:rFonts w:hint="eastAsia" w:cs="Times New Roman"/>
                <w:b w:val="0"/>
                <w:bCs/>
                <w:color w:val="auto"/>
                <w:szCs w:val="21"/>
                <w:highlight w:val="none"/>
                <w:lang w:val="en-US" w:eastAsia="zh-CN"/>
              </w:rPr>
              <w:t>2二级标准（高度25m），</w:t>
            </w:r>
            <w:r>
              <w:rPr>
                <w:rFonts w:hint="eastAsia" w:cs="Times New Roman"/>
                <w:b w:val="0"/>
                <w:bCs/>
                <w:color w:val="auto"/>
                <w:szCs w:val="21"/>
                <w:highlight w:val="none"/>
                <w:lang w:eastAsia="zh-CN"/>
              </w:rPr>
              <w:t>无法满足高出周围200m半径范围的建筑5m以上，排放速率标准值严格50%执行。（颗粒物排放浓度≤</w:t>
            </w:r>
            <w:r>
              <w:rPr>
                <w:rFonts w:hint="eastAsia" w:cs="Times New Roman"/>
                <w:bCs/>
                <w:color w:val="auto"/>
                <w:szCs w:val="21"/>
                <w:highlight w:val="none"/>
                <w:lang w:val="en-US" w:eastAsia="zh-CN"/>
              </w:rPr>
              <w:t>120mg/m</w:t>
            </w:r>
            <w:r>
              <w:rPr>
                <w:rFonts w:hint="eastAsia" w:cs="Times New Roman"/>
                <w:bCs/>
                <w:color w:val="auto"/>
                <w:szCs w:val="21"/>
                <w:highlight w:val="none"/>
                <w:vertAlign w:val="superscript"/>
                <w:lang w:val="en-US" w:eastAsia="zh-CN"/>
              </w:rPr>
              <w:t>3</w:t>
            </w:r>
            <w:r>
              <w:rPr>
                <w:rFonts w:hint="eastAsia" w:cs="Times New Roman"/>
                <w:bCs/>
                <w:color w:val="auto"/>
                <w:szCs w:val="21"/>
                <w:highlight w:val="none"/>
                <w:vertAlign w:val="baseline"/>
                <w:lang w:val="en-US" w:eastAsia="zh-CN"/>
              </w:rPr>
              <w:t>、排放速率</w:t>
            </w:r>
            <w:r>
              <w:rPr>
                <w:rFonts w:hint="eastAsia" w:cs="Times New Roman"/>
                <w:b w:val="0"/>
                <w:bCs/>
                <w:color w:val="auto"/>
                <w:szCs w:val="21"/>
                <w:highlight w:val="none"/>
                <w:lang w:eastAsia="zh-CN"/>
              </w:rPr>
              <w:t>≤</w:t>
            </w:r>
            <w:r>
              <w:rPr>
                <w:rFonts w:hint="eastAsia" w:cs="Times New Roman"/>
                <w:bCs/>
                <w:color w:val="auto"/>
                <w:szCs w:val="21"/>
                <w:highlight w:val="none"/>
                <w:lang w:val="en-US" w:eastAsia="zh-CN"/>
              </w:rPr>
              <w:t>7.225kg/h</w:t>
            </w:r>
            <w:r>
              <w:rPr>
                <w:rFonts w:hint="eastAsia" w:cs="Times New Roman"/>
                <w:b w:val="0"/>
                <w:bCs/>
                <w:color w:val="auto"/>
                <w:szCs w:val="21"/>
                <w:highlight w:val="none"/>
                <w:lang w:eastAsia="zh-CN"/>
              </w:rPr>
              <w:t>）</w:t>
            </w:r>
          </w:p>
        </w:tc>
      </w:tr>
      <w:tr w14:paraId="5698F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17" w:hRule="atLeast"/>
        </w:trPr>
        <w:tc>
          <w:tcPr>
            <w:tcW w:w="883" w:type="dxa"/>
            <w:vMerge w:val="continue"/>
            <w:shd w:val="clear" w:color="auto" w:fill="auto"/>
            <w:vAlign w:val="center"/>
          </w:tcPr>
          <w:p w14:paraId="706B0173">
            <w:pPr>
              <w:jc w:val="center"/>
              <w:rPr>
                <w:rFonts w:ascii="Times New Roman" w:hAnsi="Times New Roman" w:eastAsia="宋体"/>
                <w:color w:val="auto"/>
                <w:szCs w:val="21"/>
              </w:rPr>
            </w:pPr>
          </w:p>
        </w:tc>
        <w:tc>
          <w:tcPr>
            <w:tcW w:w="1264" w:type="dxa"/>
            <w:shd w:val="clear" w:color="auto" w:fill="auto"/>
            <w:vAlign w:val="center"/>
          </w:tcPr>
          <w:p w14:paraId="09782308">
            <w:pPr>
              <w:adjustRightInd w:val="0"/>
              <w:snapToGrid w:val="0"/>
              <w:jc w:val="center"/>
              <w:rPr>
                <w:rFonts w:ascii="Times New Roman" w:hAnsi="Times New Roman" w:eastAsia="宋体" w:cs="Times New Roman"/>
                <w:color w:val="auto"/>
                <w:kern w:val="18"/>
                <w:sz w:val="21"/>
                <w:szCs w:val="21"/>
                <w:lang w:val="en-US" w:eastAsia="zh-CN" w:bidi="ar-SA"/>
              </w:rPr>
            </w:pPr>
            <w:r>
              <w:rPr>
                <w:color w:val="auto"/>
                <w:szCs w:val="21"/>
              </w:rPr>
              <w:t>排气筒（DA002）</w:t>
            </w:r>
          </w:p>
        </w:tc>
        <w:tc>
          <w:tcPr>
            <w:tcW w:w="1389" w:type="dxa"/>
            <w:shd w:val="clear" w:color="auto" w:fill="auto"/>
            <w:vAlign w:val="center"/>
          </w:tcPr>
          <w:p w14:paraId="3E91E673">
            <w:pPr>
              <w:adjustRightInd w:val="0"/>
              <w:snapToGrid w:val="0"/>
              <w:spacing w:line="320" w:lineRule="exact"/>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颗粒物</w:t>
            </w:r>
          </w:p>
        </w:tc>
        <w:tc>
          <w:tcPr>
            <w:tcW w:w="2199" w:type="dxa"/>
            <w:shd w:val="clear" w:color="auto" w:fill="auto"/>
            <w:vAlign w:val="center"/>
          </w:tcPr>
          <w:p w14:paraId="33FFF601">
            <w:pPr>
              <w:pStyle w:val="86"/>
              <w:rPr>
                <w:rFonts w:hint="eastAsia" w:ascii="Times New Roman" w:hAnsi="Times New Roman" w:cs="Times New Roman"/>
                <w:color w:val="auto"/>
                <w:sz w:val="21"/>
                <w:szCs w:val="21"/>
                <w:highlight w:val="none"/>
                <w:lang w:val="zh-CN" w:eastAsia="zh-CN"/>
              </w:rPr>
            </w:pPr>
            <w:r>
              <w:rPr>
                <w:rFonts w:hint="eastAsia"/>
                <w:color w:val="auto"/>
                <w:highlight w:val="none"/>
                <w:lang w:eastAsia="zh-CN"/>
              </w:rPr>
              <w:t>喷砂、抛丸</w:t>
            </w:r>
            <w:r>
              <w:rPr>
                <w:rFonts w:hint="eastAsia"/>
                <w:color w:val="auto"/>
                <w:highlight w:val="none"/>
              </w:rPr>
              <w:t>废气经</w:t>
            </w:r>
            <w:r>
              <w:rPr>
                <w:rFonts w:hint="eastAsia"/>
                <w:color w:val="auto"/>
                <w:highlight w:val="none"/>
                <w:lang w:eastAsia="zh-CN"/>
              </w:rPr>
              <w:t>布袋除尘</w:t>
            </w:r>
            <w:r>
              <w:rPr>
                <w:rFonts w:hint="eastAsia"/>
                <w:color w:val="auto"/>
                <w:highlight w:val="none"/>
              </w:rPr>
              <w:t>处理设施处理后，最终通过1根</w:t>
            </w:r>
            <w:r>
              <w:rPr>
                <w:rFonts w:hint="eastAsia"/>
                <w:color w:val="auto"/>
                <w:highlight w:val="none"/>
                <w:lang w:val="en-US" w:eastAsia="zh-CN"/>
              </w:rPr>
              <w:t>2</w:t>
            </w:r>
            <w:r>
              <w:rPr>
                <w:rFonts w:hint="eastAsia"/>
                <w:color w:val="auto"/>
                <w:highlight w:val="none"/>
              </w:rPr>
              <w:t>5m高排气筒（DA00</w:t>
            </w:r>
            <w:r>
              <w:rPr>
                <w:rFonts w:hint="eastAsia"/>
                <w:color w:val="auto"/>
                <w:highlight w:val="none"/>
                <w:lang w:val="en-US" w:eastAsia="zh-CN"/>
              </w:rPr>
              <w:t>2</w:t>
            </w:r>
            <w:r>
              <w:rPr>
                <w:rFonts w:hint="eastAsia"/>
                <w:color w:val="auto"/>
                <w:highlight w:val="none"/>
              </w:rPr>
              <w:t>）排放</w:t>
            </w:r>
          </w:p>
        </w:tc>
        <w:tc>
          <w:tcPr>
            <w:tcW w:w="2632" w:type="dxa"/>
            <w:shd w:val="clear" w:color="auto" w:fill="auto"/>
            <w:vAlign w:val="center"/>
          </w:tcPr>
          <w:p w14:paraId="656AE6DC">
            <w:pPr>
              <w:pStyle w:val="89"/>
              <w:adjustRightInd w:val="0"/>
              <w:snapToGrid w:val="0"/>
              <w:spacing w:line="320" w:lineRule="exact"/>
              <w:jc w:val="center"/>
              <w:rPr>
                <w:rFonts w:hint="default" w:ascii="Times New Roman" w:hAnsi="Times New Roman" w:cs="Times New Roman" w:eastAsiaTheme="minorEastAsia"/>
                <w:color w:val="auto"/>
                <w:kern w:val="2"/>
                <w:sz w:val="21"/>
                <w:szCs w:val="21"/>
                <w:lang w:val="en-US" w:eastAsia="zh-CN" w:bidi="ar-SA"/>
              </w:rPr>
            </w:pPr>
            <w:r>
              <w:rPr>
                <w:rFonts w:hint="eastAsia" w:cs="Times New Roman"/>
                <w:b w:val="0"/>
                <w:bCs/>
                <w:color w:val="auto"/>
                <w:szCs w:val="21"/>
                <w:highlight w:val="none"/>
                <w:lang w:eastAsia="zh-CN"/>
              </w:rPr>
              <w:t>《</w:t>
            </w:r>
            <w:r>
              <w:rPr>
                <w:rFonts w:hint="eastAsia" w:ascii="Times New Roman" w:hAnsi="Times New Roman" w:cs="Times New Roman"/>
                <w:b w:val="0"/>
                <w:bCs/>
                <w:color w:val="auto"/>
                <w:szCs w:val="21"/>
                <w:highlight w:val="none"/>
                <w:lang w:eastAsia="zh-CN"/>
              </w:rPr>
              <w:t>大气污染物综合排放标准</w:t>
            </w:r>
            <w:r>
              <w:rPr>
                <w:rFonts w:hint="eastAsia" w:cs="Times New Roman"/>
                <w:b w:val="0"/>
                <w:bCs/>
                <w:color w:val="auto"/>
                <w:szCs w:val="21"/>
                <w:highlight w:val="none"/>
                <w:lang w:eastAsia="zh-CN"/>
              </w:rPr>
              <w:t>》（GB16297-1996）表</w:t>
            </w:r>
            <w:r>
              <w:rPr>
                <w:rFonts w:hint="eastAsia" w:cs="Times New Roman"/>
                <w:b w:val="0"/>
                <w:bCs/>
                <w:color w:val="auto"/>
                <w:szCs w:val="21"/>
                <w:highlight w:val="none"/>
                <w:lang w:val="en-US" w:eastAsia="zh-CN"/>
              </w:rPr>
              <w:t>2二级标准（高度25m），</w:t>
            </w:r>
            <w:r>
              <w:rPr>
                <w:rFonts w:hint="eastAsia" w:cs="Times New Roman"/>
                <w:b w:val="0"/>
                <w:bCs/>
                <w:color w:val="auto"/>
                <w:szCs w:val="21"/>
                <w:highlight w:val="none"/>
                <w:lang w:eastAsia="zh-CN"/>
              </w:rPr>
              <w:t>无法满足高出周围200m半径范围的建筑5m以上，排放速率标准值严格50%执行。（颗粒物排放浓度≤</w:t>
            </w:r>
            <w:r>
              <w:rPr>
                <w:rFonts w:hint="eastAsia" w:cs="Times New Roman"/>
                <w:bCs/>
                <w:color w:val="auto"/>
                <w:szCs w:val="21"/>
                <w:highlight w:val="none"/>
                <w:lang w:val="en-US" w:eastAsia="zh-CN"/>
              </w:rPr>
              <w:t>120mg/m</w:t>
            </w:r>
            <w:r>
              <w:rPr>
                <w:rFonts w:hint="eastAsia" w:cs="Times New Roman"/>
                <w:bCs/>
                <w:color w:val="auto"/>
                <w:szCs w:val="21"/>
                <w:highlight w:val="none"/>
                <w:vertAlign w:val="superscript"/>
                <w:lang w:val="en-US" w:eastAsia="zh-CN"/>
              </w:rPr>
              <w:t>3</w:t>
            </w:r>
            <w:r>
              <w:rPr>
                <w:rFonts w:hint="eastAsia" w:cs="Times New Roman"/>
                <w:bCs/>
                <w:color w:val="auto"/>
                <w:szCs w:val="21"/>
                <w:highlight w:val="none"/>
                <w:vertAlign w:val="baseline"/>
                <w:lang w:val="en-US" w:eastAsia="zh-CN"/>
              </w:rPr>
              <w:t>、排放速率</w:t>
            </w:r>
            <w:r>
              <w:rPr>
                <w:rFonts w:hint="eastAsia" w:cs="Times New Roman"/>
                <w:b w:val="0"/>
                <w:bCs/>
                <w:color w:val="auto"/>
                <w:szCs w:val="21"/>
                <w:highlight w:val="none"/>
                <w:lang w:eastAsia="zh-CN"/>
              </w:rPr>
              <w:t>≤</w:t>
            </w:r>
            <w:r>
              <w:rPr>
                <w:rFonts w:hint="eastAsia" w:cs="Times New Roman"/>
                <w:bCs/>
                <w:color w:val="auto"/>
                <w:szCs w:val="21"/>
                <w:highlight w:val="none"/>
                <w:lang w:val="en-US" w:eastAsia="zh-CN"/>
              </w:rPr>
              <w:t>7.225kg/h</w:t>
            </w:r>
            <w:r>
              <w:rPr>
                <w:rFonts w:hint="eastAsia" w:cs="Times New Roman"/>
                <w:b w:val="0"/>
                <w:bCs/>
                <w:color w:val="auto"/>
                <w:szCs w:val="21"/>
                <w:highlight w:val="none"/>
                <w:lang w:eastAsia="zh-CN"/>
              </w:rPr>
              <w:t>）</w:t>
            </w:r>
          </w:p>
        </w:tc>
      </w:tr>
      <w:tr w14:paraId="5A3B8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17" w:hRule="atLeast"/>
        </w:trPr>
        <w:tc>
          <w:tcPr>
            <w:tcW w:w="883" w:type="dxa"/>
            <w:vMerge w:val="continue"/>
            <w:shd w:val="clear" w:color="auto" w:fill="auto"/>
            <w:vAlign w:val="center"/>
          </w:tcPr>
          <w:p w14:paraId="685A9DCF">
            <w:pPr>
              <w:jc w:val="center"/>
              <w:rPr>
                <w:rFonts w:ascii="Times New Roman" w:hAnsi="Times New Roman" w:eastAsia="宋体"/>
                <w:color w:val="auto"/>
                <w:szCs w:val="21"/>
              </w:rPr>
            </w:pPr>
          </w:p>
        </w:tc>
        <w:tc>
          <w:tcPr>
            <w:tcW w:w="1264" w:type="dxa"/>
            <w:shd w:val="clear" w:color="auto" w:fill="auto"/>
            <w:vAlign w:val="center"/>
          </w:tcPr>
          <w:p w14:paraId="7C679EB7">
            <w:pPr>
              <w:adjustRightInd w:val="0"/>
              <w:snapToGrid w:val="0"/>
              <w:jc w:val="center"/>
              <w:rPr>
                <w:rFonts w:ascii="Times New Roman" w:hAnsi="Times New Roman" w:eastAsia="宋体" w:cs="Times New Roman"/>
                <w:color w:val="auto"/>
                <w:kern w:val="18"/>
                <w:sz w:val="21"/>
                <w:szCs w:val="21"/>
                <w:lang w:val="en-US" w:eastAsia="zh-CN" w:bidi="ar-SA"/>
              </w:rPr>
            </w:pPr>
            <w:r>
              <w:rPr>
                <w:color w:val="auto"/>
                <w:szCs w:val="21"/>
              </w:rPr>
              <w:t>排气筒（DA003）</w:t>
            </w:r>
          </w:p>
        </w:tc>
        <w:tc>
          <w:tcPr>
            <w:tcW w:w="1389" w:type="dxa"/>
            <w:shd w:val="clear" w:color="auto" w:fill="auto"/>
            <w:vAlign w:val="center"/>
          </w:tcPr>
          <w:p w14:paraId="7E9A7D26">
            <w:pPr>
              <w:adjustRightInd w:val="0"/>
              <w:snapToGrid w:val="0"/>
              <w:spacing w:line="320" w:lineRule="exact"/>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颗粒物</w:t>
            </w:r>
          </w:p>
        </w:tc>
        <w:tc>
          <w:tcPr>
            <w:tcW w:w="2199" w:type="dxa"/>
            <w:shd w:val="clear" w:color="auto" w:fill="auto"/>
            <w:vAlign w:val="center"/>
          </w:tcPr>
          <w:p w14:paraId="721BB166">
            <w:pPr>
              <w:pStyle w:val="86"/>
              <w:rPr>
                <w:rFonts w:hint="eastAsia" w:ascii="Times New Roman" w:hAnsi="Times New Roman" w:cs="Times New Roman"/>
                <w:color w:val="auto"/>
                <w:sz w:val="21"/>
                <w:szCs w:val="21"/>
                <w:lang w:val="zh-CN" w:eastAsia="zh-CN"/>
              </w:rPr>
            </w:pPr>
            <w:r>
              <w:rPr>
                <w:rFonts w:hint="eastAsia"/>
                <w:color w:val="auto"/>
                <w:lang w:eastAsia="zh-CN"/>
              </w:rPr>
              <w:t>打磨</w:t>
            </w:r>
            <w:r>
              <w:rPr>
                <w:rFonts w:hint="eastAsia"/>
                <w:color w:val="auto"/>
              </w:rPr>
              <w:t>废气经</w:t>
            </w:r>
            <w:r>
              <w:rPr>
                <w:rFonts w:hint="eastAsia"/>
                <w:color w:val="auto"/>
                <w:lang w:eastAsia="zh-CN"/>
              </w:rPr>
              <w:t>布袋除尘</w:t>
            </w:r>
            <w:r>
              <w:rPr>
                <w:rFonts w:hint="eastAsia"/>
                <w:color w:val="auto"/>
              </w:rPr>
              <w:t>处理设施处理后，最终通过1根</w:t>
            </w:r>
            <w:r>
              <w:rPr>
                <w:rFonts w:hint="eastAsia"/>
                <w:color w:val="auto"/>
                <w:lang w:val="en-US" w:eastAsia="zh-CN"/>
              </w:rPr>
              <w:t>2</w:t>
            </w:r>
            <w:r>
              <w:rPr>
                <w:rFonts w:hint="eastAsia"/>
                <w:color w:val="auto"/>
              </w:rPr>
              <w:t>5m高排气筒（DA001）排放</w:t>
            </w:r>
          </w:p>
        </w:tc>
        <w:tc>
          <w:tcPr>
            <w:tcW w:w="2632" w:type="dxa"/>
            <w:shd w:val="clear" w:color="auto" w:fill="auto"/>
            <w:vAlign w:val="center"/>
          </w:tcPr>
          <w:p w14:paraId="6FF5E3A3">
            <w:pPr>
              <w:pStyle w:val="89"/>
              <w:adjustRightInd w:val="0"/>
              <w:snapToGrid w:val="0"/>
              <w:spacing w:line="320" w:lineRule="exact"/>
              <w:jc w:val="center"/>
              <w:rPr>
                <w:rFonts w:hint="default" w:ascii="Times New Roman" w:hAnsi="Times New Roman" w:cs="Times New Roman" w:eastAsiaTheme="minorEastAsia"/>
                <w:color w:val="auto"/>
                <w:kern w:val="2"/>
                <w:sz w:val="21"/>
                <w:szCs w:val="21"/>
                <w:lang w:val="en-US" w:eastAsia="zh-CN" w:bidi="ar-SA"/>
              </w:rPr>
            </w:pPr>
            <w:r>
              <w:rPr>
                <w:rFonts w:hint="eastAsia" w:cs="Times New Roman"/>
                <w:b w:val="0"/>
                <w:bCs/>
                <w:color w:val="auto"/>
                <w:szCs w:val="21"/>
                <w:highlight w:val="none"/>
                <w:lang w:eastAsia="zh-CN"/>
              </w:rPr>
              <w:t>《</w:t>
            </w:r>
            <w:r>
              <w:rPr>
                <w:rFonts w:hint="eastAsia" w:ascii="Times New Roman" w:hAnsi="Times New Roman" w:cs="Times New Roman"/>
                <w:b w:val="0"/>
                <w:bCs/>
                <w:color w:val="auto"/>
                <w:szCs w:val="21"/>
                <w:highlight w:val="none"/>
                <w:lang w:eastAsia="zh-CN"/>
              </w:rPr>
              <w:t>大气污染物综合排放标准</w:t>
            </w:r>
            <w:r>
              <w:rPr>
                <w:rFonts w:hint="eastAsia" w:cs="Times New Roman"/>
                <w:b w:val="0"/>
                <w:bCs/>
                <w:color w:val="auto"/>
                <w:szCs w:val="21"/>
                <w:highlight w:val="none"/>
                <w:lang w:eastAsia="zh-CN"/>
              </w:rPr>
              <w:t>》（GB16297-1996）表</w:t>
            </w:r>
            <w:r>
              <w:rPr>
                <w:rFonts w:hint="eastAsia" w:cs="Times New Roman"/>
                <w:b w:val="0"/>
                <w:bCs/>
                <w:color w:val="auto"/>
                <w:szCs w:val="21"/>
                <w:highlight w:val="none"/>
                <w:lang w:val="en-US" w:eastAsia="zh-CN"/>
              </w:rPr>
              <w:t>2二级标准（高度25m），</w:t>
            </w:r>
            <w:r>
              <w:rPr>
                <w:rFonts w:hint="eastAsia" w:cs="Times New Roman"/>
                <w:b w:val="0"/>
                <w:bCs/>
                <w:color w:val="auto"/>
                <w:szCs w:val="21"/>
                <w:highlight w:val="none"/>
                <w:lang w:eastAsia="zh-CN"/>
              </w:rPr>
              <w:t>无法满足高出周围200m半径范围的建筑5m以上，排放速率标准值严格50%执行。（颗粒物排放浓度≤</w:t>
            </w:r>
            <w:r>
              <w:rPr>
                <w:rFonts w:hint="eastAsia" w:cs="Times New Roman"/>
                <w:bCs/>
                <w:color w:val="auto"/>
                <w:szCs w:val="21"/>
                <w:highlight w:val="none"/>
                <w:lang w:val="en-US" w:eastAsia="zh-CN"/>
              </w:rPr>
              <w:t>120mg/m</w:t>
            </w:r>
            <w:r>
              <w:rPr>
                <w:rFonts w:hint="eastAsia" w:cs="Times New Roman"/>
                <w:bCs/>
                <w:color w:val="auto"/>
                <w:szCs w:val="21"/>
                <w:highlight w:val="none"/>
                <w:vertAlign w:val="superscript"/>
                <w:lang w:val="en-US" w:eastAsia="zh-CN"/>
              </w:rPr>
              <w:t>3</w:t>
            </w:r>
            <w:r>
              <w:rPr>
                <w:rFonts w:hint="eastAsia" w:cs="Times New Roman"/>
                <w:bCs/>
                <w:color w:val="auto"/>
                <w:szCs w:val="21"/>
                <w:highlight w:val="none"/>
                <w:vertAlign w:val="baseline"/>
                <w:lang w:val="en-US" w:eastAsia="zh-CN"/>
              </w:rPr>
              <w:t>、排放速率</w:t>
            </w:r>
            <w:r>
              <w:rPr>
                <w:rFonts w:hint="eastAsia" w:cs="Times New Roman"/>
                <w:b w:val="0"/>
                <w:bCs/>
                <w:color w:val="auto"/>
                <w:szCs w:val="21"/>
                <w:highlight w:val="none"/>
                <w:lang w:eastAsia="zh-CN"/>
              </w:rPr>
              <w:t>≤</w:t>
            </w:r>
            <w:r>
              <w:rPr>
                <w:rFonts w:hint="eastAsia" w:cs="Times New Roman"/>
                <w:bCs/>
                <w:color w:val="auto"/>
                <w:szCs w:val="21"/>
                <w:highlight w:val="none"/>
                <w:lang w:val="en-US" w:eastAsia="zh-CN"/>
              </w:rPr>
              <w:t>7.225kg/h</w:t>
            </w:r>
            <w:r>
              <w:rPr>
                <w:rFonts w:hint="eastAsia" w:cs="Times New Roman"/>
                <w:b w:val="0"/>
                <w:bCs/>
                <w:color w:val="auto"/>
                <w:szCs w:val="21"/>
                <w:highlight w:val="none"/>
                <w:lang w:eastAsia="zh-CN"/>
              </w:rPr>
              <w:t>）</w:t>
            </w:r>
          </w:p>
        </w:tc>
      </w:tr>
      <w:tr w14:paraId="00E6A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17" w:hRule="atLeast"/>
        </w:trPr>
        <w:tc>
          <w:tcPr>
            <w:tcW w:w="883" w:type="dxa"/>
            <w:vMerge w:val="continue"/>
            <w:shd w:val="clear" w:color="auto" w:fill="auto"/>
            <w:vAlign w:val="center"/>
          </w:tcPr>
          <w:p w14:paraId="14D57BF2">
            <w:pPr>
              <w:jc w:val="center"/>
              <w:rPr>
                <w:rFonts w:ascii="Times New Roman" w:hAnsi="Times New Roman" w:eastAsia="宋体"/>
                <w:color w:val="auto"/>
                <w:szCs w:val="21"/>
              </w:rPr>
            </w:pPr>
          </w:p>
        </w:tc>
        <w:tc>
          <w:tcPr>
            <w:tcW w:w="1264" w:type="dxa"/>
            <w:shd w:val="clear" w:color="auto" w:fill="auto"/>
            <w:vAlign w:val="center"/>
          </w:tcPr>
          <w:p w14:paraId="399DEECC">
            <w:pPr>
              <w:adjustRightInd w:val="0"/>
              <w:snapToGrid w:val="0"/>
              <w:jc w:val="center"/>
              <w:rPr>
                <w:rFonts w:ascii="Times New Roman" w:hAnsi="Times New Roman" w:eastAsia="宋体" w:cs="Times New Roman"/>
                <w:color w:val="auto"/>
                <w:kern w:val="18"/>
                <w:sz w:val="21"/>
                <w:szCs w:val="21"/>
                <w:lang w:val="en-US" w:eastAsia="zh-CN" w:bidi="ar-SA"/>
              </w:rPr>
            </w:pPr>
            <w:r>
              <w:rPr>
                <w:color w:val="auto"/>
                <w:szCs w:val="21"/>
              </w:rPr>
              <w:t>排气筒（DA004）</w:t>
            </w:r>
          </w:p>
        </w:tc>
        <w:tc>
          <w:tcPr>
            <w:tcW w:w="1389" w:type="dxa"/>
            <w:shd w:val="clear" w:color="auto" w:fill="auto"/>
            <w:vAlign w:val="center"/>
          </w:tcPr>
          <w:p w14:paraId="595EBD2E">
            <w:pPr>
              <w:jc w:val="center"/>
              <w:rPr>
                <w:rFonts w:hint="eastAsia" w:cs="Times New Roman"/>
                <w:color w:val="auto"/>
                <w:kern w:val="2"/>
                <w:sz w:val="21"/>
                <w:szCs w:val="21"/>
                <w:lang w:val="en-US" w:eastAsia="zh-CN" w:bidi="ar-SA"/>
              </w:rPr>
            </w:pPr>
            <w:r>
              <w:rPr>
                <w:rFonts w:hint="eastAsia"/>
                <w:color w:val="auto"/>
                <w:kern w:val="0"/>
                <w:szCs w:val="21"/>
                <w:lang w:eastAsia="zh-CN"/>
              </w:rPr>
              <w:t>颗粒物、二氧化硫、氮氧化物</w:t>
            </w:r>
          </w:p>
        </w:tc>
        <w:tc>
          <w:tcPr>
            <w:tcW w:w="2199" w:type="dxa"/>
            <w:shd w:val="clear" w:color="auto" w:fill="auto"/>
            <w:vAlign w:val="center"/>
          </w:tcPr>
          <w:p w14:paraId="162946EE">
            <w:pPr>
              <w:pStyle w:val="86"/>
              <w:rPr>
                <w:rFonts w:hint="eastAsia" w:ascii="Times New Roman" w:hAnsi="Times New Roman" w:cs="Times New Roman"/>
                <w:color w:val="auto"/>
                <w:sz w:val="21"/>
                <w:szCs w:val="21"/>
                <w:lang w:val="zh-CN" w:eastAsia="zh-CN"/>
              </w:rPr>
            </w:pPr>
            <w:r>
              <w:rPr>
                <w:rFonts w:hint="eastAsia" w:eastAsia="宋体"/>
                <w:color w:val="auto"/>
                <w:szCs w:val="24"/>
              </w:rPr>
              <w:t>发电机测试废气通过</w:t>
            </w:r>
            <w:r>
              <w:rPr>
                <w:rFonts w:hint="eastAsia" w:eastAsia="宋体"/>
                <w:color w:val="auto"/>
                <w:szCs w:val="24"/>
                <w:lang w:eastAsia="zh-CN"/>
              </w:rPr>
              <w:t>“</w:t>
            </w:r>
            <w:r>
              <w:rPr>
                <w:rFonts w:hint="eastAsia" w:eastAsia="宋体"/>
                <w:color w:val="auto"/>
                <w:szCs w:val="24"/>
              </w:rPr>
              <w:t>黑烟废气净化</w:t>
            </w:r>
            <w:r>
              <w:rPr>
                <w:rFonts w:hint="eastAsia" w:eastAsia="宋体"/>
                <w:color w:val="auto"/>
                <w:szCs w:val="24"/>
                <w:lang w:val="en-US" w:eastAsia="zh-CN"/>
              </w:rPr>
              <w:t>+SCR脱硝反应器</w:t>
            </w:r>
            <w:r>
              <w:rPr>
                <w:rFonts w:hint="eastAsia" w:eastAsia="宋体"/>
                <w:color w:val="auto"/>
                <w:szCs w:val="24"/>
                <w:lang w:eastAsia="zh-CN"/>
              </w:rPr>
              <w:t>”</w:t>
            </w:r>
            <w:r>
              <w:rPr>
                <w:rFonts w:hint="eastAsia" w:eastAsia="宋体"/>
                <w:color w:val="auto"/>
                <w:szCs w:val="24"/>
              </w:rPr>
              <w:t>系统处理后通过</w:t>
            </w:r>
            <w:r>
              <w:rPr>
                <w:rFonts w:hint="eastAsia"/>
                <w:color w:val="auto"/>
                <w:szCs w:val="24"/>
                <w:lang w:val="en-US" w:eastAsia="zh-CN"/>
              </w:rPr>
              <w:t>2</w:t>
            </w:r>
            <w:r>
              <w:rPr>
                <w:rFonts w:hint="eastAsia" w:eastAsia="宋体"/>
                <w:color w:val="auto"/>
                <w:szCs w:val="24"/>
              </w:rPr>
              <w:t>5m排气筒（DA 004）排放</w:t>
            </w:r>
          </w:p>
        </w:tc>
        <w:tc>
          <w:tcPr>
            <w:tcW w:w="2632" w:type="dxa"/>
            <w:shd w:val="clear" w:color="auto" w:fill="auto"/>
            <w:vAlign w:val="center"/>
          </w:tcPr>
          <w:p w14:paraId="26544A2C">
            <w:pPr>
              <w:pStyle w:val="89"/>
              <w:adjustRightInd w:val="0"/>
              <w:snapToGrid w:val="0"/>
              <w:spacing w:line="320" w:lineRule="exact"/>
              <w:jc w:val="center"/>
              <w:rPr>
                <w:rFonts w:hint="default" w:ascii="Times New Roman" w:hAnsi="Times New Roman" w:cs="Times New Roman" w:eastAsiaTheme="minorEastAsia"/>
                <w:color w:val="auto"/>
                <w:kern w:val="2"/>
                <w:sz w:val="21"/>
                <w:szCs w:val="21"/>
                <w:lang w:val="en-US" w:eastAsia="zh-CN" w:bidi="ar-SA"/>
              </w:rPr>
            </w:pPr>
            <w:r>
              <w:rPr>
                <w:rFonts w:hint="eastAsia" w:cs="Times New Roman"/>
                <w:b w:val="0"/>
                <w:bCs/>
                <w:color w:val="auto"/>
                <w:szCs w:val="21"/>
                <w:highlight w:val="none"/>
                <w:lang w:eastAsia="zh-CN"/>
              </w:rPr>
              <w:t>《</w:t>
            </w:r>
            <w:r>
              <w:rPr>
                <w:rFonts w:hint="eastAsia" w:ascii="Times New Roman" w:hAnsi="Times New Roman" w:cs="Times New Roman"/>
                <w:b w:val="0"/>
                <w:bCs/>
                <w:color w:val="auto"/>
                <w:szCs w:val="21"/>
                <w:highlight w:val="none"/>
                <w:lang w:eastAsia="zh-CN"/>
              </w:rPr>
              <w:t>大气污染物综合排放标准</w:t>
            </w:r>
            <w:r>
              <w:rPr>
                <w:rFonts w:hint="eastAsia" w:cs="Times New Roman"/>
                <w:b w:val="0"/>
                <w:bCs/>
                <w:color w:val="auto"/>
                <w:szCs w:val="21"/>
                <w:highlight w:val="none"/>
                <w:lang w:eastAsia="zh-CN"/>
              </w:rPr>
              <w:t>》（GB16297-1996）表</w:t>
            </w:r>
            <w:r>
              <w:rPr>
                <w:rFonts w:hint="eastAsia" w:cs="Times New Roman"/>
                <w:b w:val="0"/>
                <w:bCs/>
                <w:color w:val="auto"/>
                <w:szCs w:val="21"/>
                <w:highlight w:val="none"/>
                <w:lang w:val="en-US" w:eastAsia="zh-CN"/>
              </w:rPr>
              <w:t>2二级标准（高度25m），</w:t>
            </w:r>
            <w:r>
              <w:rPr>
                <w:rFonts w:hint="eastAsia" w:cs="Times New Roman"/>
                <w:b w:val="0"/>
                <w:bCs/>
                <w:color w:val="auto"/>
                <w:szCs w:val="21"/>
                <w:highlight w:val="none"/>
                <w:lang w:eastAsia="zh-CN"/>
              </w:rPr>
              <w:t>无法满足高出周围200m半径范围的建筑5m以上，排放速率标准值严格50%执行。（颗粒物排放浓度≤</w:t>
            </w:r>
            <w:r>
              <w:rPr>
                <w:rFonts w:hint="eastAsia" w:cs="Times New Roman"/>
                <w:bCs/>
                <w:color w:val="auto"/>
                <w:szCs w:val="21"/>
                <w:highlight w:val="none"/>
                <w:lang w:val="en-US" w:eastAsia="zh-CN"/>
              </w:rPr>
              <w:t>120mg/m</w:t>
            </w:r>
            <w:r>
              <w:rPr>
                <w:rFonts w:hint="eastAsia" w:cs="Times New Roman"/>
                <w:bCs/>
                <w:color w:val="auto"/>
                <w:szCs w:val="21"/>
                <w:highlight w:val="none"/>
                <w:vertAlign w:val="superscript"/>
                <w:lang w:val="en-US" w:eastAsia="zh-CN"/>
              </w:rPr>
              <w:t>3</w:t>
            </w:r>
            <w:r>
              <w:rPr>
                <w:rFonts w:hint="eastAsia" w:cs="Times New Roman"/>
                <w:bCs/>
                <w:color w:val="auto"/>
                <w:szCs w:val="21"/>
                <w:highlight w:val="none"/>
                <w:vertAlign w:val="baseline"/>
                <w:lang w:val="en-US" w:eastAsia="zh-CN"/>
              </w:rPr>
              <w:t>、排放速率</w:t>
            </w:r>
            <w:r>
              <w:rPr>
                <w:rFonts w:hint="eastAsia" w:cs="Times New Roman"/>
                <w:b w:val="0"/>
                <w:bCs/>
                <w:color w:val="auto"/>
                <w:szCs w:val="21"/>
                <w:highlight w:val="none"/>
                <w:lang w:eastAsia="zh-CN"/>
              </w:rPr>
              <w:t>≤</w:t>
            </w:r>
            <w:r>
              <w:rPr>
                <w:rFonts w:hint="eastAsia" w:cs="Times New Roman"/>
                <w:bCs/>
                <w:color w:val="auto"/>
                <w:szCs w:val="21"/>
                <w:highlight w:val="none"/>
                <w:lang w:val="en-US" w:eastAsia="zh-CN"/>
              </w:rPr>
              <w:t>7.225kg/h；二氧化硫</w:t>
            </w:r>
            <w:r>
              <w:rPr>
                <w:rFonts w:hint="eastAsia" w:cs="Times New Roman"/>
                <w:b w:val="0"/>
                <w:bCs/>
                <w:color w:val="auto"/>
                <w:szCs w:val="21"/>
                <w:highlight w:val="none"/>
                <w:lang w:eastAsia="zh-CN"/>
              </w:rPr>
              <w:t>排放浓度≤</w:t>
            </w:r>
            <w:r>
              <w:rPr>
                <w:rFonts w:hint="eastAsia" w:cs="Times New Roman"/>
                <w:bCs/>
                <w:color w:val="auto"/>
                <w:szCs w:val="21"/>
                <w:highlight w:val="none"/>
                <w:lang w:val="en-US" w:eastAsia="zh-CN"/>
              </w:rPr>
              <w:t>550mg/m</w:t>
            </w:r>
            <w:r>
              <w:rPr>
                <w:rFonts w:hint="eastAsia" w:cs="Times New Roman"/>
                <w:bCs/>
                <w:color w:val="auto"/>
                <w:szCs w:val="21"/>
                <w:highlight w:val="none"/>
                <w:vertAlign w:val="superscript"/>
                <w:lang w:val="en-US" w:eastAsia="zh-CN"/>
              </w:rPr>
              <w:t>3</w:t>
            </w:r>
            <w:r>
              <w:rPr>
                <w:rFonts w:hint="eastAsia" w:cs="Times New Roman"/>
                <w:bCs/>
                <w:color w:val="auto"/>
                <w:szCs w:val="21"/>
                <w:highlight w:val="none"/>
                <w:vertAlign w:val="baseline"/>
                <w:lang w:val="en-US" w:eastAsia="zh-CN"/>
              </w:rPr>
              <w:t>、排放速率</w:t>
            </w:r>
            <w:r>
              <w:rPr>
                <w:rFonts w:hint="eastAsia" w:cs="Times New Roman"/>
                <w:b w:val="0"/>
                <w:bCs/>
                <w:color w:val="auto"/>
                <w:szCs w:val="21"/>
                <w:highlight w:val="none"/>
                <w:lang w:eastAsia="zh-CN"/>
              </w:rPr>
              <w:t>≤</w:t>
            </w:r>
            <w:r>
              <w:rPr>
                <w:rFonts w:hint="eastAsia" w:cs="Times New Roman"/>
                <w:bCs/>
                <w:color w:val="auto"/>
                <w:szCs w:val="21"/>
                <w:highlight w:val="none"/>
                <w:lang w:val="en-US" w:eastAsia="zh-CN"/>
              </w:rPr>
              <w:t>4.825kg/h；氮氧化物</w:t>
            </w:r>
            <w:r>
              <w:rPr>
                <w:rFonts w:hint="eastAsia" w:cs="Times New Roman"/>
                <w:b w:val="0"/>
                <w:bCs/>
                <w:color w:val="auto"/>
                <w:szCs w:val="21"/>
                <w:highlight w:val="none"/>
                <w:lang w:eastAsia="zh-CN"/>
              </w:rPr>
              <w:t>排放浓度≤</w:t>
            </w:r>
            <w:r>
              <w:rPr>
                <w:rFonts w:hint="eastAsia" w:cs="Times New Roman"/>
                <w:bCs/>
                <w:color w:val="auto"/>
                <w:szCs w:val="21"/>
                <w:highlight w:val="none"/>
                <w:lang w:val="en-US" w:eastAsia="zh-CN"/>
              </w:rPr>
              <w:t>240mg/m</w:t>
            </w:r>
            <w:r>
              <w:rPr>
                <w:rFonts w:hint="eastAsia" w:cs="Times New Roman"/>
                <w:bCs/>
                <w:color w:val="auto"/>
                <w:szCs w:val="21"/>
                <w:highlight w:val="none"/>
                <w:vertAlign w:val="superscript"/>
                <w:lang w:val="en-US" w:eastAsia="zh-CN"/>
              </w:rPr>
              <w:t>3</w:t>
            </w:r>
            <w:r>
              <w:rPr>
                <w:rFonts w:hint="eastAsia" w:cs="Times New Roman"/>
                <w:bCs/>
                <w:color w:val="auto"/>
                <w:szCs w:val="21"/>
                <w:highlight w:val="none"/>
                <w:vertAlign w:val="baseline"/>
                <w:lang w:val="en-US" w:eastAsia="zh-CN"/>
              </w:rPr>
              <w:t>、排放速率</w:t>
            </w:r>
            <w:r>
              <w:rPr>
                <w:rFonts w:hint="eastAsia" w:cs="Times New Roman"/>
                <w:b w:val="0"/>
                <w:bCs/>
                <w:color w:val="auto"/>
                <w:szCs w:val="21"/>
                <w:highlight w:val="none"/>
                <w:lang w:eastAsia="zh-CN"/>
              </w:rPr>
              <w:t>≤</w:t>
            </w:r>
            <w:r>
              <w:rPr>
                <w:rFonts w:hint="eastAsia" w:cs="Times New Roman"/>
                <w:bCs/>
                <w:color w:val="auto"/>
                <w:szCs w:val="21"/>
                <w:highlight w:val="none"/>
                <w:lang w:val="en-US" w:eastAsia="zh-CN"/>
              </w:rPr>
              <w:t>1.425kg/h</w:t>
            </w:r>
            <w:r>
              <w:rPr>
                <w:rFonts w:hint="eastAsia" w:cs="Times New Roman"/>
                <w:b w:val="0"/>
                <w:bCs/>
                <w:color w:val="auto"/>
                <w:szCs w:val="21"/>
                <w:highlight w:val="none"/>
                <w:lang w:eastAsia="zh-CN"/>
              </w:rPr>
              <w:t>）</w:t>
            </w:r>
          </w:p>
        </w:tc>
      </w:tr>
      <w:tr w14:paraId="7901A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17" w:hRule="atLeast"/>
        </w:trPr>
        <w:tc>
          <w:tcPr>
            <w:tcW w:w="883" w:type="dxa"/>
            <w:vMerge w:val="continue"/>
            <w:shd w:val="clear" w:color="auto" w:fill="auto"/>
            <w:vAlign w:val="center"/>
          </w:tcPr>
          <w:p w14:paraId="3E8ADC77">
            <w:pPr>
              <w:jc w:val="center"/>
              <w:rPr>
                <w:rFonts w:ascii="Times New Roman" w:hAnsi="Times New Roman" w:eastAsia="宋体"/>
                <w:color w:val="auto"/>
                <w:szCs w:val="21"/>
              </w:rPr>
            </w:pPr>
          </w:p>
        </w:tc>
        <w:tc>
          <w:tcPr>
            <w:tcW w:w="1264" w:type="dxa"/>
            <w:shd w:val="clear" w:color="auto" w:fill="auto"/>
            <w:vAlign w:val="center"/>
          </w:tcPr>
          <w:p w14:paraId="160FF401">
            <w:pPr>
              <w:jc w:val="center"/>
              <w:rPr>
                <w:rFonts w:hint="eastAsia"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厂界无组织废气</w:t>
            </w:r>
          </w:p>
        </w:tc>
        <w:tc>
          <w:tcPr>
            <w:tcW w:w="1389" w:type="dxa"/>
            <w:shd w:val="clear" w:color="auto" w:fill="auto"/>
            <w:vAlign w:val="center"/>
          </w:tcPr>
          <w:p w14:paraId="25B0C330">
            <w:pPr>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颗粒物</w:t>
            </w:r>
          </w:p>
        </w:tc>
        <w:tc>
          <w:tcPr>
            <w:tcW w:w="2199" w:type="dxa"/>
            <w:shd w:val="clear" w:color="auto" w:fill="auto"/>
            <w:vAlign w:val="center"/>
          </w:tcPr>
          <w:p w14:paraId="0FE9FCE6">
            <w:pPr>
              <w:pStyle w:val="86"/>
              <w:rPr>
                <w:rFonts w:hint="eastAsia" w:ascii="Times New Roman" w:hAnsi="Times New Roman" w:cs="Times New Roman"/>
                <w:color w:val="auto"/>
                <w:sz w:val="21"/>
                <w:szCs w:val="21"/>
                <w:lang w:val="zh-CN" w:eastAsia="zh-CN"/>
              </w:rPr>
            </w:pPr>
            <w:r>
              <w:rPr>
                <w:rFonts w:hint="eastAsia"/>
                <w:color w:val="auto"/>
                <w:lang w:val="en-GB"/>
              </w:rPr>
              <w:t>焊烟通过移动式烟尘净化器收集处理后车间内无组织排放，并加强车间密闭措施。</w:t>
            </w:r>
          </w:p>
        </w:tc>
        <w:tc>
          <w:tcPr>
            <w:tcW w:w="2632" w:type="dxa"/>
            <w:shd w:val="clear" w:color="auto" w:fill="auto"/>
            <w:vAlign w:val="center"/>
          </w:tcPr>
          <w:p w14:paraId="037F927A">
            <w:pPr>
              <w:pStyle w:val="113"/>
              <w:snapToGrid w:val="0"/>
              <w:spacing w:line="340" w:lineRule="exact"/>
              <w:jc w:val="center"/>
              <w:rPr>
                <w:rFonts w:hint="default" w:ascii="Times New Roman" w:hAnsi="Times New Roman" w:cs="Times New Roman" w:eastAsiaTheme="minorEastAsia"/>
                <w:color w:val="auto"/>
                <w:sz w:val="21"/>
                <w:szCs w:val="21"/>
                <w:highlight w:val="none"/>
                <w:lang w:val="en-US" w:eastAsia="zh-CN"/>
              </w:rPr>
            </w:pPr>
            <w:r>
              <w:rPr>
                <w:rFonts w:hint="eastAsia" w:hAnsi="宋体"/>
                <w:color w:val="auto"/>
              </w:rPr>
              <w:t>执行</w:t>
            </w:r>
            <w:r>
              <w:rPr>
                <w:rFonts w:hAnsi="宋体"/>
                <w:color w:val="auto"/>
              </w:rPr>
              <w:t>《大气污染物综合排放标准》（GB16297-1996）表2中</w:t>
            </w:r>
            <w:r>
              <w:rPr>
                <w:rFonts w:hint="eastAsia" w:hAnsi="宋体"/>
                <w:color w:val="auto"/>
              </w:rPr>
              <w:t>无组织监控浓度限值</w:t>
            </w:r>
          </w:p>
        </w:tc>
      </w:tr>
      <w:tr w14:paraId="50730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17" w:hRule="atLeast"/>
        </w:trPr>
        <w:tc>
          <w:tcPr>
            <w:tcW w:w="883" w:type="dxa"/>
            <w:shd w:val="clear" w:color="auto" w:fill="auto"/>
            <w:vAlign w:val="center"/>
          </w:tcPr>
          <w:p w14:paraId="0AEABE66">
            <w:pPr>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rPr>
              <w:t>地表水环境</w:t>
            </w:r>
          </w:p>
        </w:tc>
        <w:tc>
          <w:tcPr>
            <w:tcW w:w="1264" w:type="dxa"/>
            <w:shd w:val="clear" w:color="auto" w:fill="auto"/>
            <w:vAlign w:val="center"/>
          </w:tcPr>
          <w:p w14:paraId="758CD9AD">
            <w:pPr>
              <w:pStyle w:val="78"/>
              <w:adjustRightInd/>
              <w:snapToGrid/>
              <w:ind w:left="57" w:leftChars="0" w:right="57" w:rightChars="0"/>
              <w:rPr>
                <w:rFonts w:hint="eastAsia" w:cs="宋体"/>
                <w:color w:val="auto"/>
                <w:sz w:val="21"/>
                <w:szCs w:val="21"/>
                <w:lang w:val="en-US" w:eastAsia="zh-CN"/>
              </w:rPr>
            </w:pPr>
            <w:r>
              <w:rPr>
                <w:rFonts w:hint="eastAsia" w:cs="宋体"/>
                <w:color w:val="auto"/>
                <w:sz w:val="21"/>
                <w:szCs w:val="21"/>
                <w:lang w:val="en-US" w:eastAsia="zh-CN"/>
              </w:rPr>
              <w:t>DW001</w:t>
            </w:r>
          </w:p>
          <w:p w14:paraId="0B38DC43">
            <w:pPr>
              <w:pStyle w:val="78"/>
              <w:adjustRightInd/>
              <w:snapToGrid/>
              <w:ind w:left="57" w:leftChars="0" w:right="57" w:rightChars="0"/>
              <w:rPr>
                <w:rFonts w:hint="eastAsia" w:ascii="Times New Roman" w:hAnsi="Times New Roman" w:eastAsia="宋体" w:cs="Times New Roman"/>
                <w:color w:val="auto"/>
                <w:kern w:val="18"/>
                <w:sz w:val="21"/>
                <w:szCs w:val="21"/>
                <w:lang w:val="en-US" w:eastAsia="zh-CN" w:bidi="ar-SA"/>
              </w:rPr>
            </w:pPr>
            <w:r>
              <w:rPr>
                <w:rFonts w:hint="eastAsia" w:cs="宋体"/>
                <w:color w:val="auto"/>
                <w:sz w:val="21"/>
                <w:szCs w:val="21"/>
                <w:lang w:eastAsia="zh-CN"/>
              </w:rPr>
              <w:t>生活污</w:t>
            </w:r>
            <w:r>
              <w:rPr>
                <w:rFonts w:hint="eastAsia" w:cs="宋体"/>
                <w:color w:val="auto"/>
                <w:sz w:val="21"/>
                <w:szCs w:val="21"/>
              </w:rPr>
              <w:t>水</w:t>
            </w:r>
          </w:p>
        </w:tc>
        <w:tc>
          <w:tcPr>
            <w:tcW w:w="1389" w:type="dxa"/>
            <w:shd w:val="clear" w:color="auto" w:fill="auto"/>
            <w:vAlign w:val="center"/>
          </w:tcPr>
          <w:p w14:paraId="00733923">
            <w:pPr>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rPr>
              <w:t>化学需氧量、五日生化需氧量、悬浮物、氨氮、</w:t>
            </w:r>
            <w:r>
              <w:rPr>
                <w:rFonts w:hint="eastAsia"/>
                <w:color w:val="auto"/>
                <w:szCs w:val="21"/>
                <w:lang w:val="en-US" w:eastAsia="zh-CN"/>
              </w:rPr>
              <w:t>pH</w:t>
            </w:r>
          </w:p>
        </w:tc>
        <w:tc>
          <w:tcPr>
            <w:tcW w:w="2199" w:type="dxa"/>
            <w:shd w:val="clear" w:color="auto" w:fill="auto"/>
            <w:vAlign w:val="center"/>
          </w:tcPr>
          <w:p w14:paraId="31B59FE0">
            <w:pPr>
              <w:pStyle w:val="86"/>
              <w:rPr>
                <w:rFonts w:hint="eastAsia" w:ascii="Times New Roman" w:hAnsi="Times New Roman" w:eastAsia="宋体" w:cs="Times New Roman"/>
                <w:bCs/>
                <w:iCs/>
                <w:color w:val="auto"/>
                <w:kern w:val="2"/>
                <w:sz w:val="21"/>
                <w:szCs w:val="21"/>
                <w:lang w:val="en-US" w:eastAsia="zh-CN" w:bidi="en-US"/>
              </w:rPr>
            </w:pPr>
            <w:r>
              <w:rPr>
                <w:rFonts w:hint="eastAsia"/>
                <w:color w:val="auto"/>
                <w:szCs w:val="21"/>
                <w:lang w:eastAsia="zh-CN"/>
              </w:rPr>
              <w:t>化粪池处理后</w:t>
            </w:r>
            <w:r>
              <w:rPr>
                <w:rFonts w:ascii="Times New Roman"/>
                <w:color w:val="auto"/>
                <w:kern w:val="2"/>
                <w:szCs w:val="24"/>
                <w:lang w:val="en-GB"/>
              </w:rPr>
              <w:t>经</w:t>
            </w:r>
            <w:r>
              <w:rPr>
                <w:rFonts w:hint="eastAsia" w:ascii="Times New Roman"/>
                <w:color w:val="auto"/>
                <w:kern w:val="2"/>
                <w:szCs w:val="24"/>
                <w:lang w:val="en-GB"/>
              </w:rPr>
              <w:t>市政污水管网</w:t>
            </w:r>
            <w:r>
              <w:rPr>
                <w:rFonts w:ascii="Times New Roman"/>
                <w:color w:val="auto"/>
                <w:kern w:val="2"/>
                <w:szCs w:val="24"/>
                <w:lang w:val="en-GB"/>
              </w:rPr>
              <w:t>排入</w:t>
            </w:r>
            <w:r>
              <w:rPr>
                <w:rFonts w:hint="eastAsia" w:ascii="Times New Roman"/>
                <w:color w:val="auto"/>
                <w:kern w:val="2"/>
                <w:szCs w:val="24"/>
                <w:lang w:val="en-GB"/>
              </w:rPr>
              <w:t>竹岐乡污水处理厂处理</w:t>
            </w:r>
          </w:p>
        </w:tc>
        <w:tc>
          <w:tcPr>
            <w:tcW w:w="2632" w:type="dxa"/>
            <w:shd w:val="clear" w:color="auto" w:fill="auto"/>
            <w:vAlign w:val="center"/>
          </w:tcPr>
          <w:p w14:paraId="25973FD2">
            <w:pPr>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eastAsia="zh-CN"/>
              </w:rPr>
              <w:t>《</w:t>
            </w:r>
            <w:r>
              <w:rPr>
                <w:rFonts w:hint="eastAsia"/>
                <w:color w:val="auto"/>
                <w:szCs w:val="21"/>
              </w:rPr>
              <w:t>污水综合排放标准》（GB8978-1996）表4中三级标准（氨氮参照执行《污水排入城市下水道水质标准》（GB/T31962-2015）表1的B级标准）</w:t>
            </w:r>
          </w:p>
        </w:tc>
      </w:tr>
      <w:tr w14:paraId="67008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17" w:hRule="atLeast"/>
        </w:trPr>
        <w:tc>
          <w:tcPr>
            <w:tcW w:w="883" w:type="dxa"/>
            <w:shd w:val="clear" w:color="auto" w:fill="auto"/>
            <w:vAlign w:val="center"/>
          </w:tcPr>
          <w:p w14:paraId="233911A1">
            <w:pPr>
              <w:jc w:val="center"/>
              <w:rPr>
                <w:rFonts w:hint="eastAsia" w:ascii="Times New Roman" w:hAnsi="Times New Roman" w:eastAsia="宋体" w:cs="Times New Roman"/>
                <w:color w:val="auto"/>
                <w:kern w:val="2"/>
                <w:sz w:val="21"/>
                <w:szCs w:val="21"/>
                <w:lang w:val="en-US" w:eastAsia="zh-CN" w:bidi="ar-SA"/>
              </w:rPr>
            </w:pPr>
            <w:r>
              <w:rPr>
                <w:color w:val="auto"/>
                <w:szCs w:val="21"/>
              </w:rPr>
              <w:t>声</w:t>
            </w:r>
            <w:r>
              <w:rPr>
                <w:rFonts w:hint="eastAsia"/>
                <w:color w:val="auto"/>
                <w:szCs w:val="21"/>
              </w:rPr>
              <w:t>环境</w:t>
            </w:r>
          </w:p>
        </w:tc>
        <w:tc>
          <w:tcPr>
            <w:tcW w:w="1264" w:type="dxa"/>
            <w:shd w:val="clear" w:color="auto" w:fill="auto"/>
            <w:vAlign w:val="center"/>
          </w:tcPr>
          <w:p w14:paraId="2374117B">
            <w:pPr>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rPr>
              <w:t>厂界噪声</w:t>
            </w:r>
          </w:p>
        </w:tc>
        <w:tc>
          <w:tcPr>
            <w:tcW w:w="1389" w:type="dxa"/>
            <w:shd w:val="clear" w:color="auto" w:fill="auto"/>
            <w:vAlign w:val="center"/>
          </w:tcPr>
          <w:p w14:paraId="6CA4BDB2">
            <w:pPr>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rPr>
              <w:t>噪声</w:t>
            </w:r>
          </w:p>
        </w:tc>
        <w:tc>
          <w:tcPr>
            <w:tcW w:w="2199" w:type="dxa"/>
            <w:shd w:val="clear" w:color="auto" w:fill="auto"/>
            <w:vAlign w:val="center"/>
          </w:tcPr>
          <w:p w14:paraId="625F0BA5">
            <w:pPr>
              <w:jc w:val="center"/>
              <w:rPr>
                <w:rFonts w:hint="eastAsia" w:ascii="Times New Roman" w:hAnsi="Times New Roman" w:eastAsia="宋体" w:cs="Times New Roman"/>
                <w:bCs/>
                <w:color w:val="auto"/>
                <w:kern w:val="2"/>
                <w:sz w:val="21"/>
                <w:szCs w:val="21"/>
                <w:lang w:val="en-US" w:eastAsia="zh-CN" w:bidi="ar-SA"/>
              </w:rPr>
            </w:pPr>
            <w:r>
              <w:rPr>
                <w:rFonts w:hint="eastAsia"/>
                <w:color w:val="auto"/>
                <w:szCs w:val="21"/>
              </w:rPr>
              <w:t>采用低噪声设备，</w:t>
            </w:r>
            <w:r>
              <w:rPr>
                <w:color w:val="auto"/>
                <w:szCs w:val="21"/>
              </w:rPr>
              <w:t>合理布置高噪声源，加强设备基础减振处理</w:t>
            </w:r>
          </w:p>
        </w:tc>
        <w:tc>
          <w:tcPr>
            <w:tcW w:w="2632" w:type="dxa"/>
            <w:shd w:val="clear" w:color="auto" w:fill="auto"/>
            <w:vAlign w:val="center"/>
          </w:tcPr>
          <w:p w14:paraId="313E4C07">
            <w:pPr>
              <w:jc w:val="center"/>
              <w:rPr>
                <w:rFonts w:hint="eastAsia" w:ascii="Times New Roman" w:hAnsi="Times New Roman" w:eastAsia="宋体" w:cs="Times New Roman"/>
                <w:color w:val="auto"/>
                <w:kern w:val="2"/>
                <w:sz w:val="21"/>
                <w:szCs w:val="21"/>
                <w:lang w:val="en-US" w:eastAsia="zh-CN" w:bidi="ar-SA"/>
              </w:rPr>
            </w:pPr>
            <w:r>
              <w:rPr>
                <w:color w:val="auto"/>
                <w:szCs w:val="21"/>
              </w:rPr>
              <w:t>《工业企业厂界环境噪声排放标准》（GB12348-2008）中</w:t>
            </w:r>
            <w:r>
              <w:rPr>
                <w:rFonts w:hint="eastAsia"/>
                <w:color w:val="auto"/>
                <w:szCs w:val="21"/>
                <w:lang w:val="en-US" w:eastAsia="zh-CN"/>
              </w:rPr>
              <w:t>3</w:t>
            </w:r>
            <w:r>
              <w:rPr>
                <w:color w:val="auto"/>
                <w:szCs w:val="21"/>
              </w:rPr>
              <w:t>类</w:t>
            </w:r>
            <w:r>
              <w:rPr>
                <w:rFonts w:hint="eastAsia"/>
                <w:color w:val="auto"/>
                <w:szCs w:val="21"/>
              </w:rPr>
              <w:t>标准</w:t>
            </w:r>
          </w:p>
        </w:tc>
      </w:tr>
      <w:tr w14:paraId="1F247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17" w:hRule="atLeast"/>
        </w:trPr>
        <w:tc>
          <w:tcPr>
            <w:tcW w:w="883" w:type="dxa"/>
            <w:shd w:val="clear" w:color="auto" w:fill="auto"/>
            <w:vAlign w:val="center"/>
          </w:tcPr>
          <w:p w14:paraId="005E846E">
            <w:pPr>
              <w:jc w:val="center"/>
              <w:rPr>
                <w:color w:val="auto"/>
                <w:szCs w:val="21"/>
              </w:rPr>
            </w:pPr>
            <w:r>
              <w:rPr>
                <w:rFonts w:hint="eastAsia"/>
                <w:color w:val="auto"/>
                <w:szCs w:val="21"/>
              </w:rPr>
              <w:t>电磁辐射</w:t>
            </w:r>
          </w:p>
        </w:tc>
        <w:tc>
          <w:tcPr>
            <w:tcW w:w="7484" w:type="dxa"/>
            <w:gridSpan w:val="4"/>
            <w:shd w:val="clear" w:color="auto" w:fill="auto"/>
            <w:vAlign w:val="center"/>
          </w:tcPr>
          <w:p w14:paraId="6021BD85">
            <w:pPr>
              <w:jc w:val="center"/>
              <w:rPr>
                <w:color w:val="auto"/>
                <w:szCs w:val="21"/>
              </w:rPr>
            </w:pPr>
            <w:r>
              <w:rPr>
                <w:rFonts w:hint="eastAsia"/>
                <w:color w:val="auto"/>
                <w:szCs w:val="21"/>
                <w:lang w:eastAsia="zh-CN"/>
              </w:rPr>
              <w:t>无</w:t>
            </w:r>
          </w:p>
        </w:tc>
      </w:tr>
      <w:tr w14:paraId="5E702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71" w:hRule="atLeast"/>
        </w:trPr>
        <w:tc>
          <w:tcPr>
            <w:tcW w:w="883" w:type="dxa"/>
            <w:vAlign w:val="center"/>
          </w:tcPr>
          <w:p w14:paraId="24562EFB">
            <w:pPr>
              <w:jc w:val="center"/>
              <w:rPr>
                <w:color w:val="auto"/>
                <w:szCs w:val="21"/>
              </w:rPr>
            </w:pPr>
            <w:r>
              <w:rPr>
                <w:color w:val="auto"/>
                <w:szCs w:val="21"/>
              </w:rPr>
              <w:t>固体</w:t>
            </w:r>
          </w:p>
          <w:p w14:paraId="09D10DC4">
            <w:pPr>
              <w:jc w:val="center"/>
              <w:rPr>
                <w:color w:val="auto"/>
                <w:szCs w:val="21"/>
              </w:rPr>
            </w:pPr>
            <w:r>
              <w:rPr>
                <w:color w:val="auto"/>
                <w:szCs w:val="21"/>
              </w:rPr>
              <w:t>废物</w:t>
            </w:r>
          </w:p>
        </w:tc>
        <w:tc>
          <w:tcPr>
            <w:tcW w:w="7484" w:type="dxa"/>
            <w:gridSpan w:val="4"/>
            <w:shd w:val="clear" w:color="auto" w:fill="auto"/>
            <w:vAlign w:val="center"/>
          </w:tcPr>
          <w:p w14:paraId="1B713228">
            <w:pPr>
              <w:adjustRightInd w:val="0"/>
              <w:snapToGrid w:val="0"/>
              <w:spacing w:line="360" w:lineRule="auto"/>
              <w:ind w:firstLine="420" w:firstLineChars="200"/>
              <w:rPr>
                <w:rFonts w:ascii="Times New Roman" w:hAnsi="Times New Roman" w:eastAsia="宋体"/>
                <w:color w:val="auto"/>
                <w:szCs w:val="21"/>
                <w:highlight w:val="none"/>
              </w:rPr>
            </w:pPr>
            <w:r>
              <w:rPr>
                <w:rFonts w:ascii="Times New Roman" w:hAnsi="Times New Roman" w:eastAsia="宋体"/>
                <w:color w:val="auto"/>
                <w:szCs w:val="21"/>
                <w:highlight w:val="none"/>
              </w:rPr>
              <w:t>一般工业</w:t>
            </w:r>
            <w:r>
              <w:rPr>
                <w:rFonts w:hint="eastAsia"/>
                <w:color w:val="auto"/>
                <w:szCs w:val="21"/>
                <w:highlight w:val="none"/>
                <w:lang w:eastAsia="zh-CN"/>
              </w:rPr>
              <w:t>固体废物</w:t>
            </w:r>
            <w:r>
              <w:rPr>
                <w:rFonts w:ascii="Times New Roman" w:hAnsi="Times New Roman" w:eastAsia="宋体"/>
                <w:color w:val="auto"/>
                <w:szCs w:val="21"/>
                <w:highlight w:val="none"/>
              </w:rPr>
              <w:t>：设置一般工业固废暂存间</w:t>
            </w:r>
            <w:r>
              <w:rPr>
                <w:rFonts w:hint="eastAsia" w:ascii="Times New Roman" w:hAnsi="Times New Roman" w:eastAsia="宋体"/>
                <w:color w:val="auto"/>
                <w:szCs w:val="21"/>
                <w:highlight w:val="none"/>
                <w:lang w:val="en-US" w:eastAsia="zh-CN"/>
              </w:rPr>
              <w:t>20m</w:t>
            </w:r>
            <w:r>
              <w:rPr>
                <w:rFonts w:hint="eastAsia" w:ascii="Times New Roman" w:hAnsi="Times New Roman" w:eastAsia="宋体"/>
                <w:color w:val="auto"/>
                <w:szCs w:val="21"/>
                <w:highlight w:val="none"/>
                <w:vertAlign w:val="superscript"/>
                <w:lang w:val="en-US" w:eastAsia="zh-CN"/>
              </w:rPr>
              <w:t>2</w:t>
            </w:r>
            <w:r>
              <w:rPr>
                <w:rFonts w:hint="eastAsia" w:ascii="Times New Roman" w:hAnsi="Times New Roman" w:eastAsia="宋体"/>
                <w:color w:val="auto"/>
                <w:szCs w:val="21"/>
                <w:highlight w:val="none"/>
              </w:rPr>
              <w:t>，</w:t>
            </w:r>
            <w:r>
              <w:rPr>
                <w:rFonts w:hint="eastAsia" w:ascii="Times New Roman" w:hAnsi="Times New Roman" w:eastAsia="宋体"/>
                <w:color w:val="auto"/>
                <w:szCs w:val="21"/>
                <w:highlight w:val="none"/>
                <w:lang w:eastAsia="zh-CN"/>
              </w:rPr>
              <w:t>位于厂区</w:t>
            </w:r>
            <w:r>
              <w:rPr>
                <w:rFonts w:hint="eastAsia" w:ascii="Times New Roman" w:hAnsi="Times New Roman" w:eastAsia="宋体"/>
                <w:color w:val="auto"/>
                <w:szCs w:val="21"/>
                <w:highlight w:val="none"/>
                <w:lang w:val="en-US" w:eastAsia="zh-CN"/>
              </w:rPr>
              <w:t>东侧，</w:t>
            </w:r>
            <w:r>
              <w:rPr>
                <w:rFonts w:hint="eastAsia" w:ascii="Times New Roman" w:hAnsi="Times New Roman"/>
                <w:color w:val="auto"/>
                <w:szCs w:val="21"/>
                <w:highlight w:val="none"/>
              </w:rPr>
              <w:t>一般固废暂存间为一般防渗区，采用水泥硬化处理</w:t>
            </w:r>
            <w:r>
              <w:rPr>
                <w:rFonts w:hint="eastAsia" w:ascii="Times New Roman" w:hAnsi="Times New Roman" w:eastAsia="宋体"/>
                <w:color w:val="auto"/>
                <w:szCs w:val="21"/>
                <w:highlight w:val="none"/>
                <w:lang w:eastAsia="zh-CN"/>
              </w:rPr>
              <w:t>，</w:t>
            </w:r>
            <w:r>
              <w:rPr>
                <w:rFonts w:hint="eastAsia" w:ascii="Times New Roman" w:hAnsi="Times New Roman"/>
                <w:color w:val="auto"/>
                <w:szCs w:val="21"/>
                <w:highlight w:val="none"/>
              </w:rPr>
              <w:t>一般防渗区</w:t>
            </w:r>
            <w:r>
              <w:rPr>
                <w:rFonts w:hint="eastAsia"/>
                <w:color w:val="auto"/>
                <w:szCs w:val="21"/>
                <w:highlight w:val="none"/>
                <w:lang w:eastAsia="zh-CN"/>
              </w:rPr>
              <w:t>渗透</w:t>
            </w:r>
            <w:r>
              <w:rPr>
                <w:rFonts w:hint="eastAsia" w:ascii="Times New Roman" w:hAnsi="Times New Roman"/>
                <w:color w:val="auto"/>
                <w:szCs w:val="21"/>
                <w:highlight w:val="none"/>
              </w:rPr>
              <w:t>系数≤1.0×10</w:t>
            </w:r>
            <w:r>
              <w:rPr>
                <w:rFonts w:hint="eastAsia" w:ascii="Times New Roman" w:hAnsi="Times New Roman"/>
                <w:color w:val="auto"/>
                <w:szCs w:val="21"/>
                <w:highlight w:val="none"/>
                <w:vertAlign w:val="superscript"/>
              </w:rPr>
              <w:t>-7</w:t>
            </w:r>
            <w:r>
              <w:rPr>
                <w:rFonts w:hint="eastAsia" w:ascii="Times New Roman" w:hAnsi="Times New Roman"/>
                <w:color w:val="auto"/>
                <w:szCs w:val="21"/>
                <w:highlight w:val="none"/>
              </w:rPr>
              <w:t>cm/s</w:t>
            </w:r>
            <w:r>
              <w:rPr>
                <w:rFonts w:hint="eastAsia" w:ascii="Times New Roman" w:hAnsi="Times New Roman" w:eastAsia="宋体"/>
                <w:color w:val="auto"/>
                <w:szCs w:val="21"/>
                <w:highlight w:val="none"/>
                <w:lang w:eastAsia="zh-CN"/>
              </w:rPr>
              <w:t>；</w:t>
            </w:r>
            <w:r>
              <w:rPr>
                <w:rFonts w:ascii="Times New Roman" w:hAnsi="Times New Roman" w:eastAsia="宋体"/>
                <w:color w:val="auto"/>
                <w:szCs w:val="21"/>
                <w:highlight w:val="none"/>
              </w:rPr>
              <w:t>一般工业</w:t>
            </w:r>
            <w:r>
              <w:rPr>
                <w:rFonts w:hint="eastAsia"/>
                <w:color w:val="auto"/>
                <w:szCs w:val="21"/>
                <w:highlight w:val="none"/>
                <w:lang w:eastAsia="zh-CN"/>
              </w:rPr>
              <w:t>固体废物</w:t>
            </w:r>
            <w:r>
              <w:rPr>
                <w:rFonts w:ascii="Times New Roman" w:hAnsi="Times New Roman" w:eastAsia="宋体"/>
                <w:color w:val="auto"/>
                <w:szCs w:val="21"/>
                <w:highlight w:val="none"/>
              </w:rPr>
              <w:t>妥善分类收集后出售给回收企业综合利用；</w:t>
            </w:r>
          </w:p>
          <w:p w14:paraId="2D4EDDEF">
            <w:pPr>
              <w:adjustRightInd w:val="0"/>
              <w:snapToGrid w:val="0"/>
              <w:spacing w:line="360" w:lineRule="auto"/>
              <w:ind w:firstLine="420" w:firstLineChars="200"/>
              <w:rPr>
                <w:rFonts w:ascii="Times New Roman" w:hAnsi="Times New Roman" w:eastAsia="宋体"/>
                <w:color w:val="auto"/>
                <w:szCs w:val="21"/>
                <w:highlight w:val="none"/>
              </w:rPr>
            </w:pPr>
            <w:r>
              <w:rPr>
                <w:rFonts w:ascii="Times New Roman" w:hAnsi="Times New Roman" w:eastAsia="宋体"/>
                <w:color w:val="auto"/>
                <w:szCs w:val="21"/>
                <w:highlight w:val="none"/>
              </w:rPr>
              <w:t>危险废物：设置危险废物暂存</w:t>
            </w:r>
            <w:r>
              <w:rPr>
                <w:rFonts w:hint="eastAsia" w:ascii="Times New Roman" w:hAnsi="Times New Roman" w:eastAsia="宋体"/>
                <w:color w:val="auto"/>
                <w:szCs w:val="21"/>
                <w:highlight w:val="none"/>
                <w:lang w:eastAsia="zh-CN"/>
              </w:rPr>
              <w:t>间</w:t>
            </w:r>
            <w:r>
              <w:rPr>
                <w:rFonts w:hint="eastAsia" w:ascii="Times New Roman" w:hAnsi="Times New Roman" w:eastAsia="宋体"/>
                <w:color w:val="auto"/>
                <w:szCs w:val="21"/>
                <w:highlight w:val="none"/>
                <w:lang w:val="en-US" w:eastAsia="zh-CN"/>
              </w:rPr>
              <w:t>20m</w:t>
            </w:r>
            <w:r>
              <w:rPr>
                <w:rFonts w:hint="eastAsia" w:ascii="Times New Roman" w:hAnsi="Times New Roman" w:eastAsia="宋体"/>
                <w:color w:val="auto"/>
                <w:szCs w:val="21"/>
                <w:highlight w:val="none"/>
                <w:vertAlign w:val="superscript"/>
                <w:lang w:val="en-US" w:eastAsia="zh-CN"/>
              </w:rPr>
              <w:t>2</w:t>
            </w:r>
            <w:r>
              <w:rPr>
                <w:rFonts w:hint="eastAsia" w:ascii="Times New Roman" w:hAnsi="Times New Roman" w:eastAsia="宋体"/>
                <w:color w:val="auto"/>
                <w:szCs w:val="21"/>
                <w:highlight w:val="none"/>
              </w:rPr>
              <w:t>，位于2#厂房1F东侧</w:t>
            </w:r>
            <w:r>
              <w:rPr>
                <w:rFonts w:hint="eastAsia" w:ascii="Times New Roman" w:hAnsi="Times New Roman" w:eastAsia="宋体"/>
                <w:color w:val="auto"/>
                <w:szCs w:val="21"/>
                <w:highlight w:val="none"/>
                <w:lang w:val="en-US" w:eastAsia="zh-CN"/>
              </w:rPr>
              <w:t>，</w:t>
            </w:r>
            <w:r>
              <w:rPr>
                <w:rFonts w:ascii="Times New Roman" w:hAnsi="Times New Roman" w:eastAsia="宋体"/>
                <w:color w:val="auto"/>
                <w:szCs w:val="21"/>
                <w:highlight w:val="none"/>
              </w:rPr>
              <w:t>危险废物暂存</w:t>
            </w:r>
            <w:r>
              <w:rPr>
                <w:rFonts w:hint="eastAsia" w:ascii="Times New Roman" w:hAnsi="Times New Roman" w:eastAsia="宋体"/>
                <w:color w:val="auto"/>
                <w:szCs w:val="21"/>
                <w:highlight w:val="none"/>
                <w:lang w:eastAsia="zh-CN"/>
              </w:rPr>
              <w:t>间为重点防渗区，重点防渗区</w:t>
            </w:r>
            <w:r>
              <w:rPr>
                <w:rFonts w:hint="eastAsia" w:ascii="Times New Roman" w:hAnsi="Times New Roman"/>
                <w:color w:val="auto"/>
                <w:szCs w:val="21"/>
                <w:highlight w:val="none"/>
                <w:lang w:eastAsia="zh-CN"/>
              </w:rPr>
              <w:t>采用水泥混凝土硬化处理，地面及墙裙敷设环氧树脂防渗层，重点防渗区设置</w:t>
            </w:r>
            <w:r>
              <w:rPr>
                <w:rFonts w:hint="eastAsia" w:ascii="Times New Roman" w:hAnsi="Times New Roman"/>
                <w:color w:val="auto"/>
                <w:szCs w:val="21"/>
                <w:highlight w:val="none"/>
                <w:lang w:val="en-US" w:eastAsia="zh-CN"/>
              </w:rPr>
              <w:t>10mmPVC托盘，</w:t>
            </w:r>
            <w:r>
              <w:rPr>
                <w:rFonts w:hint="eastAsia" w:ascii="Times New Roman" w:hAnsi="Times New Roman"/>
                <w:color w:val="auto"/>
                <w:szCs w:val="21"/>
                <w:highlight w:val="none"/>
              </w:rPr>
              <w:t>重点防渗区</w:t>
            </w:r>
            <w:r>
              <w:rPr>
                <w:rFonts w:hint="eastAsia"/>
                <w:color w:val="auto"/>
                <w:szCs w:val="21"/>
                <w:highlight w:val="none"/>
                <w:lang w:eastAsia="zh-CN"/>
              </w:rPr>
              <w:t>渗透</w:t>
            </w:r>
            <w:r>
              <w:rPr>
                <w:rFonts w:hint="eastAsia" w:ascii="Times New Roman" w:hAnsi="Times New Roman"/>
                <w:color w:val="auto"/>
                <w:szCs w:val="21"/>
                <w:highlight w:val="none"/>
              </w:rPr>
              <w:t>系数≤1.0×10</w:t>
            </w:r>
            <w:r>
              <w:rPr>
                <w:rFonts w:hint="eastAsia" w:ascii="Times New Roman" w:hAnsi="Times New Roman"/>
                <w:color w:val="auto"/>
                <w:szCs w:val="21"/>
                <w:highlight w:val="none"/>
                <w:vertAlign w:val="superscript"/>
              </w:rPr>
              <w:t>-10</w:t>
            </w:r>
            <w:r>
              <w:rPr>
                <w:rFonts w:hint="eastAsia" w:ascii="Times New Roman" w:hAnsi="Times New Roman"/>
                <w:color w:val="auto"/>
                <w:szCs w:val="21"/>
                <w:highlight w:val="none"/>
              </w:rPr>
              <w:t>cm/s</w:t>
            </w:r>
            <w:r>
              <w:rPr>
                <w:rFonts w:hint="eastAsia" w:ascii="Times New Roman" w:hAnsi="Times New Roman" w:eastAsia="宋体"/>
                <w:color w:val="auto"/>
                <w:szCs w:val="21"/>
                <w:highlight w:val="none"/>
                <w:lang w:eastAsia="zh-CN"/>
              </w:rPr>
              <w:t>。危险废物</w:t>
            </w:r>
            <w:r>
              <w:rPr>
                <w:rFonts w:ascii="Times New Roman" w:hAnsi="Times New Roman" w:eastAsia="宋体"/>
                <w:color w:val="auto"/>
                <w:szCs w:val="21"/>
                <w:highlight w:val="none"/>
              </w:rPr>
              <w:t>妥善分类收集后定期委托有资质的单位进行处置</w:t>
            </w:r>
            <w:r>
              <w:rPr>
                <w:rFonts w:hint="eastAsia" w:ascii="Times New Roman" w:hAnsi="Times New Roman" w:eastAsia="宋体"/>
                <w:color w:val="auto"/>
                <w:szCs w:val="21"/>
                <w:highlight w:val="none"/>
                <w:lang w:eastAsia="zh-CN"/>
              </w:rPr>
              <w:t>；</w:t>
            </w:r>
            <w:r>
              <w:rPr>
                <w:rFonts w:ascii="Times New Roman" w:hAnsi="Times New Roman" w:eastAsia="宋体"/>
                <w:color w:val="auto"/>
                <w:szCs w:val="21"/>
                <w:highlight w:val="none"/>
              </w:rPr>
              <w:t>满足《危险废物贮存污染控制标准》（GB 18597—2023）要求</w:t>
            </w:r>
            <w:r>
              <w:rPr>
                <w:rFonts w:hint="eastAsia" w:ascii="Times New Roman" w:hAnsi="Times New Roman" w:eastAsia="宋体"/>
                <w:color w:val="auto"/>
                <w:szCs w:val="21"/>
                <w:highlight w:val="none"/>
                <w:lang w:eastAsia="zh-CN"/>
              </w:rPr>
              <w:t>，</w:t>
            </w:r>
            <w:r>
              <w:rPr>
                <w:rFonts w:ascii="Times New Roman" w:hAnsi="Times New Roman" w:eastAsia="宋体"/>
                <w:color w:val="auto"/>
                <w:szCs w:val="21"/>
                <w:highlight w:val="none"/>
              </w:rPr>
              <w:t>危废转移应严格按《危险废物转移管理办法》要求；</w:t>
            </w:r>
          </w:p>
          <w:p w14:paraId="19FEAD89">
            <w:pPr>
              <w:adjustRightInd w:val="0"/>
              <w:snapToGrid w:val="0"/>
              <w:spacing w:line="360" w:lineRule="auto"/>
              <w:ind w:firstLine="420" w:firstLineChars="200"/>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olor w:val="auto"/>
                <w:szCs w:val="21"/>
                <w:highlight w:val="none"/>
              </w:rPr>
              <w:t>生活垃圾：由垃圾桶收集</w:t>
            </w:r>
            <w:r>
              <w:rPr>
                <w:rFonts w:hint="eastAsia" w:ascii="Times New Roman" w:hAnsi="Times New Roman" w:eastAsia="宋体"/>
                <w:color w:val="auto"/>
                <w:szCs w:val="21"/>
                <w:highlight w:val="none"/>
              </w:rPr>
              <w:t>，</w:t>
            </w:r>
            <w:r>
              <w:rPr>
                <w:rFonts w:ascii="Times New Roman" w:hAnsi="Times New Roman" w:eastAsia="宋体"/>
                <w:color w:val="auto"/>
                <w:szCs w:val="21"/>
                <w:highlight w:val="none"/>
              </w:rPr>
              <w:t>由市政环卫部门统一清运处理</w:t>
            </w:r>
          </w:p>
        </w:tc>
      </w:tr>
      <w:tr w14:paraId="31AEC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67" w:hRule="atLeast"/>
        </w:trPr>
        <w:tc>
          <w:tcPr>
            <w:tcW w:w="883" w:type="dxa"/>
            <w:vAlign w:val="center"/>
          </w:tcPr>
          <w:p w14:paraId="62E04C25">
            <w:pPr>
              <w:jc w:val="center"/>
              <w:rPr>
                <w:rFonts w:ascii="Times New Roman" w:hAnsi="Times New Roman" w:eastAsia="宋体" w:cs="Times New Roman"/>
                <w:color w:val="auto"/>
                <w:szCs w:val="21"/>
              </w:rPr>
            </w:pPr>
            <w:r>
              <w:rPr>
                <w:rFonts w:ascii="Times New Roman" w:hAnsi="Times New Roman" w:eastAsia="宋体" w:cs="Times New Roman"/>
                <w:color w:val="auto"/>
                <w:szCs w:val="21"/>
              </w:rPr>
              <w:t>土壤及地下水污染防治措施</w:t>
            </w:r>
          </w:p>
        </w:tc>
        <w:tc>
          <w:tcPr>
            <w:tcW w:w="7484" w:type="dxa"/>
            <w:gridSpan w:val="4"/>
            <w:vAlign w:val="center"/>
          </w:tcPr>
          <w:p w14:paraId="2B3523AC">
            <w:pPr>
              <w:jc w:val="left"/>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合理进行防渗区域划分，危险暂存间四周设置导流沟，地面采取防渗，按重点污染区防渗要求进行建设；一般工业固废间、项目生产车间等按一般污染区防渗要求进行建设，且具有防雨、防渗、防风、防日晒等功能。</w:t>
            </w:r>
          </w:p>
        </w:tc>
      </w:tr>
      <w:tr w14:paraId="6E038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67" w:hRule="atLeast"/>
        </w:trPr>
        <w:tc>
          <w:tcPr>
            <w:tcW w:w="883" w:type="dxa"/>
            <w:vAlign w:val="center"/>
          </w:tcPr>
          <w:p w14:paraId="4CFCCEB6">
            <w:pPr>
              <w:jc w:val="center"/>
              <w:rPr>
                <w:rFonts w:ascii="Times New Roman" w:hAnsi="Times New Roman" w:eastAsia="宋体" w:cs="Times New Roman"/>
                <w:color w:val="auto"/>
                <w:szCs w:val="21"/>
              </w:rPr>
            </w:pPr>
            <w:r>
              <w:rPr>
                <w:rFonts w:ascii="Times New Roman" w:hAnsi="Times New Roman" w:eastAsia="宋体" w:cs="Times New Roman"/>
                <w:color w:val="auto"/>
                <w:szCs w:val="21"/>
              </w:rPr>
              <w:t>生态保护措施</w:t>
            </w:r>
          </w:p>
        </w:tc>
        <w:tc>
          <w:tcPr>
            <w:tcW w:w="7484" w:type="dxa"/>
            <w:gridSpan w:val="4"/>
            <w:vAlign w:val="center"/>
          </w:tcPr>
          <w:p w14:paraId="4C1086F1">
            <w:pPr>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w:t>
            </w:r>
          </w:p>
        </w:tc>
      </w:tr>
      <w:tr w14:paraId="12507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67" w:hRule="atLeast"/>
        </w:trPr>
        <w:tc>
          <w:tcPr>
            <w:tcW w:w="883" w:type="dxa"/>
            <w:vAlign w:val="center"/>
          </w:tcPr>
          <w:p w14:paraId="12AED6E9">
            <w:pPr>
              <w:jc w:val="center"/>
              <w:rPr>
                <w:rFonts w:ascii="Times New Roman" w:hAnsi="Times New Roman" w:eastAsia="宋体" w:cs="Times New Roman"/>
                <w:color w:val="auto"/>
                <w:szCs w:val="21"/>
              </w:rPr>
            </w:pPr>
            <w:r>
              <w:rPr>
                <w:rFonts w:ascii="Times New Roman" w:hAnsi="Times New Roman" w:eastAsia="宋体" w:cs="Times New Roman"/>
                <w:color w:val="auto"/>
                <w:szCs w:val="21"/>
              </w:rPr>
              <w:t>环境风险防范措施</w:t>
            </w:r>
          </w:p>
        </w:tc>
        <w:tc>
          <w:tcPr>
            <w:tcW w:w="7484" w:type="dxa"/>
            <w:gridSpan w:val="4"/>
            <w:vAlign w:val="center"/>
          </w:tcPr>
          <w:p w14:paraId="3A4C9D00">
            <w:pPr>
              <w:jc w:val="left"/>
              <w:rPr>
                <w:rFonts w:hint="eastAsia" w:ascii="Times New Roman" w:hAnsi="Times New Roman" w:eastAsia="宋体" w:cs="Times New Roman"/>
                <w:color w:val="auto"/>
                <w:szCs w:val="21"/>
              </w:rPr>
            </w:pPr>
            <w:r>
              <w:rPr>
                <w:rFonts w:hint="default" w:ascii="Times New Roman" w:hAnsi="Times New Roman" w:eastAsia="宋体" w:cs="Times New Roman"/>
                <w:color w:val="auto"/>
                <w:szCs w:val="21"/>
              </w:rPr>
              <w:t>加强生产管</w:t>
            </w:r>
            <w:r>
              <w:rPr>
                <w:rFonts w:hint="eastAsia" w:cs="Times New Roman"/>
                <w:color w:val="auto"/>
                <w:szCs w:val="21"/>
                <w:lang w:eastAsia="zh-CN"/>
              </w:rPr>
              <w:t>理和</w:t>
            </w:r>
            <w:r>
              <w:rPr>
                <w:rFonts w:hint="default" w:ascii="Times New Roman" w:hAnsi="Times New Roman" w:eastAsia="宋体" w:cs="Times New Roman"/>
                <w:color w:val="auto"/>
                <w:szCs w:val="21"/>
              </w:rPr>
              <w:t>贮运管理；设置完善的消防系统；开展员工上岗、安全培训等。</w:t>
            </w:r>
            <w:r>
              <w:rPr>
                <w:rFonts w:hint="eastAsia" w:ascii="Times New Roman" w:hAnsi="Times New Roman" w:eastAsia="宋体"/>
                <w:color w:val="auto"/>
                <w:szCs w:val="21"/>
                <w:highlight w:val="none"/>
                <w:lang w:eastAsia="zh-CN"/>
              </w:rPr>
              <w:t>重点防渗区</w:t>
            </w:r>
            <w:r>
              <w:rPr>
                <w:rFonts w:hint="eastAsia" w:ascii="Times New Roman" w:hAnsi="Times New Roman"/>
                <w:color w:val="auto"/>
                <w:szCs w:val="21"/>
                <w:highlight w:val="none"/>
                <w:lang w:eastAsia="zh-CN"/>
              </w:rPr>
              <w:t>采用水泥混凝土硬化处理，地面及墙裙敷设环氧树脂防渗层，</w:t>
            </w:r>
            <w:r>
              <w:rPr>
                <w:rFonts w:hint="eastAsia" w:ascii="Times New Roman" w:hAnsi="Times New Roman" w:eastAsia="宋体"/>
                <w:color w:val="auto"/>
                <w:szCs w:val="21"/>
                <w:highlight w:val="none"/>
                <w:lang w:eastAsia="zh-CN"/>
              </w:rPr>
              <w:t>柴油储罐</w:t>
            </w:r>
            <w:r>
              <w:rPr>
                <w:rFonts w:hint="eastAsia"/>
                <w:color w:val="auto"/>
                <w:szCs w:val="21"/>
                <w:highlight w:val="none"/>
                <w:lang w:eastAsia="zh-CN"/>
              </w:rPr>
              <w:t>区</w:t>
            </w:r>
            <w:r>
              <w:rPr>
                <w:rFonts w:hint="eastAsia" w:ascii="Times New Roman" w:hAnsi="Times New Roman"/>
                <w:color w:val="auto"/>
                <w:szCs w:val="21"/>
                <w:highlight w:val="none"/>
                <w:lang w:eastAsia="zh-CN"/>
              </w:rPr>
              <w:t>及生产车间</w:t>
            </w:r>
            <w:r>
              <w:rPr>
                <w:rFonts w:hint="eastAsia" w:ascii="Times New Roman" w:hAnsi="Times New Roman" w:eastAsia="宋体"/>
                <w:color w:val="auto"/>
                <w:szCs w:val="21"/>
                <w:highlight w:val="none"/>
              </w:rPr>
              <w:t>内部设置泄漏液体收集槽、备用空桶以及健康防护所需的防毒面具、洗眼器、消防器材，以满足倒罐操作或回收等应急处置要求</w:t>
            </w:r>
            <w:r>
              <w:rPr>
                <w:rFonts w:hint="eastAsia" w:ascii="Times New Roman" w:hAnsi="Times New Roman"/>
                <w:color w:val="auto"/>
                <w:szCs w:val="21"/>
                <w:highlight w:val="none"/>
                <w:lang w:eastAsia="zh-CN"/>
              </w:rPr>
              <w:t>；厂界东侧设置容积不小于</w:t>
            </w:r>
            <w:r>
              <w:rPr>
                <w:rFonts w:hint="eastAsia" w:ascii="Times New Roman" w:hAnsi="Times New Roman"/>
                <w:color w:val="auto"/>
                <w:szCs w:val="21"/>
                <w:highlight w:val="none"/>
                <w:lang w:val="en-US" w:eastAsia="zh-CN"/>
              </w:rPr>
              <w:t>1</w:t>
            </w:r>
            <w:r>
              <w:rPr>
                <w:rFonts w:hint="eastAsia"/>
                <w:color w:val="auto"/>
                <w:szCs w:val="21"/>
                <w:highlight w:val="none"/>
                <w:lang w:val="en-US" w:eastAsia="zh-CN"/>
              </w:rPr>
              <w:t>39</w:t>
            </w:r>
            <w:r>
              <w:rPr>
                <w:rFonts w:hint="eastAsia" w:ascii="Times New Roman" w:hAnsi="Times New Roman"/>
                <w:color w:val="auto"/>
                <w:szCs w:val="21"/>
                <w:highlight w:val="none"/>
                <w:lang w:val="en-US" w:eastAsia="zh-CN"/>
              </w:rPr>
              <w:t>m</w:t>
            </w:r>
            <w:r>
              <w:rPr>
                <w:rFonts w:hint="eastAsia" w:ascii="Times New Roman" w:hAnsi="Times New Roman"/>
                <w:color w:val="auto"/>
                <w:szCs w:val="21"/>
                <w:highlight w:val="none"/>
                <w:vertAlign w:val="superscript"/>
                <w:lang w:val="en-US" w:eastAsia="zh-CN"/>
              </w:rPr>
              <w:t>3</w:t>
            </w:r>
            <w:r>
              <w:rPr>
                <w:rFonts w:hint="eastAsia" w:ascii="Times New Roman" w:hAnsi="Times New Roman"/>
                <w:color w:val="auto"/>
                <w:szCs w:val="21"/>
                <w:highlight w:val="none"/>
                <w:lang w:eastAsia="zh-CN"/>
              </w:rPr>
              <w:t>事故应急池</w:t>
            </w:r>
            <w:r>
              <w:rPr>
                <w:rFonts w:hint="eastAsia" w:ascii="Times New Roman" w:hAnsi="Times New Roman" w:eastAsia="宋体"/>
                <w:color w:val="auto"/>
                <w:szCs w:val="21"/>
                <w:highlight w:val="none"/>
              </w:rPr>
              <w:t>。</w:t>
            </w:r>
          </w:p>
        </w:tc>
      </w:tr>
      <w:tr w14:paraId="190C5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883" w:type="dxa"/>
            <w:shd w:val="clear" w:color="auto" w:fill="auto"/>
            <w:vAlign w:val="center"/>
          </w:tcPr>
          <w:p w14:paraId="69B25430">
            <w:pPr>
              <w:jc w:val="center"/>
              <w:rPr>
                <w:rFonts w:ascii="Times New Roman" w:hAnsi="Times New Roman" w:eastAsia="宋体" w:cs="Times New Roman"/>
                <w:color w:val="auto"/>
                <w:kern w:val="2"/>
                <w:sz w:val="21"/>
                <w:szCs w:val="21"/>
                <w:lang w:val="en-US" w:eastAsia="zh-CN" w:bidi="ar-SA"/>
              </w:rPr>
            </w:pPr>
            <w:r>
              <w:rPr>
                <w:color w:val="auto"/>
                <w:szCs w:val="21"/>
              </w:rPr>
              <w:t>其他环境管理要求</w:t>
            </w:r>
          </w:p>
        </w:tc>
        <w:tc>
          <w:tcPr>
            <w:tcW w:w="7484" w:type="dxa"/>
            <w:gridSpan w:val="4"/>
            <w:shd w:val="clear" w:color="auto" w:fill="auto"/>
            <w:vAlign w:val="top"/>
          </w:tcPr>
          <w:p w14:paraId="0612822E">
            <w:pPr>
              <w:numPr>
                <w:ilvl w:val="0"/>
                <w:numId w:val="6"/>
              </w:numPr>
              <w:wordWrap w:val="0"/>
              <w:topLinePunct/>
              <w:adjustRightInd w:val="0"/>
              <w:snapToGrid w:val="0"/>
              <w:spacing w:before="120" w:beforeLines="50" w:line="360" w:lineRule="auto"/>
              <w:ind w:firstLine="422" w:firstLineChars="200"/>
              <w:rPr>
                <w:b/>
                <w:bCs/>
                <w:color w:val="auto"/>
                <w:szCs w:val="21"/>
              </w:rPr>
            </w:pPr>
            <w:r>
              <w:rPr>
                <w:rFonts w:hint="eastAsia"/>
                <w:b/>
                <w:bCs/>
                <w:color w:val="auto"/>
                <w:szCs w:val="21"/>
              </w:rPr>
              <w:t>环境管理：</w:t>
            </w:r>
          </w:p>
          <w:p w14:paraId="74955A20">
            <w:pPr>
              <w:spacing w:line="360" w:lineRule="auto"/>
              <w:ind w:firstLine="420" w:firstLineChars="200"/>
              <w:rPr>
                <w:color w:val="auto"/>
                <w:szCs w:val="21"/>
              </w:rPr>
            </w:pPr>
            <w:r>
              <w:rPr>
                <w:color w:val="auto"/>
                <w:szCs w:val="21"/>
              </w:rPr>
              <w:t>（1）</w:t>
            </w:r>
            <w:r>
              <w:rPr>
                <w:rFonts w:hint="eastAsia"/>
                <w:color w:val="auto"/>
                <w:szCs w:val="21"/>
                <w:lang w:eastAsia="zh-CN"/>
              </w:rPr>
              <w:t>建立健全</w:t>
            </w:r>
            <w:r>
              <w:rPr>
                <w:color w:val="auto"/>
                <w:szCs w:val="21"/>
              </w:rPr>
              <w:t>环境管理制度</w:t>
            </w:r>
          </w:p>
          <w:p w14:paraId="21536CB5">
            <w:pPr>
              <w:spacing w:line="360" w:lineRule="auto"/>
              <w:ind w:firstLine="420" w:firstLineChars="200"/>
              <w:rPr>
                <w:color w:val="auto"/>
                <w:szCs w:val="21"/>
              </w:rPr>
            </w:pPr>
            <w:r>
              <w:rPr>
                <w:color w:val="auto"/>
                <w:szCs w:val="21"/>
              </w:rPr>
              <w:t>必须做好环保</w:t>
            </w:r>
            <w:r>
              <w:rPr>
                <w:rFonts w:hint="eastAsia"/>
                <w:color w:val="auto"/>
                <w:szCs w:val="21"/>
                <w:lang w:eastAsia="zh-CN"/>
              </w:rPr>
              <w:t>“</w:t>
            </w:r>
            <w:r>
              <w:rPr>
                <w:color w:val="auto"/>
                <w:szCs w:val="21"/>
              </w:rPr>
              <w:t>三同时</w:t>
            </w:r>
            <w:r>
              <w:rPr>
                <w:rFonts w:hint="eastAsia"/>
                <w:color w:val="auto"/>
                <w:szCs w:val="21"/>
                <w:lang w:eastAsia="zh-CN"/>
              </w:rPr>
              <w:t>”</w:t>
            </w:r>
            <w:r>
              <w:rPr>
                <w:color w:val="auto"/>
                <w:szCs w:val="21"/>
              </w:rPr>
              <w:t>工作，加强对职工的安全和环保教育，进行生产过程中环境保护的培训，形成良好的环境保护意识。</w:t>
            </w:r>
          </w:p>
          <w:p w14:paraId="49930F0A">
            <w:pPr>
              <w:spacing w:line="360" w:lineRule="auto"/>
              <w:ind w:firstLine="420" w:firstLineChars="200"/>
              <w:rPr>
                <w:color w:val="auto"/>
                <w:szCs w:val="21"/>
              </w:rPr>
            </w:pPr>
            <w:r>
              <w:rPr>
                <w:color w:val="auto"/>
                <w:szCs w:val="21"/>
              </w:rPr>
              <w:t>（2）环境管理人员</w:t>
            </w:r>
          </w:p>
          <w:p w14:paraId="2E874295">
            <w:pPr>
              <w:spacing w:line="360" w:lineRule="auto"/>
              <w:ind w:firstLine="420" w:firstLineChars="200"/>
              <w:rPr>
                <w:color w:val="auto"/>
                <w:szCs w:val="21"/>
              </w:rPr>
            </w:pPr>
            <w:r>
              <w:rPr>
                <w:color w:val="auto"/>
                <w:szCs w:val="21"/>
              </w:rPr>
              <w:t>设立专门的环保机构，由厂内专职管理技术人员兼职环保工作，具体负责环保设施的运行、检查、维护等工作。</w:t>
            </w:r>
            <w:r>
              <w:rPr>
                <w:rFonts w:hint="eastAsia"/>
                <w:color w:val="auto"/>
                <w:szCs w:val="21"/>
                <w:lang w:eastAsia="zh-CN"/>
              </w:rPr>
              <w:t>建立健全</w:t>
            </w:r>
            <w:r>
              <w:rPr>
                <w:color w:val="auto"/>
                <w:szCs w:val="21"/>
              </w:rPr>
              <w:t>环境管理制度，改善厂区环境。</w:t>
            </w:r>
          </w:p>
          <w:p w14:paraId="06699BA4">
            <w:pPr>
              <w:wordWrap w:val="0"/>
              <w:topLinePunct/>
              <w:adjustRightInd w:val="0"/>
              <w:snapToGrid w:val="0"/>
              <w:spacing w:line="360" w:lineRule="auto"/>
              <w:ind w:firstLine="422" w:firstLineChars="200"/>
              <w:rPr>
                <w:b/>
                <w:bCs/>
                <w:color w:val="auto"/>
                <w:szCs w:val="21"/>
                <w:lang w:val="en-GB"/>
              </w:rPr>
            </w:pPr>
            <w:r>
              <w:rPr>
                <w:rFonts w:hint="eastAsia"/>
                <w:b/>
                <w:bCs/>
                <w:color w:val="auto"/>
                <w:szCs w:val="21"/>
                <w:lang w:val="en-US" w:eastAsia="zh-CN"/>
              </w:rPr>
              <w:t>2</w:t>
            </w:r>
            <w:r>
              <w:rPr>
                <w:rFonts w:hint="eastAsia"/>
                <w:b/>
                <w:bCs/>
                <w:color w:val="auto"/>
                <w:szCs w:val="21"/>
              </w:rPr>
              <w:t>、</w:t>
            </w:r>
            <w:r>
              <w:rPr>
                <w:rFonts w:hint="eastAsia"/>
                <w:b/>
                <w:bCs/>
                <w:color w:val="auto"/>
                <w:szCs w:val="21"/>
                <w:lang w:val="en-GB"/>
              </w:rPr>
              <w:t>与排污许可证的衔接：</w:t>
            </w:r>
          </w:p>
          <w:p w14:paraId="47DEDBE9">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highlight w:val="none"/>
              </w:rPr>
              <w:t>根据《固定污染源排污许可分类管理名录（2019年版）》（生态环境部第11号）可知，</w:t>
            </w:r>
            <w:r>
              <w:rPr>
                <w:rFonts w:hint="default" w:ascii="Times New Roman" w:hAnsi="Times New Roman" w:eastAsia="宋体" w:cs="Times New Roman"/>
                <w:bCs/>
                <w:color w:val="auto"/>
                <w:highlight w:val="none"/>
              </w:rPr>
              <w:t>本项目属于《固定污染源排污许可分类管理名录（2019年版）》中</w:t>
            </w:r>
            <w:r>
              <w:rPr>
                <w:rFonts w:hint="eastAsia" w:ascii="Times New Roman" w:hAnsi="Times New Roman" w:eastAsia="宋体" w:cs="Times New Roman"/>
                <w:bCs/>
                <w:color w:val="auto"/>
                <w:highlight w:val="none"/>
                <w:lang w:eastAsia="zh-CN"/>
              </w:rPr>
              <w:t>“</w:t>
            </w:r>
            <w:r>
              <w:rPr>
                <w:rFonts w:hint="eastAsia"/>
                <w:color w:val="auto"/>
                <w:szCs w:val="21"/>
                <w:highlight w:val="none"/>
              </w:rPr>
              <w:t>三十</w:t>
            </w:r>
            <w:r>
              <w:rPr>
                <w:rFonts w:hint="eastAsia"/>
                <w:color w:val="auto"/>
                <w:szCs w:val="21"/>
                <w:highlight w:val="none"/>
                <w:lang w:eastAsia="zh-CN"/>
              </w:rPr>
              <w:t>三</w:t>
            </w:r>
            <w:r>
              <w:rPr>
                <w:rFonts w:hint="eastAsia"/>
                <w:color w:val="auto"/>
                <w:szCs w:val="21"/>
                <w:highlight w:val="none"/>
              </w:rPr>
              <w:t>、</w:t>
            </w:r>
            <w:r>
              <w:rPr>
                <w:rFonts w:hint="eastAsia"/>
                <w:color w:val="auto"/>
                <w:szCs w:val="21"/>
                <w:highlight w:val="none"/>
                <w:lang w:eastAsia="zh-CN"/>
              </w:rPr>
              <w:t>电气机械和器材制造业</w:t>
            </w:r>
            <w:r>
              <w:rPr>
                <w:rFonts w:hint="eastAsia"/>
                <w:color w:val="auto"/>
                <w:szCs w:val="21"/>
                <w:highlight w:val="none"/>
              </w:rPr>
              <w:t>3</w:t>
            </w:r>
            <w:r>
              <w:rPr>
                <w:rFonts w:hint="eastAsia"/>
                <w:color w:val="auto"/>
                <w:szCs w:val="21"/>
                <w:highlight w:val="none"/>
                <w:lang w:val="en-US" w:eastAsia="zh-CN"/>
              </w:rPr>
              <w:t>8</w:t>
            </w:r>
            <w:r>
              <w:rPr>
                <w:rFonts w:hint="eastAsia" w:ascii="Times New Roman" w:hAnsi="Times New Roman" w:eastAsia="宋体" w:cs="Times New Roman"/>
                <w:bCs/>
                <w:color w:val="auto"/>
                <w:highlight w:val="none"/>
                <w:lang w:eastAsia="zh-CN"/>
              </w:rPr>
              <w:t>——</w:t>
            </w:r>
            <w:r>
              <w:rPr>
                <w:rFonts w:hint="eastAsia"/>
                <w:color w:val="auto"/>
                <w:szCs w:val="21"/>
                <w:highlight w:val="none"/>
                <w:lang w:eastAsia="zh-CN"/>
              </w:rPr>
              <w:t>其他</w:t>
            </w:r>
            <w:r>
              <w:rPr>
                <w:rFonts w:hint="eastAsia" w:ascii="Times New Roman" w:hAnsi="Times New Roman" w:eastAsia="宋体" w:cs="Times New Roman"/>
                <w:bCs/>
                <w:color w:val="auto"/>
                <w:highlight w:val="none"/>
                <w:lang w:eastAsia="zh-CN"/>
              </w:rPr>
              <w:t>”</w:t>
            </w:r>
            <w:r>
              <w:rPr>
                <w:rFonts w:hint="default" w:ascii="Times New Roman" w:hAnsi="Times New Roman" w:eastAsia="宋体" w:cs="Times New Roman"/>
                <w:bCs/>
                <w:color w:val="auto"/>
                <w:highlight w:val="none"/>
                <w:lang w:eastAsia="zh-CN"/>
              </w:rPr>
              <w:t>，</w:t>
            </w:r>
            <w:r>
              <w:rPr>
                <w:rFonts w:hint="default" w:ascii="Times New Roman" w:hAnsi="Times New Roman" w:eastAsia="宋体" w:cs="Times New Roman"/>
                <w:bCs/>
                <w:color w:val="auto"/>
                <w:highlight w:val="none"/>
              </w:rPr>
              <w:t>本项目应当进行</w:t>
            </w:r>
            <w:r>
              <w:rPr>
                <w:rFonts w:hint="eastAsia" w:cs="Times New Roman"/>
                <w:bCs/>
                <w:color w:val="auto"/>
                <w:highlight w:val="none"/>
                <w:lang w:eastAsia="zh-CN"/>
              </w:rPr>
              <w:t>登记</w:t>
            </w:r>
            <w:r>
              <w:rPr>
                <w:rFonts w:hint="default" w:ascii="Times New Roman" w:hAnsi="Times New Roman" w:eastAsia="宋体" w:cs="Times New Roman"/>
                <w:bCs/>
                <w:color w:val="auto"/>
                <w:highlight w:val="none"/>
              </w:rPr>
              <w:t>管理</w:t>
            </w:r>
            <w:r>
              <w:rPr>
                <w:rFonts w:hint="eastAsia" w:ascii="Times New Roman" w:hAnsi="Times New Roman" w:cs="Times New Roman"/>
                <w:bCs/>
                <w:color w:val="auto"/>
                <w:highlight w:val="none"/>
                <w:lang w:eastAsia="zh-CN"/>
              </w:rPr>
              <w:t>，</w:t>
            </w:r>
            <w:r>
              <w:rPr>
                <w:rFonts w:hint="default" w:ascii="Times New Roman" w:hAnsi="Times New Roman" w:cs="Times New Roman"/>
                <w:bCs/>
                <w:color w:val="auto"/>
                <w:highlight w:val="none"/>
                <w:lang w:eastAsia="zh-CN"/>
              </w:rPr>
              <w:t>建设单位应当在启动生产设施或者发生实际排污之前在全国排污许可证管理信息平台进行排污许可登记。</w:t>
            </w:r>
          </w:p>
          <w:p w14:paraId="032DE1F0">
            <w:pPr>
              <w:pStyle w:val="27"/>
              <w:widowControl w:val="0"/>
              <w:spacing w:before="0" w:beforeAutospacing="0" w:after="0" w:afterAutospacing="0"/>
              <w:ind w:firstLine="0" w:firstLineChars="0"/>
              <w:jc w:val="center"/>
              <w:rPr>
                <w:rFonts w:ascii="Times New Roman" w:hAnsi="Times New Roman"/>
                <w:b/>
                <w:color w:val="auto"/>
                <w:szCs w:val="24"/>
                <w:highlight w:val="none"/>
              </w:rPr>
            </w:pPr>
          </w:p>
          <w:p w14:paraId="72F87B0E">
            <w:pPr>
              <w:pStyle w:val="27"/>
              <w:widowControl w:val="0"/>
              <w:spacing w:before="0" w:beforeAutospacing="0" w:after="0" w:afterAutospacing="0"/>
              <w:ind w:firstLine="0" w:firstLineChars="0"/>
              <w:jc w:val="center"/>
              <w:rPr>
                <w:rFonts w:ascii="Times New Roman" w:hAnsi="Times New Roman"/>
                <w:b/>
                <w:color w:val="auto"/>
                <w:szCs w:val="24"/>
                <w:highlight w:val="none"/>
              </w:rPr>
            </w:pPr>
          </w:p>
          <w:p w14:paraId="2F03C996">
            <w:pPr>
              <w:pStyle w:val="27"/>
              <w:widowControl w:val="0"/>
              <w:spacing w:before="0" w:beforeAutospacing="0" w:after="0" w:afterAutospacing="0"/>
              <w:ind w:firstLine="0" w:firstLineChars="0"/>
              <w:jc w:val="center"/>
              <w:rPr>
                <w:rFonts w:ascii="Times New Roman" w:hAnsi="Times New Roman"/>
                <w:b/>
                <w:color w:val="auto"/>
                <w:szCs w:val="24"/>
                <w:highlight w:val="none"/>
              </w:rPr>
            </w:pPr>
            <w:r>
              <w:rPr>
                <w:rFonts w:ascii="Times New Roman" w:hAnsi="Times New Roman"/>
                <w:b/>
                <w:color w:val="auto"/>
                <w:szCs w:val="24"/>
                <w:highlight w:val="none"/>
              </w:rPr>
              <w:t>表</w:t>
            </w:r>
            <w:r>
              <w:rPr>
                <w:rFonts w:hint="eastAsia" w:ascii="Times New Roman" w:hAnsi="Times New Roman"/>
                <w:b/>
                <w:color w:val="auto"/>
                <w:szCs w:val="24"/>
                <w:highlight w:val="none"/>
              </w:rPr>
              <w:t>1</w:t>
            </w:r>
            <w:r>
              <w:rPr>
                <w:rFonts w:ascii="Times New Roman" w:hAnsi="Times New Roman"/>
                <w:b/>
                <w:color w:val="auto"/>
                <w:szCs w:val="24"/>
                <w:highlight w:val="none"/>
              </w:rPr>
              <w:t>-1固定污染源排污许可分类管理名录</w:t>
            </w:r>
            <w:r>
              <w:rPr>
                <w:rFonts w:hint="eastAsia" w:ascii="Times New Roman" w:hAnsi="Times New Roman"/>
                <w:b/>
                <w:color w:val="auto"/>
                <w:szCs w:val="24"/>
                <w:highlight w:val="none"/>
              </w:rPr>
              <w:t>（</w:t>
            </w:r>
            <w:r>
              <w:rPr>
                <w:rFonts w:ascii="Times New Roman" w:hAnsi="Times New Roman"/>
                <w:b/>
                <w:color w:val="auto"/>
                <w:szCs w:val="24"/>
                <w:highlight w:val="none"/>
              </w:rPr>
              <w:t>摘录</w:t>
            </w:r>
            <w:r>
              <w:rPr>
                <w:rFonts w:hint="eastAsia" w:ascii="Times New Roman" w:hAnsi="Times New Roman"/>
                <w:b/>
                <w:color w:val="auto"/>
                <w:szCs w:val="24"/>
                <w:highlight w:val="none"/>
              </w:rPr>
              <w:t>）</w:t>
            </w:r>
          </w:p>
          <w:tbl>
            <w:tblPr>
              <w:tblStyle w:val="31"/>
              <w:tblW w:w="727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79" w:type="dxa"/>
                <w:bottom w:w="0" w:type="dxa"/>
                <w:right w:w="79" w:type="dxa"/>
              </w:tblCellMar>
            </w:tblPr>
            <w:tblGrid>
              <w:gridCol w:w="632"/>
              <w:gridCol w:w="2761"/>
              <w:gridCol w:w="1406"/>
              <w:gridCol w:w="1357"/>
              <w:gridCol w:w="1122"/>
            </w:tblGrid>
            <w:tr w14:paraId="2BD113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79" w:type="dxa"/>
                  <w:bottom w:w="0" w:type="dxa"/>
                  <w:right w:w="79" w:type="dxa"/>
                </w:tblCellMar>
              </w:tblPrEx>
              <w:trPr>
                <w:trHeight w:val="499" w:hRule="atLeast"/>
                <w:jc w:val="center"/>
              </w:trPr>
              <w:tc>
                <w:tcPr>
                  <w:tcW w:w="632" w:type="dxa"/>
                  <w:tcBorders>
                    <w:tl2br w:val="nil"/>
                    <w:tr2bl w:val="nil"/>
                  </w:tcBorders>
                  <w:shd w:val="clear" w:color="auto" w:fill="auto"/>
                  <w:vAlign w:val="center"/>
                </w:tcPr>
                <w:p w14:paraId="408A3224">
                  <w:pPr>
                    <w:pStyle w:val="113"/>
                    <w:snapToGrid w:val="0"/>
                    <w:spacing w:line="340" w:lineRule="exact"/>
                    <w:jc w:val="center"/>
                    <w:rPr>
                      <w:rFonts w:ascii="Times New Roman" w:hAnsi="Times New Roman" w:eastAsia="宋体"/>
                      <w:b/>
                      <w:bCs/>
                      <w:color w:val="auto"/>
                      <w:szCs w:val="21"/>
                      <w:highlight w:val="none"/>
                    </w:rPr>
                  </w:pPr>
                  <w:r>
                    <w:rPr>
                      <w:rFonts w:ascii="Times New Roman" w:hAnsi="Times New Roman" w:eastAsia="宋体"/>
                      <w:b/>
                      <w:bCs/>
                      <w:color w:val="auto"/>
                      <w:szCs w:val="21"/>
                      <w:highlight w:val="none"/>
                    </w:rPr>
                    <w:t>序号</w:t>
                  </w:r>
                </w:p>
              </w:tc>
              <w:tc>
                <w:tcPr>
                  <w:tcW w:w="2761" w:type="dxa"/>
                  <w:tcBorders>
                    <w:tl2br w:val="nil"/>
                    <w:tr2bl w:val="nil"/>
                  </w:tcBorders>
                  <w:shd w:val="clear" w:color="auto" w:fill="auto"/>
                  <w:vAlign w:val="center"/>
                </w:tcPr>
                <w:p w14:paraId="2C8A3DCB">
                  <w:pPr>
                    <w:pStyle w:val="113"/>
                    <w:snapToGrid w:val="0"/>
                    <w:spacing w:line="340" w:lineRule="exact"/>
                    <w:jc w:val="center"/>
                    <w:rPr>
                      <w:rFonts w:ascii="Times New Roman" w:hAnsi="Times New Roman" w:eastAsia="宋体"/>
                      <w:b/>
                      <w:bCs/>
                      <w:color w:val="auto"/>
                      <w:szCs w:val="21"/>
                      <w:highlight w:val="none"/>
                    </w:rPr>
                  </w:pPr>
                  <w:r>
                    <w:rPr>
                      <w:rFonts w:ascii="Times New Roman" w:hAnsi="Times New Roman" w:eastAsia="宋体"/>
                      <w:b/>
                      <w:bCs/>
                      <w:color w:val="auto"/>
                      <w:szCs w:val="21"/>
                      <w:highlight w:val="none"/>
                    </w:rPr>
                    <w:t>行业类别</w:t>
                  </w:r>
                </w:p>
              </w:tc>
              <w:tc>
                <w:tcPr>
                  <w:tcW w:w="1406" w:type="dxa"/>
                  <w:tcBorders>
                    <w:tl2br w:val="nil"/>
                    <w:tr2bl w:val="nil"/>
                  </w:tcBorders>
                  <w:shd w:val="clear" w:color="auto" w:fill="auto"/>
                  <w:vAlign w:val="center"/>
                </w:tcPr>
                <w:p w14:paraId="3067FF99">
                  <w:pPr>
                    <w:pStyle w:val="113"/>
                    <w:snapToGrid w:val="0"/>
                    <w:spacing w:line="340" w:lineRule="exact"/>
                    <w:jc w:val="center"/>
                    <w:rPr>
                      <w:rFonts w:ascii="Times New Roman" w:hAnsi="Times New Roman" w:eastAsia="宋体"/>
                      <w:b/>
                      <w:bCs/>
                      <w:color w:val="auto"/>
                      <w:szCs w:val="21"/>
                      <w:highlight w:val="none"/>
                    </w:rPr>
                  </w:pPr>
                  <w:r>
                    <w:rPr>
                      <w:rFonts w:ascii="Times New Roman" w:hAnsi="Times New Roman" w:eastAsia="宋体"/>
                      <w:b/>
                      <w:bCs/>
                      <w:color w:val="auto"/>
                      <w:szCs w:val="21"/>
                      <w:highlight w:val="none"/>
                    </w:rPr>
                    <w:t>重点管理</w:t>
                  </w:r>
                </w:p>
              </w:tc>
              <w:tc>
                <w:tcPr>
                  <w:tcW w:w="1357" w:type="dxa"/>
                  <w:tcBorders>
                    <w:tl2br w:val="nil"/>
                    <w:tr2bl w:val="nil"/>
                  </w:tcBorders>
                  <w:shd w:val="clear" w:color="auto" w:fill="FFFFFF" w:themeFill="background1"/>
                  <w:vAlign w:val="center"/>
                </w:tcPr>
                <w:p w14:paraId="740A1039">
                  <w:pPr>
                    <w:pStyle w:val="113"/>
                    <w:snapToGrid w:val="0"/>
                    <w:spacing w:line="340" w:lineRule="exact"/>
                    <w:jc w:val="center"/>
                    <w:rPr>
                      <w:rFonts w:ascii="Times New Roman" w:hAnsi="Times New Roman" w:eastAsia="宋体"/>
                      <w:b/>
                      <w:bCs/>
                      <w:color w:val="auto"/>
                      <w:szCs w:val="21"/>
                      <w:highlight w:val="none"/>
                    </w:rPr>
                  </w:pPr>
                  <w:r>
                    <w:rPr>
                      <w:rFonts w:ascii="Times New Roman" w:hAnsi="Times New Roman" w:eastAsia="宋体"/>
                      <w:b/>
                      <w:bCs/>
                      <w:color w:val="auto"/>
                      <w:szCs w:val="21"/>
                      <w:highlight w:val="none"/>
                    </w:rPr>
                    <w:t>简化管理</w:t>
                  </w:r>
                </w:p>
              </w:tc>
              <w:tc>
                <w:tcPr>
                  <w:tcW w:w="1122" w:type="dxa"/>
                  <w:tcBorders>
                    <w:tl2br w:val="nil"/>
                    <w:tr2bl w:val="nil"/>
                  </w:tcBorders>
                  <w:shd w:val="clear" w:color="auto" w:fill="D7D7D7" w:themeFill="background1" w:themeFillShade="D8"/>
                  <w:vAlign w:val="center"/>
                </w:tcPr>
                <w:p w14:paraId="03145ED2">
                  <w:pPr>
                    <w:pStyle w:val="113"/>
                    <w:snapToGrid w:val="0"/>
                    <w:spacing w:line="340" w:lineRule="exact"/>
                    <w:jc w:val="center"/>
                    <w:rPr>
                      <w:rFonts w:ascii="Times New Roman" w:hAnsi="Times New Roman" w:eastAsia="宋体"/>
                      <w:b/>
                      <w:bCs/>
                      <w:color w:val="auto"/>
                      <w:szCs w:val="21"/>
                      <w:highlight w:val="none"/>
                    </w:rPr>
                  </w:pPr>
                  <w:r>
                    <w:rPr>
                      <w:rFonts w:ascii="Times New Roman" w:hAnsi="Times New Roman" w:eastAsia="宋体"/>
                      <w:b/>
                      <w:bCs/>
                      <w:color w:val="auto"/>
                      <w:szCs w:val="21"/>
                      <w:highlight w:val="none"/>
                    </w:rPr>
                    <w:t>登记管理</w:t>
                  </w:r>
                </w:p>
              </w:tc>
            </w:tr>
            <w:tr w14:paraId="638592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79" w:type="dxa"/>
                  <w:bottom w:w="0" w:type="dxa"/>
                  <w:right w:w="79" w:type="dxa"/>
                </w:tblCellMar>
              </w:tblPrEx>
              <w:trPr>
                <w:trHeight w:val="374" w:hRule="atLeast"/>
                <w:jc w:val="center"/>
              </w:trPr>
              <w:tc>
                <w:tcPr>
                  <w:tcW w:w="7278" w:type="dxa"/>
                  <w:gridSpan w:val="5"/>
                  <w:tcBorders>
                    <w:tl2br w:val="nil"/>
                    <w:tr2bl w:val="nil"/>
                  </w:tcBorders>
                  <w:shd w:val="clear" w:color="auto" w:fill="D7D7D7" w:themeFill="background1" w:themeFillShade="D8"/>
                  <w:vAlign w:val="center"/>
                </w:tcPr>
                <w:p w14:paraId="1F85B319">
                  <w:pPr>
                    <w:pStyle w:val="113"/>
                    <w:snapToGrid w:val="0"/>
                    <w:spacing w:line="340" w:lineRule="exact"/>
                    <w:rPr>
                      <w:rFonts w:hint="eastAsia" w:ascii="Times New Roman" w:hAnsi="Times New Roman" w:eastAsia="宋体"/>
                      <w:color w:val="auto"/>
                      <w:szCs w:val="21"/>
                      <w:highlight w:val="none"/>
                      <w:lang w:eastAsia="zh-CN"/>
                    </w:rPr>
                  </w:pPr>
                  <w:r>
                    <w:rPr>
                      <w:rFonts w:hint="eastAsia" w:ascii="Times New Roman" w:hAnsi="Times New Roman" w:eastAsia="宋体"/>
                      <w:b/>
                      <w:bCs/>
                      <w:color w:val="auto"/>
                      <w:szCs w:val="21"/>
                      <w:highlight w:val="none"/>
                    </w:rPr>
                    <w:t>三十</w:t>
                  </w:r>
                  <w:r>
                    <w:rPr>
                      <w:rFonts w:hint="eastAsia" w:ascii="Times New Roman" w:hAnsi="Times New Roman"/>
                      <w:b/>
                      <w:bCs/>
                      <w:color w:val="auto"/>
                      <w:szCs w:val="21"/>
                      <w:highlight w:val="none"/>
                      <w:lang w:eastAsia="zh-CN"/>
                    </w:rPr>
                    <w:t>三</w:t>
                  </w:r>
                  <w:r>
                    <w:rPr>
                      <w:rFonts w:hint="eastAsia" w:ascii="Times New Roman" w:hAnsi="Times New Roman" w:eastAsia="宋体"/>
                      <w:b/>
                      <w:bCs/>
                      <w:color w:val="auto"/>
                      <w:szCs w:val="21"/>
                      <w:highlight w:val="none"/>
                    </w:rPr>
                    <w:t>、电气机械和器材制造业3</w:t>
                  </w:r>
                  <w:r>
                    <w:rPr>
                      <w:rFonts w:hint="eastAsia" w:ascii="Times New Roman" w:hAnsi="Times New Roman"/>
                      <w:b/>
                      <w:bCs/>
                      <w:color w:val="auto"/>
                      <w:szCs w:val="21"/>
                      <w:highlight w:val="none"/>
                      <w:lang w:val="en-US" w:eastAsia="zh-CN"/>
                    </w:rPr>
                    <w:t>8</w:t>
                  </w:r>
                </w:p>
              </w:tc>
            </w:tr>
            <w:tr w14:paraId="052DA3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79" w:type="dxa"/>
                  <w:bottom w:w="0" w:type="dxa"/>
                  <w:right w:w="79" w:type="dxa"/>
                </w:tblCellMar>
              </w:tblPrEx>
              <w:trPr>
                <w:trHeight w:val="2407" w:hRule="atLeast"/>
                <w:jc w:val="center"/>
              </w:trPr>
              <w:tc>
                <w:tcPr>
                  <w:tcW w:w="632" w:type="dxa"/>
                  <w:tcBorders>
                    <w:tl2br w:val="nil"/>
                    <w:tr2bl w:val="nil"/>
                  </w:tcBorders>
                  <w:shd w:val="clear" w:color="auto" w:fill="auto"/>
                  <w:vAlign w:val="center"/>
                </w:tcPr>
                <w:p w14:paraId="3ECB533A">
                  <w:pPr>
                    <w:pStyle w:val="113"/>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olor w:val="auto"/>
                      <w:szCs w:val="21"/>
                      <w:highlight w:val="none"/>
                      <w:lang w:val="en-US" w:eastAsia="zh-CN"/>
                    </w:rPr>
                  </w:pPr>
                  <w:r>
                    <w:rPr>
                      <w:rFonts w:hint="eastAsia" w:ascii="Times New Roman" w:hAnsi="Times New Roman" w:eastAsia="宋体"/>
                      <w:color w:val="auto"/>
                      <w:szCs w:val="21"/>
                      <w:highlight w:val="none"/>
                      <w:lang w:val="en-US" w:eastAsia="zh-CN"/>
                    </w:rPr>
                    <w:t>8</w:t>
                  </w:r>
                  <w:r>
                    <w:rPr>
                      <w:rFonts w:hint="eastAsia" w:ascii="Times New Roman" w:hAnsi="Times New Roman"/>
                      <w:color w:val="auto"/>
                      <w:szCs w:val="21"/>
                      <w:highlight w:val="none"/>
                      <w:lang w:val="en-US" w:eastAsia="zh-CN"/>
                    </w:rPr>
                    <w:t>7</w:t>
                  </w:r>
                </w:p>
              </w:tc>
              <w:tc>
                <w:tcPr>
                  <w:tcW w:w="2761" w:type="dxa"/>
                  <w:tcBorders>
                    <w:tl2br w:val="nil"/>
                    <w:tr2bl w:val="nil"/>
                  </w:tcBorders>
                  <w:shd w:val="clear" w:color="auto" w:fill="auto"/>
                  <w:vAlign w:val="center"/>
                </w:tcPr>
                <w:p w14:paraId="394E6C68">
                  <w:pPr>
                    <w:pStyle w:val="113"/>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ascii="Times New Roman" w:hAnsi="Times New Roman" w:eastAsia="宋体"/>
                      <w:color w:val="auto"/>
                      <w:szCs w:val="21"/>
                      <w:highlight w:val="none"/>
                    </w:rPr>
                  </w:pPr>
                  <w:r>
                    <w:rPr>
                      <w:rFonts w:hint="eastAsia" w:ascii="Times New Roman" w:hAnsi="Times New Roman" w:eastAsia="宋体"/>
                      <w:color w:val="auto"/>
                      <w:szCs w:val="21"/>
                      <w:highlight w:val="none"/>
                    </w:rPr>
                    <w:t>电机制造381，输配电及控制设备制造382，电线、电缆、光缆及电工器材制造383，家用电力器具制造385，非电力家用器具制造386，照明器具制造387，其他电气机械及器材制造389</w:t>
                  </w:r>
                </w:p>
              </w:tc>
              <w:tc>
                <w:tcPr>
                  <w:tcW w:w="1406" w:type="dxa"/>
                  <w:tcBorders>
                    <w:tl2br w:val="nil"/>
                    <w:tr2bl w:val="nil"/>
                  </w:tcBorders>
                  <w:shd w:val="clear" w:color="auto" w:fill="auto"/>
                  <w:vAlign w:val="center"/>
                </w:tcPr>
                <w:p w14:paraId="14591FD6">
                  <w:pPr>
                    <w:pStyle w:val="113"/>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ascii="Times New Roman" w:hAnsi="Times New Roman" w:eastAsia="宋体"/>
                      <w:color w:val="auto"/>
                      <w:szCs w:val="21"/>
                      <w:highlight w:val="none"/>
                    </w:rPr>
                  </w:pPr>
                  <w:r>
                    <w:rPr>
                      <w:rFonts w:hint="eastAsia" w:ascii="Times New Roman" w:hAnsi="Times New Roman" w:eastAsia="宋体"/>
                      <w:color w:val="auto"/>
                      <w:szCs w:val="21"/>
                      <w:highlight w:val="none"/>
                    </w:rPr>
                    <w:t>涉及通用工序重点管理的</w:t>
                  </w:r>
                </w:p>
              </w:tc>
              <w:tc>
                <w:tcPr>
                  <w:tcW w:w="1357" w:type="dxa"/>
                  <w:tcBorders>
                    <w:tl2br w:val="nil"/>
                    <w:tr2bl w:val="nil"/>
                  </w:tcBorders>
                  <w:shd w:val="clear" w:color="auto" w:fill="FFFFFF" w:themeFill="background1"/>
                  <w:vAlign w:val="center"/>
                </w:tcPr>
                <w:p w14:paraId="17C403D7">
                  <w:pPr>
                    <w:keepNext w:val="0"/>
                    <w:keepLines w:val="0"/>
                    <w:widowControl/>
                    <w:suppressLineNumbers w:val="0"/>
                    <w:jc w:val="center"/>
                    <w:rPr>
                      <w:rFonts w:ascii="Times New Roman" w:hAnsi="Times New Roman" w:eastAsia="宋体"/>
                      <w:color w:val="auto"/>
                      <w:szCs w:val="21"/>
                      <w:highlight w:val="none"/>
                    </w:rPr>
                  </w:pPr>
                  <w:r>
                    <w:rPr>
                      <w:rFonts w:hint="eastAsia" w:ascii="宋体" w:hAnsi="宋体" w:eastAsia="宋体" w:cs="宋体"/>
                      <w:color w:val="auto"/>
                      <w:kern w:val="0"/>
                      <w:sz w:val="21"/>
                      <w:szCs w:val="21"/>
                      <w:lang w:val="en-US" w:eastAsia="zh-CN" w:bidi="ar"/>
                    </w:rPr>
                    <w:t>涉及通用工序简化管理的</w:t>
                  </w:r>
                </w:p>
              </w:tc>
              <w:tc>
                <w:tcPr>
                  <w:tcW w:w="1122" w:type="dxa"/>
                  <w:tcBorders>
                    <w:tl2br w:val="nil"/>
                    <w:tr2bl w:val="nil"/>
                  </w:tcBorders>
                  <w:shd w:val="clear" w:color="auto" w:fill="D7D7D7" w:themeFill="background1" w:themeFillShade="D8"/>
                  <w:vAlign w:val="center"/>
                </w:tcPr>
                <w:p w14:paraId="2B9B62EE">
                  <w:pPr>
                    <w:pStyle w:val="113"/>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Times New Roman" w:hAnsi="Times New Roman" w:eastAsia="宋体"/>
                      <w:color w:val="auto"/>
                      <w:szCs w:val="21"/>
                      <w:highlight w:val="none"/>
                      <w:lang w:eastAsia="zh-CN"/>
                    </w:rPr>
                  </w:pPr>
                  <w:r>
                    <w:rPr>
                      <w:rFonts w:hint="eastAsia" w:ascii="Times New Roman" w:hAnsi="Times New Roman" w:eastAsia="宋体"/>
                      <w:color w:val="auto"/>
                      <w:szCs w:val="21"/>
                      <w:highlight w:val="none"/>
                      <w:lang w:eastAsia="zh-CN"/>
                    </w:rPr>
                    <w:t>其他</w:t>
                  </w:r>
                </w:p>
              </w:tc>
            </w:tr>
          </w:tbl>
          <w:p w14:paraId="06CF70F8">
            <w:pPr>
              <w:autoSpaceDE w:val="0"/>
              <w:autoSpaceDN w:val="0"/>
              <w:adjustRightInd w:val="0"/>
              <w:snapToGrid w:val="0"/>
              <w:spacing w:before="120" w:beforeLines="50" w:line="360" w:lineRule="auto"/>
              <w:ind w:firstLine="422" w:firstLineChars="200"/>
              <w:rPr>
                <w:b/>
                <w:bCs/>
                <w:color w:val="auto"/>
                <w:kern w:val="0"/>
                <w:szCs w:val="21"/>
                <w:lang w:val="en-GB"/>
              </w:rPr>
            </w:pPr>
            <w:r>
              <w:rPr>
                <w:rFonts w:hint="eastAsia"/>
                <w:b/>
                <w:bCs/>
                <w:color w:val="auto"/>
                <w:kern w:val="0"/>
                <w:szCs w:val="21"/>
                <w:lang w:val="en-US" w:eastAsia="zh-CN"/>
              </w:rPr>
              <w:t>3</w:t>
            </w:r>
            <w:r>
              <w:rPr>
                <w:rFonts w:hint="eastAsia"/>
                <w:b/>
                <w:bCs/>
                <w:color w:val="auto"/>
                <w:kern w:val="0"/>
                <w:szCs w:val="21"/>
              </w:rPr>
              <w:t>、</w:t>
            </w:r>
            <w:r>
              <w:rPr>
                <w:rFonts w:hint="eastAsia"/>
                <w:b/>
                <w:bCs/>
                <w:color w:val="auto"/>
                <w:kern w:val="0"/>
                <w:szCs w:val="21"/>
                <w:lang w:val="en-GB"/>
              </w:rPr>
              <w:t>环保竣工验收要求：</w:t>
            </w:r>
          </w:p>
          <w:p w14:paraId="1B292C66">
            <w:pPr>
              <w:adjustRightInd w:val="0"/>
              <w:snapToGrid w:val="0"/>
              <w:spacing w:line="360" w:lineRule="auto"/>
              <w:ind w:firstLine="420" w:firstLineChars="200"/>
              <w:rPr>
                <w:color w:val="auto"/>
                <w:szCs w:val="21"/>
              </w:rPr>
            </w:pPr>
            <w:r>
              <w:rPr>
                <w:rFonts w:hint="eastAsia"/>
                <w:color w:val="auto"/>
                <w:szCs w:val="21"/>
              </w:rPr>
              <w:t>根据《建设项目竣工环境保护验收暂行办法》（国环规环评</w:t>
            </w:r>
            <w:r>
              <w:rPr>
                <w:rFonts w:hint="eastAsia"/>
                <w:color w:val="auto"/>
                <w:szCs w:val="21"/>
                <w:lang w:eastAsia="zh-CN"/>
              </w:rPr>
              <w:t>〔2017〕4号</w:t>
            </w:r>
            <w:r>
              <w:rPr>
                <w:rFonts w:hint="eastAsia"/>
                <w:color w:val="auto"/>
                <w:szCs w:val="21"/>
              </w:rPr>
              <w:t>）第十二条：除需要取得排污许可证的水和大气污染防治设施外，其他环境保护设施的验收期限一般不超过3个月。需要对该类环境保护设施进行调试或者整改的，验收期限可以适当延期，但最长不超过12个月。验收期限是指自建设项目环境保护设施竣工之日起至建设单位向社会公开验收报告之日止的时间。</w:t>
            </w:r>
          </w:p>
          <w:p w14:paraId="5AD38AFB">
            <w:pPr>
              <w:autoSpaceDE w:val="0"/>
              <w:autoSpaceDN w:val="0"/>
              <w:adjustRightInd w:val="0"/>
              <w:snapToGrid w:val="0"/>
              <w:spacing w:line="360" w:lineRule="auto"/>
              <w:ind w:firstLine="422" w:firstLineChars="200"/>
              <w:rPr>
                <w:b/>
                <w:bCs/>
                <w:color w:val="auto"/>
                <w:kern w:val="0"/>
                <w:szCs w:val="21"/>
              </w:rPr>
            </w:pPr>
            <w:r>
              <w:rPr>
                <w:rFonts w:hint="eastAsia"/>
                <w:b/>
                <w:bCs/>
                <w:color w:val="auto"/>
                <w:kern w:val="0"/>
                <w:szCs w:val="21"/>
                <w:lang w:val="en-US" w:eastAsia="zh-CN"/>
              </w:rPr>
              <w:t>4</w:t>
            </w:r>
            <w:r>
              <w:rPr>
                <w:rFonts w:hint="eastAsia"/>
                <w:b/>
                <w:bCs/>
                <w:color w:val="auto"/>
                <w:kern w:val="0"/>
                <w:szCs w:val="21"/>
              </w:rPr>
              <w:t>、</w:t>
            </w:r>
            <w:r>
              <w:rPr>
                <w:rFonts w:hint="eastAsia"/>
                <w:b/>
                <w:bCs/>
                <w:color w:val="auto"/>
                <w:kern w:val="0"/>
                <w:szCs w:val="21"/>
                <w:lang w:val="en-GB"/>
              </w:rPr>
              <w:t>规范化排污口建设</w:t>
            </w:r>
            <w:r>
              <w:rPr>
                <w:rFonts w:hint="eastAsia"/>
                <w:b/>
                <w:bCs/>
                <w:color w:val="auto"/>
                <w:kern w:val="0"/>
                <w:szCs w:val="21"/>
              </w:rPr>
              <w:t>：</w:t>
            </w:r>
          </w:p>
          <w:p w14:paraId="443EF163">
            <w:pPr>
              <w:snapToGrid w:val="0"/>
              <w:spacing w:line="360" w:lineRule="auto"/>
              <w:ind w:firstLine="384" w:firstLineChars="183"/>
              <w:rPr>
                <w:color w:val="auto"/>
                <w:szCs w:val="21"/>
              </w:rPr>
            </w:pPr>
            <w:r>
              <w:rPr>
                <w:rFonts w:hint="eastAsia"/>
                <w:color w:val="auto"/>
                <w:szCs w:val="21"/>
              </w:rPr>
              <w:t>根据《关于开展排放口规范化整治工作的通知》（国家环境保护总局环发﹝1999﹞24号）和《排放口规范化整治技术》（国家环境保护总局环发﹝1999﹞24号文</w:t>
            </w:r>
            <w:r>
              <w:rPr>
                <w:rFonts w:hint="eastAsia"/>
                <w:color w:val="auto"/>
                <w:szCs w:val="21"/>
                <w:lang w:eastAsia="zh-CN"/>
              </w:rPr>
              <w:t>）等</w:t>
            </w:r>
            <w:r>
              <w:rPr>
                <w:rFonts w:hint="eastAsia"/>
                <w:color w:val="auto"/>
                <w:szCs w:val="21"/>
              </w:rPr>
              <w:t>文件的要求，一切新建、扩建的排污单位以及限期治理的排污单位，必须在建设污染治理设施的同时，建设规范化排污口。</w:t>
            </w:r>
          </w:p>
          <w:p w14:paraId="110359FE">
            <w:pPr>
              <w:snapToGrid w:val="0"/>
              <w:spacing w:line="360" w:lineRule="auto"/>
              <w:ind w:firstLine="384" w:firstLineChars="183"/>
              <w:rPr>
                <w:color w:val="auto"/>
                <w:szCs w:val="21"/>
              </w:rPr>
            </w:pPr>
            <w:r>
              <w:rPr>
                <w:rFonts w:hint="eastAsia"/>
                <w:color w:val="auto"/>
                <w:szCs w:val="21"/>
              </w:rPr>
              <w:t>建设单位的各类排污口必须规范化建设和管理，而且规范化工作应与污染治理同步实施，即治理设施完工时，规范化工作必须同时完成，并列入污染物治理设施的验收内容。应在各水、气、声、固废排污口（源）挂牌标志，标志牌的设置要求应按《环境保护图形标志—排放口（源）》</w:t>
            </w:r>
            <w:r>
              <w:rPr>
                <w:rFonts w:hint="eastAsia"/>
                <w:color w:val="auto"/>
                <w:szCs w:val="21"/>
                <w:lang w:eastAsia="zh-CN"/>
              </w:rPr>
              <w:t>（</w:t>
            </w:r>
            <w:r>
              <w:rPr>
                <w:rFonts w:hint="eastAsia"/>
                <w:color w:val="auto"/>
                <w:szCs w:val="21"/>
              </w:rPr>
              <w:t>GB15562.1-1995</w:t>
            </w:r>
            <w:r>
              <w:rPr>
                <w:rFonts w:hint="eastAsia"/>
                <w:color w:val="auto"/>
                <w:szCs w:val="21"/>
                <w:lang w:eastAsia="zh-CN"/>
              </w:rPr>
              <w:t>）</w:t>
            </w:r>
            <w:r>
              <w:rPr>
                <w:rFonts w:hint="eastAsia"/>
                <w:color w:val="auto"/>
                <w:szCs w:val="21"/>
              </w:rPr>
              <w:t>的规定执行。标志牌必须保持清晰、完整，当发现有损坏或颜色有变化，应及时修复或更换。检查时间一年两次。</w:t>
            </w:r>
          </w:p>
          <w:p w14:paraId="1A60EBF5">
            <w:pPr>
              <w:snapToGrid w:val="0"/>
              <w:jc w:val="center"/>
              <w:rPr>
                <w:b/>
                <w:bCs/>
                <w:color w:val="auto"/>
                <w:szCs w:val="21"/>
              </w:rPr>
            </w:pPr>
            <w:r>
              <w:rPr>
                <w:b/>
                <w:bCs/>
                <w:color w:val="auto"/>
                <w:szCs w:val="21"/>
              </w:rPr>
              <w:t>表5-1排放口图形标识</w:t>
            </w:r>
          </w:p>
          <w:tbl>
            <w:tblPr>
              <w:tblStyle w:val="31"/>
              <w:tblW w:w="7336" w:type="dxa"/>
              <w:jc w:val="center"/>
              <w:tblBorders>
                <w:top w:val="none" w:color="auto" w:sz="0" w:space="0"/>
                <w:left w:val="none" w:color="auto" w:sz="0" w:space="0"/>
                <w:bottom w:val="none" w:color="auto" w:sz="0"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1383"/>
              <w:gridCol w:w="1268"/>
              <w:gridCol w:w="1155"/>
              <w:gridCol w:w="1155"/>
              <w:gridCol w:w="1257"/>
              <w:gridCol w:w="1118"/>
            </w:tblGrid>
            <w:tr w14:paraId="46261A34">
              <w:tblPrEx>
                <w:tblBorders>
                  <w:top w:val="none" w:color="auto" w:sz="0" w:space="0"/>
                  <w:left w:val="none" w:color="auto" w:sz="0" w:space="0"/>
                  <w:bottom w:val="none" w:color="auto" w:sz="0" w:space="0"/>
                  <w:right w:val="none" w:color="auto" w:sz="0" w:space="0"/>
                  <w:insideH w:val="single" w:color="000000" w:sz="6" w:space="0"/>
                  <w:insideV w:val="single" w:color="000000" w:sz="6" w:space="0"/>
                </w:tblBorders>
                <w:tblCellMar>
                  <w:top w:w="0" w:type="dxa"/>
                  <w:left w:w="108" w:type="dxa"/>
                  <w:bottom w:w="0" w:type="dxa"/>
                  <w:right w:w="108" w:type="dxa"/>
                </w:tblCellMar>
              </w:tblPrEx>
              <w:trPr>
                <w:cantSplit/>
                <w:trHeight w:val="715" w:hRule="atLeast"/>
                <w:jc w:val="center"/>
              </w:trPr>
              <w:tc>
                <w:tcPr>
                  <w:tcW w:w="1383" w:type="dxa"/>
                  <w:tcBorders>
                    <w:top w:val="single" w:color="auto" w:sz="12" w:space="0"/>
                    <w:left w:val="nil"/>
                    <w:bottom w:val="single" w:color="auto" w:sz="6" w:space="0"/>
                    <w:right w:val="single" w:color="auto" w:sz="6" w:space="0"/>
                    <w:tl2br w:val="single" w:color="auto" w:sz="4" w:space="0"/>
                  </w:tcBorders>
                  <w:tcMar>
                    <w:left w:w="0" w:type="dxa"/>
                    <w:right w:w="0" w:type="dxa"/>
                  </w:tcMar>
                  <w:vAlign w:val="center"/>
                </w:tcPr>
                <w:p w14:paraId="5B17ED4D">
                  <w:pPr>
                    <w:pStyle w:val="113"/>
                    <w:snapToGrid w:val="0"/>
                    <w:spacing w:line="340" w:lineRule="exact"/>
                    <w:ind w:left="0" w:leftChars="0" w:firstLine="420" w:firstLineChars="200"/>
                    <w:rPr>
                      <w:rFonts w:ascii="Times New Roman" w:hAnsi="Times New Roman" w:eastAsia="宋体"/>
                      <w:color w:val="auto"/>
                      <w:szCs w:val="21"/>
                      <w:highlight w:val="none"/>
                      <w:lang w:val="en-GB"/>
                    </w:rPr>
                  </w:pPr>
                  <w:r>
                    <w:rPr>
                      <w:rFonts w:ascii="Times New Roman" w:hAnsi="Times New Roman" w:eastAsia="宋体"/>
                      <w:color w:val="auto"/>
                      <w:szCs w:val="21"/>
                      <w:highlight w:val="none"/>
                      <w:lang w:val="en-GB"/>
                    </w:rPr>
                    <w:t>排放部位</w:t>
                  </w:r>
                </w:p>
                <w:p w14:paraId="4E83A905">
                  <w:pPr>
                    <w:pStyle w:val="113"/>
                    <w:snapToGrid w:val="0"/>
                    <w:spacing w:line="340" w:lineRule="exact"/>
                    <w:ind w:firstLine="210" w:firstLineChars="100"/>
                    <w:rPr>
                      <w:rFonts w:ascii="Times New Roman" w:hAnsi="Times New Roman" w:eastAsia="宋体"/>
                      <w:color w:val="auto"/>
                      <w:szCs w:val="21"/>
                      <w:highlight w:val="none"/>
                      <w:lang w:val="en-GB"/>
                    </w:rPr>
                  </w:pPr>
                  <w:r>
                    <w:rPr>
                      <w:rFonts w:ascii="Times New Roman" w:hAnsi="Times New Roman" w:eastAsia="宋体"/>
                      <w:color w:val="auto"/>
                      <w:szCs w:val="21"/>
                      <w:highlight w:val="none"/>
                      <w:lang w:val="en-GB"/>
                    </w:rPr>
                    <w:t>项目</w:t>
                  </w:r>
                </w:p>
              </w:tc>
              <w:tc>
                <w:tcPr>
                  <w:tcW w:w="1268" w:type="dxa"/>
                  <w:tcBorders>
                    <w:top w:val="single" w:color="auto" w:sz="12" w:space="0"/>
                    <w:left w:val="single" w:color="auto" w:sz="6" w:space="0"/>
                    <w:bottom w:val="single" w:color="auto" w:sz="6" w:space="0"/>
                    <w:right w:val="single" w:color="auto" w:sz="6" w:space="0"/>
                  </w:tcBorders>
                  <w:tcMar>
                    <w:top w:w="0" w:type="dxa"/>
                    <w:left w:w="0" w:type="dxa"/>
                    <w:bottom w:w="0" w:type="dxa"/>
                    <w:right w:w="0" w:type="dxa"/>
                  </w:tcMar>
                  <w:vAlign w:val="center"/>
                </w:tcPr>
                <w:p w14:paraId="17B64FE9">
                  <w:pPr>
                    <w:pStyle w:val="113"/>
                    <w:snapToGrid w:val="0"/>
                    <w:spacing w:line="340" w:lineRule="exact"/>
                    <w:jc w:val="center"/>
                    <w:rPr>
                      <w:rFonts w:ascii="Times New Roman" w:hAnsi="Times New Roman" w:eastAsia="宋体"/>
                      <w:color w:val="auto"/>
                      <w:szCs w:val="21"/>
                      <w:highlight w:val="none"/>
                      <w:lang w:val="en-GB"/>
                    </w:rPr>
                  </w:pPr>
                  <w:r>
                    <w:rPr>
                      <w:rFonts w:ascii="Times New Roman" w:hAnsi="Times New Roman" w:eastAsia="宋体"/>
                      <w:color w:val="auto"/>
                      <w:szCs w:val="21"/>
                      <w:highlight w:val="none"/>
                      <w:lang w:val="en-GB"/>
                    </w:rPr>
                    <w:t>污水排放口</w:t>
                  </w:r>
                </w:p>
              </w:tc>
              <w:tc>
                <w:tcPr>
                  <w:tcW w:w="1155" w:type="dxa"/>
                  <w:tcBorders>
                    <w:top w:val="single" w:color="auto" w:sz="12" w:space="0"/>
                    <w:left w:val="single" w:color="auto" w:sz="6" w:space="0"/>
                    <w:bottom w:val="single" w:color="auto" w:sz="6" w:space="0"/>
                    <w:right w:val="single" w:color="auto" w:sz="6" w:space="0"/>
                  </w:tcBorders>
                  <w:tcMar>
                    <w:top w:w="0" w:type="dxa"/>
                    <w:left w:w="0" w:type="dxa"/>
                    <w:bottom w:w="0" w:type="dxa"/>
                    <w:right w:w="0" w:type="dxa"/>
                  </w:tcMar>
                  <w:vAlign w:val="center"/>
                </w:tcPr>
                <w:p w14:paraId="6571C820">
                  <w:pPr>
                    <w:pStyle w:val="113"/>
                    <w:snapToGrid w:val="0"/>
                    <w:spacing w:line="340" w:lineRule="exact"/>
                    <w:jc w:val="center"/>
                    <w:rPr>
                      <w:rFonts w:ascii="Times New Roman" w:hAnsi="Times New Roman" w:eastAsia="宋体"/>
                      <w:color w:val="auto"/>
                      <w:szCs w:val="21"/>
                      <w:highlight w:val="none"/>
                      <w:lang w:val="en-GB"/>
                    </w:rPr>
                  </w:pPr>
                  <w:r>
                    <w:rPr>
                      <w:rFonts w:ascii="Times New Roman" w:hAnsi="Times New Roman" w:eastAsia="宋体"/>
                      <w:color w:val="auto"/>
                      <w:szCs w:val="21"/>
                      <w:highlight w:val="none"/>
                      <w:lang w:val="en-GB"/>
                    </w:rPr>
                    <w:t>废气排放口</w:t>
                  </w:r>
                </w:p>
              </w:tc>
              <w:tc>
                <w:tcPr>
                  <w:tcW w:w="1155" w:type="dxa"/>
                  <w:tcBorders>
                    <w:top w:val="single" w:color="auto" w:sz="12" w:space="0"/>
                    <w:left w:val="single" w:color="auto" w:sz="6" w:space="0"/>
                    <w:bottom w:val="single" w:color="auto" w:sz="6" w:space="0"/>
                    <w:right w:val="single" w:color="auto" w:sz="6" w:space="0"/>
                  </w:tcBorders>
                  <w:tcMar>
                    <w:top w:w="0" w:type="dxa"/>
                    <w:left w:w="0" w:type="dxa"/>
                    <w:bottom w:w="0" w:type="dxa"/>
                    <w:right w:w="0" w:type="dxa"/>
                  </w:tcMar>
                  <w:vAlign w:val="center"/>
                </w:tcPr>
                <w:p w14:paraId="7241DB7E">
                  <w:pPr>
                    <w:pStyle w:val="113"/>
                    <w:snapToGrid w:val="0"/>
                    <w:spacing w:line="340" w:lineRule="exact"/>
                    <w:jc w:val="center"/>
                    <w:rPr>
                      <w:rFonts w:ascii="Times New Roman" w:hAnsi="Times New Roman" w:eastAsia="宋体"/>
                      <w:color w:val="auto"/>
                      <w:szCs w:val="21"/>
                      <w:highlight w:val="none"/>
                      <w:lang w:val="en-GB"/>
                    </w:rPr>
                  </w:pPr>
                  <w:r>
                    <w:rPr>
                      <w:rFonts w:ascii="Times New Roman" w:hAnsi="Times New Roman" w:eastAsia="宋体"/>
                      <w:color w:val="auto"/>
                      <w:szCs w:val="21"/>
                      <w:highlight w:val="none"/>
                      <w:lang w:val="en-GB"/>
                    </w:rPr>
                    <w:t>噪声排放源</w:t>
                  </w:r>
                </w:p>
              </w:tc>
              <w:tc>
                <w:tcPr>
                  <w:tcW w:w="1257" w:type="dxa"/>
                  <w:tcBorders>
                    <w:top w:val="single" w:color="auto" w:sz="12" w:space="0"/>
                    <w:left w:val="single" w:color="auto" w:sz="6" w:space="0"/>
                    <w:bottom w:val="single" w:color="auto" w:sz="6" w:space="0"/>
                    <w:right w:val="single" w:color="auto" w:sz="6" w:space="0"/>
                  </w:tcBorders>
                  <w:tcMar>
                    <w:top w:w="0" w:type="dxa"/>
                    <w:left w:w="0" w:type="dxa"/>
                    <w:bottom w:w="0" w:type="dxa"/>
                    <w:right w:w="0" w:type="dxa"/>
                  </w:tcMar>
                  <w:vAlign w:val="center"/>
                </w:tcPr>
                <w:p w14:paraId="3772DF90">
                  <w:pPr>
                    <w:pStyle w:val="113"/>
                    <w:snapToGrid w:val="0"/>
                    <w:spacing w:line="340" w:lineRule="exact"/>
                    <w:jc w:val="center"/>
                    <w:rPr>
                      <w:rFonts w:ascii="Times New Roman" w:hAnsi="Times New Roman" w:eastAsia="宋体"/>
                      <w:color w:val="auto"/>
                      <w:szCs w:val="21"/>
                      <w:highlight w:val="none"/>
                      <w:lang w:val="en-GB"/>
                    </w:rPr>
                  </w:pPr>
                  <w:r>
                    <w:rPr>
                      <w:rFonts w:ascii="Times New Roman" w:hAnsi="Times New Roman" w:eastAsia="宋体"/>
                      <w:color w:val="auto"/>
                      <w:szCs w:val="21"/>
                      <w:highlight w:val="none"/>
                      <w:lang w:val="en-GB"/>
                    </w:rPr>
                    <w:t>一般工业固废</w:t>
                  </w:r>
                </w:p>
              </w:tc>
              <w:tc>
                <w:tcPr>
                  <w:tcW w:w="1118" w:type="dxa"/>
                  <w:tcBorders>
                    <w:top w:val="single" w:color="auto" w:sz="12" w:space="0"/>
                    <w:left w:val="single" w:color="auto" w:sz="6" w:space="0"/>
                    <w:bottom w:val="single" w:color="auto" w:sz="6" w:space="0"/>
                    <w:right w:val="nil"/>
                  </w:tcBorders>
                  <w:tcMar>
                    <w:left w:w="0" w:type="dxa"/>
                    <w:right w:w="0" w:type="dxa"/>
                  </w:tcMar>
                  <w:vAlign w:val="center"/>
                </w:tcPr>
                <w:p w14:paraId="4606EDFE">
                  <w:pPr>
                    <w:pStyle w:val="113"/>
                    <w:snapToGrid w:val="0"/>
                    <w:spacing w:line="340" w:lineRule="exact"/>
                    <w:jc w:val="center"/>
                    <w:rPr>
                      <w:rFonts w:ascii="Times New Roman" w:hAnsi="Times New Roman" w:eastAsia="宋体"/>
                      <w:color w:val="auto"/>
                      <w:szCs w:val="21"/>
                      <w:highlight w:val="none"/>
                      <w:lang w:val="en-GB"/>
                    </w:rPr>
                  </w:pPr>
                  <w:r>
                    <w:rPr>
                      <w:rFonts w:ascii="Times New Roman" w:hAnsi="Times New Roman" w:eastAsia="宋体"/>
                      <w:color w:val="auto"/>
                      <w:szCs w:val="21"/>
                      <w:highlight w:val="none"/>
                      <w:lang w:val="en-GB"/>
                    </w:rPr>
                    <w:t>危险废物</w:t>
                  </w:r>
                </w:p>
              </w:tc>
            </w:tr>
            <w:tr w14:paraId="6382B6BD">
              <w:tblPrEx>
                <w:tblBorders>
                  <w:top w:val="none" w:color="auto" w:sz="0" w:space="0"/>
                  <w:left w:val="none" w:color="auto" w:sz="0" w:space="0"/>
                  <w:bottom w:val="none" w:color="auto" w:sz="0" w:space="0"/>
                  <w:right w:val="none" w:color="auto" w:sz="0" w:space="0"/>
                  <w:insideH w:val="single" w:color="000000" w:sz="6" w:space="0"/>
                  <w:insideV w:val="single" w:color="000000" w:sz="6" w:space="0"/>
                </w:tblBorders>
                <w:tblCellMar>
                  <w:top w:w="0" w:type="dxa"/>
                  <w:left w:w="108" w:type="dxa"/>
                  <w:bottom w:w="0" w:type="dxa"/>
                  <w:right w:w="108" w:type="dxa"/>
                </w:tblCellMar>
              </w:tblPrEx>
              <w:trPr>
                <w:cantSplit/>
                <w:trHeight w:val="1043" w:hRule="atLeast"/>
                <w:jc w:val="center"/>
              </w:trPr>
              <w:tc>
                <w:tcPr>
                  <w:tcW w:w="1383" w:type="dxa"/>
                  <w:tcBorders>
                    <w:top w:val="single" w:color="auto" w:sz="6" w:space="0"/>
                    <w:left w:val="nil"/>
                    <w:bottom w:val="single" w:color="auto" w:sz="6" w:space="0"/>
                    <w:right w:val="single" w:color="auto" w:sz="6" w:space="0"/>
                  </w:tcBorders>
                  <w:tcMar>
                    <w:left w:w="0" w:type="dxa"/>
                    <w:right w:w="0" w:type="dxa"/>
                  </w:tcMar>
                  <w:vAlign w:val="center"/>
                </w:tcPr>
                <w:p w14:paraId="5E459F4D">
                  <w:pPr>
                    <w:pStyle w:val="113"/>
                    <w:snapToGrid w:val="0"/>
                    <w:spacing w:line="340" w:lineRule="exact"/>
                    <w:jc w:val="center"/>
                    <w:rPr>
                      <w:rFonts w:ascii="Times New Roman" w:hAnsi="Times New Roman" w:eastAsia="宋体"/>
                      <w:color w:val="auto"/>
                      <w:szCs w:val="21"/>
                      <w:highlight w:val="none"/>
                      <w:lang w:val="en-GB"/>
                    </w:rPr>
                  </w:pPr>
                  <w:r>
                    <w:rPr>
                      <w:rFonts w:ascii="Times New Roman" w:hAnsi="Times New Roman" w:eastAsia="宋体"/>
                      <w:color w:val="auto"/>
                      <w:szCs w:val="21"/>
                      <w:highlight w:val="none"/>
                      <w:lang w:val="en-GB"/>
                    </w:rPr>
                    <w:t>图形符号</w:t>
                  </w:r>
                </w:p>
              </w:tc>
              <w:tc>
                <w:tcPr>
                  <w:tcW w:w="1268" w:type="dxa"/>
                  <w:tcBorders>
                    <w:top w:val="single" w:color="auto" w:sz="6" w:space="0"/>
                    <w:left w:val="single" w:color="auto" w:sz="6" w:space="0"/>
                    <w:bottom w:val="single" w:color="auto" w:sz="6" w:space="0"/>
                    <w:right w:val="single" w:color="auto" w:sz="6" w:space="0"/>
                  </w:tcBorders>
                  <w:tcMar>
                    <w:left w:w="0" w:type="dxa"/>
                    <w:right w:w="0" w:type="dxa"/>
                  </w:tcMar>
                  <w:vAlign w:val="center"/>
                </w:tcPr>
                <w:p w14:paraId="60D37D48">
                  <w:pPr>
                    <w:pStyle w:val="113"/>
                    <w:snapToGrid w:val="0"/>
                    <w:spacing w:line="340" w:lineRule="exact"/>
                    <w:rPr>
                      <w:rFonts w:ascii="Times New Roman" w:hAnsi="Times New Roman" w:eastAsia="宋体"/>
                      <w:color w:val="auto"/>
                      <w:szCs w:val="21"/>
                      <w:highlight w:val="none"/>
                      <w:lang w:val="en-GB"/>
                    </w:rPr>
                  </w:pPr>
                  <w:r>
                    <w:rPr>
                      <w:rFonts w:ascii="Times New Roman" w:hAnsi="Times New Roman" w:eastAsia="宋体"/>
                      <w:color w:val="auto"/>
                      <w:szCs w:val="21"/>
                      <w:highlight w:val="none"/>
                    </w:rPr>
                    <w:drawing>
                      <wp:anchor distT="0" distB="0" distL="114300" distR="114300" simplePos="0" relativeHeight="251667456" behindDoc="0" locked="0" layoutInCell="1" allowOverlap="1">
                        <wp:simplePos x="0" y="0"/>
                        <wp:positionH relativeFrom="column">
                          <wp:posOffset>115570</wp:posOffset>
                        </wp:positionH>
                        <wp:positionV relativeFrom="paragraph">
                          <wp:posOffset>33655</wp:posOffset>
                        </wp:positionV>
                        <wp:extent cx="591820" cy="591820"/>
                        <wp:effectExtent l="0" t="0" r="17780" b="17780"/>
                        <wp:wrapNone/>
                        <wp:docPr id="13" name="图片 75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54" descr="1"/>
                                <pic:cNvPicPr>
                                  <a:picLocks noChangeAspect="1"/>
                                </pic:cNvPicPr>
                              </pic:nvPicPr>
                              <pic:blipFill>
                                <a:blip r:embed="rId42"/>
                                <a:stretch>
                                  <a:fillRect/>
                                </a:stretch>
                              </pic:blipFill>
                              <pic:spPr>
                                <a:xfrm>
                                  <a:off x="0" y="0"/>
                                  <a:ext cx="591820" cy="591820"/>
                                </a:xfrm>
                                <a:prstGeom prst="rect">
                                  <a:avLst/>
                                </a:prstGeom>
                                <a:noFill/>
                                <a:ln>
                                  <a:noFill/>
                                </a:ln>
                                <a:effectLst/>
                              </pic:spPr>
                            </pic:pic>
                          </a:graphicData>
                        </a:graphic>
                      </wp:anchor>
                    </w:drawing>
                  </w:r>
                </w:p>
              </w:tc>
              <w:tc>
                <w:tcPr>
                  <w:tcW w:w="1155" w:type="dxa"/>
                  <w:tcBorders>
                    <w:top w:val="single" w:color="auto" w:sz="6" w:space="0"/>
                    <w:left w:val="single" w:color="auto" w:sz="6" w:space="0"/>
                    <w:bottom w:val="single" w:color="auto" w:sz="6" w:space="0"/>
                    <w:right w:val="single" w:color="auto" w:sz="6" w:space="0"/>
                  </w:tcBorders>
                  <w:tcMar>
                    <w:left w:w="0" w:type="dxa"/>
                    <w:right w:w="0" w:type="dxa"/>
                  </w:tcMar>
                  <w:vAlign w:val="center"/>
                </w:tcPr>
                <w:p w14:paraId="37F3021C">
                  <w:pPr>
                    <w:spacing w:line="240" w:lineRule="auto"/>
                    <w:ind w:firstLine="0" w:firstLineChars="0"/>
                    <w:jc w:val="center"/>
                    <w:rPr>
                      <w:rFonts w:ascii="Times New Roman" w:hAnsi="Times New Roman" w:eastAsia="宋体" w:cs="Times New Roman"/>
                      <w:color w:val="auto"/>
                      <w:sz w:val="24"/>
                      <w:highlight w:val="none"/>
                      <w:lang w:val="en-GB"/>
                    </w:rPr>
                  </w:pPr>
                  <w:r>
                    <w:rPr>
                      <w:rFonts w:ascii="Times New Roman" w:hAnsi="Times New Roman" w:eastAsia="宋体" w:cs="Times New Roman"/>
                      <w:color w:val="auto"/>
                      <w:sz w:val="24"/>
                      <w:highlight w:val="none"/>
                    </w:rPr>
                    <w:drawing>
                      <wp:inline distT="0" distB="0" distL="114300" distR="114300">
                        <wp:extent cx="610235" cy="610235"/>
                        <wp:effectExtent l="0" t="0" r="18415" b="18415"/>
                        <wp:docPr id="18" name="图片 2" descr="16399962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descr="1639996266(1)"/>
                                <pic:cNvPicPr>
                                  <a:picLocks noChangeAspect="1"/>
                                </pic:cNvPicPr>
                              </pic:nvPicPr>
                              <pic:blipFill>
                                <a:blip r:embed="rId43"/>
                                <a:stretch>
                                  <a:fillRect/>
                                </a:stretch>
                              </pic:blipFill>
                              <pic:spPr>
                                <a:xfrm>
                                  <a:off x="0" y="0"/>
                                  <a:ext cx="610235" cy="610235"/>
                                </a:xfrm>
                                <a:prstGeom prst="rect">
                                  <a:avLst/>
                                </a:prstGeom>
                                <a:noFill/>
                                <a:ln>
                                  <a:noFill/>
                                </a:ln>
                                <a:effectLst/>
                              </pic:spPr>
                            </pic:pic>
                          </a:graphicData>
                        </a:graphic>
                      </wp:inline>
                    </w:drawing>
                  </w:r>
                </w:p>
              </w:tc>
              <w:tc>
                <w:tcPr>
                  <w:tcW w:w="1155" w:type="dxa"/>
                  <w:tcBorders>
                    <w:top w:val="single" w:color="auto" w:sz="6" w:space="0"/>
                    <w:left w:val="single" w:color="auto" w:sz="6" w:space="0"/>
                    <w:bottom w:val="single" w:color="auto" w:sz="6" w:space="0"/>
                    <w:right w:val="single" w:color="auto" w:sz="6" w:space="0"/>
                  </w:tcBorders>
                  <w:tcMar>
                    <w:left w:w="0" w:type="dxa"/>
                    <w:right w:w="0" w:type="dxa"/>
                  </w:tcMar>
                  <w:vAlign w:val="center"/>
                </w:tcPr>
                <w:p w14:paraId="630425F6">
                  <w:pPr>
                    <w:pStyle w:val="113"/>
                    <w:snapToGrid w:val="0"/>
                    <w:spacing w:line="340" w:lineRule="exact"/>
                    <w:jc w:val="center"/>
                    <w:rPr>
                      <w:rFonts w:ascii="Times New Roman" w:hAnsi="Times New Roman" w:eastAsia="宋体"/>
                      <w:color w:val="auto"/>
                      <w:szCs w:val="21"/>
                      <w:highlight w:val="none"/>
                      <w:lang w:val="en-GB"/>
                    </w:rPr>
                  </w:pPr>
                  <w:r>
                    <w:rPr>
                      <w:rFonts w:ascii="Times New Roman" w:hAnsi="Times New Roman" w:eastAsia="宋体"/>
                      <w:color w:val="auto"/>
                      <w:szCs w:val="21"/>
                      <w:highlight w:val="none"/>
                    </w:rPr>
                    <w:drawing>
                      <wp:anchor distT="0" distB="0" distL="114300" distR="114300" simplePos="0" relativeHeight="251664384" behindDoc="0" locked="0" layoutInCell="1" allowOverlap="1">
                        <wp:simplePos x="0" y="0"/>
                        <wp:positionH relativeFrom="column">
                          <wp:posOffset>88265</wp:posOffset>
                        </wp:positionH>
                        <wp:positionV relativeFrom="paragraph">
                          <wp:posOffset>40640</wp:posOffset>
                        </wp:positionV>
                        <wp:extent cx="602615" cy="602615"/>
                        <wp:effectExtent l="0" t="0" r="6985" b="6985"/>
                        <wp:wrapNone/>
                        <wp:docPr id="19" name="图片 756" descr="点击看大图及详细资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756" descr="点击看大图及详细资料"/>
                                <pic:cNvPicPr>
                                  <a:picLocks noChangeAspect="1"/>
                                </pic:cNvPicPr>
                              </pic:nvPicPr>
                              <pic:blipFill>
                                <a:blip r:embed="rId44"/>
                                <a:stretch>
                                  <a:fillRect/>
                                </a:stretch>
                              </pic:blipFill>
                              <pic:spPr>
                                <a:xfrm>
                                  <a:off x="0" y="0"/>
                                  <a:ext cx="602615" cy="602615"/>
                                </a:xfrm>
                                <a:prstGeom prst="rect">
                                  <a:avLst/>
                                </a:prstGeom>
                                <a:noFill/>
                                <a:ln>
                                  <a:noFill/>
                                </a:ln>
                                <a:effectLst/>
                              </pic:spPr>
                            </pic:pic>
                          </a:graphicData>
                        </a:graphic>
                      </wp:anchor>
                    </w:drawing>
                  </w:r>
                </w:p>
                <w:p w14:paraId="69A1AC77">
                  <w:pPr>
                    <w:pStyle w:val="113"/>
                    <w:snapToGrid w:val="0"/>
                    <w:spacing w:line="340" w:lineRule="exact"/>
                    <w:jc w:val="center"/>
                    <w:rPr>
                      <w:rFonts w:ascii="Times New Roman" w:hAnsi="Times New Roman" w:eastAsia="宋体"/>
                      <w:color w:val="auto"/>
                      <w:szCs w:val="21"/>
                      <w:highlight w:val="none"/>
                      <w:lang w:val="en-GB"/>
                    </w:rPr>
                  </w:pPr>
                </w:p>
                <w:p w14:paraId="028B6CF8">
                  <w:pPr>
                    <w:pStyle w:val="113"/>
                    <w:snapToGrid w:val="0"/>
                    <w:spacing w:line="340" w:lineRule="exact"/>
                    <w:jc w:val="center"/>
                    <w:rPr>
                      <w:rFonts w:ascii="Times New Roman" w:hAnsi="Times New Roman" w:eastAsia="宋体"/>
                      <w:color w:val="auto"/>
                      <w:szCs w:val="21"/>
                      <w:highlight w:val="none"/>
                      <w:lang w:val="en-GB"/>
                    </w:rPr>
                  </w:pPr>
                </w:p>
              </w:tc>
              <w:tc>
                <w:tcPr>
                  <w:tcW w:w="1257" w:type="dxa"/>
                  <w:tcBorders>
                    <w:top w:val="single" w:color="auto" w:sz="6" w:space="0"/>
                    <w:left w:val="single" w:color="auto" w:sz="6" w:space="0"/>
                    <w:bottom w:val="single" w:color="auto" w:sz="6" w:space="0"/>
                    <w:right w:val="single" w:color="auto" w:sz="6" w:space="0"/>
                  </w:tcBorders>
                  <w:tcMar>
                    <w:left w:w="0" w:type="dxa"/>
                    <w:right w:w="0" w:type="dxa"/>
                  </w:tcMar>
                  <w:vAlign w:val="center"/>
                </w:tcPr>
                <w:p w14:paraId="326FA961">
                  <w:pPr>
                    <w:pStyle w:val="113"/>
                    <w:snapToGrid w:val="0"/>
                    <w:spacing w:line="340" w:lineRule="exact"/>
                    <w:jc w:val="center"/>
                    <w:rPr>
                      <w:rFonts w:ascii="Times New Roman" w:hAnsi="Times New Roman" w:eastAsia="宋体"/>
                      <w:color w:val="auto"/>
                      <w:szCs w:val="21"/>
                      <w:highlight w:val="none"/>
                      <w:lang w:val="en-GB"/>
                    </w:rPr>
                  </w:pPr>
                  <w:r>
                    <w:rPr>
                      <w:rFonts w:ascii="Times New Roman" w:hAnsi="Times New Roman" w:eastAsia="宋体"/>
                      <w:color w:val="auto"/>
                      <w:szCs w:val="21"/>
                      <w:highlight w:val="none"/>
                    </w:rPr>
                    <w:drawing>
                      <wp:anchor distT="0" distB="0" distL="114300" distR="114300" simplePos="0" relativeHeight="251665408" behindDoc="0" locked="0" layoutInCell="1" allowOverlap="1">
                        <wp:simplePos x="0" y="0"/>
                        <wp:positionH relativeFrom="column">
                          <wp:posOffset>127635</wp:posOffset>
                        </wp:positionH>
                        <wp:positionV relativeFrom="paragraph">
                          <wp:posOffset>21590</wp:posOffset>
                        </wp:positionV>
                        <wp:extent cx="602615" cy="602615"/>
                        <wp:effectExtent l="0" t="0" r="6985" b="6985"/>
                        <wp:wrapNone/>
                        <wp:docPr id="20" name="图片 757" descr="一般固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757" descr="一般固废"/>
                                <pic:cNvPicPr>
                                  <a:picLocks noChangeAspect="1"/>
                                </pic:cNvPicPr>
                              </pic:nvPicPr>
                              <pic:blipFill>
                                <a:blip r:embed="rId45"/>
                                <a:stretch>
                                  <a:fillRect/>
                                </a:stretch>
                              </pic:blipFill>
                              <pic:spPr>
                                <a:xfrm>
                                  <a:off x="0" y="0"/>
                                  <a:ext cx="602615" cy="602615"/>
                                </a:xfrm>
                                <a:prstGeom prst="rect">
                                  <a:avLst/>
                                </a:prstGeom>
                                <a:noFill/>
                                <a:ln>
                                  <a:noFill/>
                                </a:ln>
                                <a:effectLst/>
                              </pic:spPr>
                            </pic:pic>
                          </a:graphicData>
                        </a:graphic>
                      </wp:anchor>
                    </w:drawing>
                  </w:r>
                </w:p>
              </w:tc>
              <w:tc>
                <w:tcPr>
                  <w:tcW w:w="1118" w:type="dxa"/>
                  <w:tcBorders>
                    <w:top w:val="single" w:color="auto" w:sz="6" w:space="0"/>
                    <w:left w:val="single" w:color="auto" w:sz="6" w:space="0"/>
                    <w:bottom w:val="single" w:color="auto" w:sz="6" w:space="0"/>
                    <w:right w:val="nil"/>
                  </w:tcBorders>
                  <w:tcMar>
                    <w:left w:w="0" w:type="dxa"/>
                    <w:right w:w="0" w:type="dxa"/>
                  </w:tcMar>
                  <w:vAlign w:val="center"/>
                </w:tcPr>
                <w:p w14:paraId="24084341">
                  <w:pPr>
                    <w:pStyle w:val="113"/>
                    <w:snapToGrid w:val="0"/>
                    <w:spacing w:line="340" w:lineRule="exact"/>
                    <w:jc w:val="center"/>
                    <w:rPr>
                      <w:rFonts w:ascii="Times New Roman" w:hAnsi="Times New Roman" w:eastAsia="宋体"/>
                      <w:color w:val="auto"/>
                      <w:szCs w:val="21"/>
                      <w:highlight w:val="none"/>
                      <w:lang w:val="en-GB"/>
                    </w:rPr>
                  </w:pPr>
                  <w:r>
                    <w:rPr>
                      <w:rFonts w:ascii="Times New Roman" w:hAnsi="Times New Roman" w:eastAsia="宋体"/>
                      <w:color w:val="auto"/>
                      <w:szCs w:val="21"/>
                      <w:highlight w:val="none"/>
                      <w:lang w:val="en-GB"/>
                    </w:rPr>
                    <w:drawing>
                      <wp:anchor distT="0" distB="0" distL="114300" distR="114300" simplePos="0" relativeHeight="251666432" behindDoc="0" locked="0" layoutInCell="1" allowOverlap="1">
                        <wp:simplePos x="0" y="0"/>
                        <wp:positionH relativeFrom="column">
                          <wp:posOffset>85090</wp:posOffset>
                        </wp:positionH>
                        <wp:positionV relativeFrom="paragraph">
                          <wp:posOffset>23495</wp:posOffset>
                        </wp:positionV>
                        <wp:extent cx="605790" cy="612775"/>
                        <wp:effectExtent l="0" t="0" r="3810" b="15875"/>
                        <wp:wrapNone/>
                        <wp:docPr id="21" name="图片 334" descr="1686190526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34" descr="1686190526786"/>
                                <pic:cNvPicPr>
                                  <a:picLocks noChangeAspect="1"/>
                                </pic:cNvPicPr>
                              </pic:nvPicPr>
                              <pic:blipFill>
                                <a:blip r:embed="rId46"/>
                                <a:stretch>
                                  <a:fillRect/>
                                </a:stretch>
                              </pic:blipFill>
                              <pic:spPr>
                                <a:xfrm>
                                  <a:off x="0" y="0"/>
                                  <a:ext cx="605790" cy="612775"/>
                                </a:xfrm>
                                <a:prstGeom prst="rect">
                                  <a:avLst/>
                                </a:prstGeom>
                                <a:noFill/>
                                <a:ln>
                                  <a:noFill/>
                                </a:ln>
                                <a:effectLst/>
                              </pic:spPr>
                            </pic:pic>
                          </a:graphicData>
                        </a:graphic>
                      </wp:anchor>
                    </w:drawing>
                  </w:r>
                </w:p>
              </w:tc>
            </w:tr>
            <w:tr w14:paraId="320DF774">
              <w:tblPrEx>
                <w:tblBorders>
                  <w:top w:val="none" w:color="auto" w:sz="0" w:space="0"/>
                  <w:left w:val="none" w:color="auto" w:sz="0" w:space="0"/>
                  <w:bottom w:val="none" w:color="auto" w:sz="0" w:space="0"/>
                  <w:right w:val="none" w:color="auto" w:sz="0" w:space="0"/>
                  <w:insideH w:val="single" w:color="000000" w:sz="6" w:space="0"/>
                  <w:insideV w:val="single" w:color="000000" w:sz="6" w:space="0"/>
                </w:tblBorders>
                <w:tblCellMar>
                  <w:top w:w="0" w:type="dxa"/>
                  <w:left w:w="108" w:type="dxa"/>
                  <w:bottom w:w="0" w:type="dxa"/>
                  <w:right w:w="108" w:type="dxa"/>
                </w:tblCellMar>
              </w:tblPrEx>
              <w:trPr>
                <w:cantSplit/>
                <w:trHeight w:val="633" w:hRule="atLeast"/>
                <w:jc w:val="center"/>
              </w:trPr>
              <w:tc>
                <w:tcPr>
                  <w:tcW w:w="1383" w:type="dxa"/>
                  <w:tcBorders>
                    <w:top w:val="single" w:color="auto" w:sz="6" w:space="0"/>
                    <w:left w:val="nil"/>
                    <w:bottom w:val="single" w:color="auto" w:sz="6" w:space="0"/>
                    <w:right w:val="single" w:color="auto" w:sz="6" w:space="0"/>
                  </w:tcBorders>
                  <w:tcMar>
                    <w:left w:w="0" w:type="dxa"/>
                    <w:right w:w="0" w:type="dxa"/>
                  </w:tcMar>
                  <w:vAlign w:val="center"/>
                </w:tcPr>
                <w:p w14:paraId="70DFF587">
                  <w:pPr>
                    <w:pStyle w:val="113"/>
                    <w:snapToGrid w:val="0"/>
                    <w:spacing w:line="340" w:lineRule="exact"/>
                    <w:jc w:val="center"/>
                    <w:rPr>
                      <w:rFonts w:ascii="Times New Roman" w:hAnsi="Times New Roman" w:eastAsia="宋体"/>
                      <w:color w:val="auto"/>
                      <w:szCs w:val="21"/>
                      <w:highlight w:val="none"/>
                      <w:lang w:val="en-GB"/>
                    </w:rPr>
                  </w:pPr>
                  <w:r>
                    <w:rPr>
                      <w:rFonts w:ascii="Times New Roman" w:hAnsi="Times New Roman" w:eastAsia="宋体"/>
                      <w:color w:val="auto"/>
                      <w:szCs w:val="21"/>
                      <w:highlight w:val="none"/>
                      <w:lang w:val="en-GB"/>
                    </w:rPr>
                    <w:t>形状</w:t>
                  </w:r>
                </w:p>
              </w:tc>
              <w:tc>
                <w:tcPr>
                  <w:tcW w:w="1268" w:type="dxa"/>
                  <w:tcBorders>
                    <w:top w:val="single" w:color="auto" w:sz="6" w:space="0"/>
                    <w:left w:val="single" w:color="auto" w:sz="6" w:space="0"/>
                    <w:bottom w:val="single" w:color="auto" w:sz="6" w:space="0"/>
                    <w:right w:val="single" w:color="auto" w:sz="6" w:space="0"/>
                  </w:tcBorders>
                  <w:tcMar>
                    <w:top w:w="0" w:type="dxa"/>
                    <w:left w:w="0" w:type="dxa"/>
                    <w:bottom w:w="0" w:type="dxa"/>
                    <w:right w:w="0" w:type="dxa"/>
                  </w:tcMar>
                  <w:vAlign w:val="center"/>
                </w:tcPr>
                <w:p w14:paraId="49129779">
                  <w:pPr>
                    <w:pStyle w:val="113"/>
                    <w:snapToGrid w:val="0"/>
                    <w:spacing w:line="340" w:lineRule="exact"/>
                    <w:jc w:val="center"/>
                    <w:rPr>
                      <w:rFonts w:ascii="Times New Roman" w:hAnsi="Times New Roman" w:eastAsia="宋体"/>
                      <w:color w:val="auto"/>
                      <w:szCs w:val="21"/>
                      <w:highlight w:val="none"/>
                      <w:lang w:val="en-GB"/>
                    </w:rPr>
                  </w:pPr>
                  <w:r>
                    <w:rPr>
                      <w:rFonts w:ascii="Times New Roman" w:hAnsi="Times New Roman" w:eastAsia="宋体"/>
                      <w:color w:val="auto"/>
                      <w:szCs w:val="21"/>
                      <w:highlight w:val="none"/>
                      <w:lang w:val="en-GB"/>
                    </w:rPr>
                    <w:t>正方形边框</w:t>
                  </w:r>
                </w:p>
              </w:tc>
              <w:tc>
                <w:tcPr>
                  <w:tcW w:w="1155" w:type="dxa"/>
                  <w:tcBorders>
                    <w:top w:val="single" w:color="auto" w:sz="6" w:space="0"/>
                    <w:left w:val="single" w:color="auto" w:sz="6" w:space="0"/>
                    <w:bottom w:val="single" w:color="auto" w:sz="6" w:space="0"/>
                    <w:right w:val="single" w:color="auto" w:sz="6" w:space="0"/>
                  </w:tcBorders>
                  <w:tcMar>
                    <w:top w:w="0" w:type="dxa"/>
                    <w:left w:w="0" w:type="dxa"/>
                    <w:bottom w:w="0" w:type="dxa"/>
                    <w:right w:w="0" w:type="dxa"/>
                  </w:tcMar>
                  <w:vAlign w:val="center"/>
                </w:tcPr>
                <w:p w14:paraId="3842FB5F">
                  <w:pPr>
                    <w:pStyle w:val="113"/>
                    <w:snapToGrid w:val="0"/>
                    <w:spacing w:line="340" w:lineRule="exact"/>
                    <w:jc w:val="center"/>
                    <w:rPr>
                      <w:rFonts w:ascii="Times New Roman" w:hAnsi="Times New Roman" w:eastAsia="宋体"/>
                      <w:color w:val="auto"/>
                      <w:szCs w:val="21"/>
                      <w:highlight w:val="none"/>
                      <w:lang w:val="en-GB"/>
                    </w:rPr>
                  </w:pPr>
                  <w:r>
                    <w:rPr>
                      <w:rFonts w:ascii="Times New Roman" w:hAnsi="Times New Roman" w:eastAsia="宋体"/>
                      <w:color w:val="auto"/>
                      <w:szCs w:val="21"/>
                      <w:highlight w:val="none"/>
                      <w:lang w:val="en-GB"/>
                    </w:rPr>
                    <w:t>正方形边框</w:t>
                  </w:r>
                </w:p>
              </w:tc>
              <w:tc>
                <w:tcPr>
                  <w:tcW w:w="1155" w:type="dxa"/>
                  <w:tcBorders>
                    <w:top w:val="single" w:color="auto" w:sz="6" w:space="0"/>
                    <w:left w:val="single" w:color="auto" w:sz="6" w:space="0"/>
                    <w:bottom w:val="single" w:color="auto" w:sz="6" w:space="0"/>
                    <w:right w:val="single" w:color="auto" w:sz="6" w:space="0"/>
                  </w:tcBorders>
                  <w:tcMar>
                    <w:top w:w="0" w:type="dxa"/>
                    <w:left w:w="0" w:type="dxa"/>
                    <w:bottom w:w="0" w:type="dxa"/>
                    <w:right w:w="0" w:type="dxa"/>
                  </w:tcMar>
                  <w:vAlign w:val="center"/>
                </w:tcPr>
                <w:p w14:paraId="52031F3F">
                  <w:pPr>
                    <w:pStyle w:val="113"/>
                    <w:snapToGrid w:val="0"/>
                    <w:spacing w:line="340" w:lineRule="exact"/>
                    <w:jc w:val="center"/>
                    <w:rPr>
                      <w:rFonts w:ascii="Times New Roman" w:hAnsi="Times New Roman" w:eastAsia="宋体"/>
                      <w:color w:val="auto"/>
                      <w:szCs w:val="21"/>
                      <w:highlight w:val="none"/>
                      <w:lang w:val="en-GB"/>
                    </w:rPr>
                  </w:pPr>
                  <w:r>
                    <w:rPr>
                      <w:rFonts w:ascii="Times New Roman" w:hAnsi="Times New Roman" w:eastAsia="宋体"/>
                      <w:color w:val="auto"/>
                      <w:szCs w:val="21"/>
                      <w:highlight w:val="none"/>
                      <w:lang w:val="en-GB"/>
                    </w:rPr>
                    <w:t>正方形边框</w:t>
                  </w:r>
                </w:p>
              </w:tc>
              <w:tc>
                <w:tcPr>
                  <w:tcW w:w="1257" w:type="dxa"/>
                  <w:tcBorders>
                    <w:top w:val="single" w:color="auto" w:sz="6" w:space="0"/>
                    <w:left w:val="single" w:color="auto" w:sz="6" w:space="0"/>
                    <w:bottom w:val="single" w:color="auto" w:sz="6" w:space="0"/>
                    <w:right w:val="single" w:color="auto" w:sz="6" w:space="0"/>
                  </w:tcBorders>
                  <w:tcMar>
                    <w:top w:w="0" w:type="dxa"/>
                    <w:left w:w="0" w:type="dxa"/>
                    <w:bottom w:w="0" w:type="dxa"/>
                    <w:right w:w="0" w:type="dxa"/>
                  </w:tcMar>
                  <w:vAlign w:val="center"/>
                </w:tcPr>
                <w:p w14:paraId="117CE660">
                  <w:pPr>
                    <w:pStyle w:val="113"/>
                    <w:snapToGrid w:val="0"/>
                    <w:spacing w:line="340" w:lineRule="exact"/>
                    <w:jc w:val="center"/>
                    <w:rPr>
                      <w:rFonts w:ascii="Times New Roman" w:hAnsi="Times New Roman" w:eastAsia="宋体"/>
                      <w:color w:val="auto"/>
                      <w:szCs w:val="21"/>
                      <w:highlight w:val="none"/>
                      <w:lang w:val="en-GB"/>
                    </w:rPr>
                  </w:pPr>
                  <w:r>
                    <w:rPr>
                      <w:rFonts w:ascii="Times New Roman" w:hAnsi="Times New Roman" w:eastAsia="宋体"/>
                      <w:color w:val="auto"/>
                      <w:szCs w:val="21"/>
                      <w:highlight w:val="none"/>
                      <w:lang w:val="en-GB"/>
                    </w:rPr>
                    <w:t>三角形边框</w:t>
                  </w:r>
                </w:p>
              </w:tc>
              <w:tc>
                <w:tcPr>
                  <w:tcW w:w="1118" w:type="dxa"/>
                  <w:tcBorders>
                    <w:top w:val="single" w:color="auto" w:sz="6" w:space="0"/>
                    <w:left w:val="single" w:color="auto" w:sz="6" w:space="0"/>
                    <w:bottom w:val="single" w:color="auto" w:sz="6" w:space="0"/>
                    <w:right w:val="nil"/>
                  </w:tcBorders>
                  <w:tcMar>
                    <w:top w:w="0" w:type="dxa"/>
                    <w:left w:w="0" w:type="dxa"/>
                    <w:bottom w:w="0" w:type="dxa"/>
                    <w:right w:w="0" w:type="dxa"/>
                  </w:tcMar>
                  <w:vAlign w:val="center"/>
                </w:tcPr>
                <w:p w14:paraId="02BD68D5">
                  <w:pPr>
                    <w:pStyle w:val="113"/>
                    <w:snapToGrid w:val="0"/>
                    <w:spacing w:line="340" w:lineRule="exact"/>
                    <w:jc w:val="center"/>
                    <w:rPr>
                      <w:rFonts w:ascii="Times New Roman" w:hAnsi="Times New Roman" w:eastAsia="宋体"/>
                      <w:color w:val="auto"/>
                      <w:szCs w:val="21"/>
                      <w:highlight w:val="none"/>
                      <w:lang w:val="en-GB"/>
                    </w:rPr>
                  </w:pPr>
                  <w:r>
                    <w:rPr>
                      <w:rFonts w:ascii="Times New Roman" w:hAnsi="Times New Roman" w:eastAsia="宋体"/>
                      <w:color w:val="auto"/>
                      <w:szCs w:val="21"/>
                      <w:highlight w:val="none"/>
                      <w:lang w:val="en-GB"/>
                    </w:rPr>
                    <w:t>三角形边框</w:t>
                  </w:r>
                </w:p>
              </w:tc>
            </w:tr>
            <w:tr w14:paraId="57753798">
              <w:tblPrEx>
                <w:tblBorders>
                  <w:top w:val="none" w:color="auto" w:sz="0" w:space="0"/>
                  <w:left w:val="none" w:color="auto" w:sz="0" w:space="0"/>
                  <w:bottom w:val="none" w:color="auto" w:sz="0" w:space="0"/>
                  <w:right w:val="none" w:color="auto" w:sz="0" w:space="0"/>
                  <w:insideH w:val="single" w:color="000000" w:sz="6" w:space="0"/>
                  <w:insideV w:val="single" w:color="000000" w:sz="6" w:space="0"/>
                </w:tblBorders>
                <w:tblCellMar>
                  <w:top w:w="0" w:type="dxa"/>
                  <w:left w:w="108" w:type="dxa"/>
                  <w:bottom w:w="0" w:type="dxa"/>
                  <w:right w:w="108" w:type="dxa"/>
                </w:tblCellMar>
              </w:tblPrEx>
              <w:trPr>
                <w:cantSplit/>
                <w:trHeight w:val="357" w:hRule="atLeast"/>
                <w:jc w:val="center"/>
              </w:trPr>
              <w:tc>
                <w:tcPr>
                  <w:tcW w:w="1383" w:type="dxa"/>
                  <w:tcBorders>
                    <w:top w:val="single" w:color="auto" w:sz="6" w:space="0"/>
                    <w:left w:val="nil"/>
                    <w:bottom w:val="single" w:color="auto" w:sz="6" w:space="0"/>
                    <w:right w:val="single" w:color="auto" w:sz="6" w:space="0"/>
                  </w:tcBorders>
                  <w:tcMar>
                    <w:left w:w="0" w:type="dxa"/>
                    <w:right w:w="0" w:type="dxa"/>
                  </w:tcMar>
                  <w:vAlign w:val="center"/>
                </w:tcPr>
                <w:p w14:paraId="0FD3E208">
                  <w:pPr>
                    <w:pStyle w:val="113"/>
                    <w:snapToGrid w:val="0"/>
                    <w:spacing w:line="340" w:lineRule="exact"/>
                    <w:jc w:val="center"/>
                    <w:rPr>
                      <w:rFonts w:ascii="Times New Roman" w:hAnsi="Times New Roman" w:eastAsia="宋体"/>
                      <w:color w:val="auto"/>
                      <w:szCs w:val="21"/>
                      <w:highlight w:val="none"/>
                      <w:lang w:val="en-GB"/>
                    </w:rPr>
                  </w:pPr>
                  <w:r>
                    <w:rPr>
                      <w:rFonts w:ascii="Times New Roman" w:hAnsi="Times New Roman" w:eastAsia="宋体"/>
                      <w:color w:val="auto"/>
                      <w:szCs w:val="21"/>
                      <w:highlight w:val="none"/>
                      <w:lang w:val="en-GB"/>
                    </w:rPr>
                    <w:t>背景颜色</w:t>
                  </w:r>
                </w:p>
              </w:tc>
              <w:tc>
                <w:tcPr>
                  <w:tcW w:w="1268" w:type="dxa"/>
                  <w:tcBorders>
                    <w:top w:val="single" w:color="auto" w:sz="6" w:space="0"/>
                    <w:left w:val="single" w:color="auto" w:sz="6" w:space="0"/>
                    <w:bottom w:val="single" w:color="auto" w:sz="6" w:space="0"/>
                    <w:right w:val="single" w:color="auto" w:sz="6" w:space="0"/>
                  </w:tcBorders>
                  <w:tcMar>
                    <w:left w:w="0" w:type="dxa"/>
                    <w:right w:w="0" w:type="dxa"/>
                  </w:tcMar>
                  <w:vAlign w:val="center"/>
                </w:tcPr>
                <w:p w14:paraId="3C8C680C">
                  <w:pPr>
                    <w:pStyle w:val="113"/>
                    <w:snapToGrid w:val="0"/>
                    <w:spacing w:line="340" w:lineRule="exact"/>
                    <w:jc w:val="center"/>
                    <w:rPr>
                      <w:rFonts w:ascii="Times New Roman" w:hAnsi="Times New Roman" w:eastAsia="宋体"/>
                      <w:color w:val="auto"/>
                      <w:szCs w:val="21"/>
                      <w:highlight w:val="none"/>
                      <w:lang w:val="en-GB"/>
                    </w:rPr>
                  </w:pPr>
                  <w:r>
                    <w:rPr>
                      <w:rFonts w:ascii="Times New Roman" w:hAnsi="Times New Roman" w:eastAsia="宋体"/>
                      <w:color w:val="auto"/>
                      <w:szCs w:val="21"/>
                      <w:highlight w:val="none"/>
                      <w:lang w:val="en-GB"/>
                    </w:rPr>
                    <w:t>绿色</w:t>
                  </w:r>
                </w:p>
              </w:tc>
              <w:tc>
                <w:tcPr>
                  <w:tcW w:w="1155" w:type="dxa"/>
                  <w:tcBorders>
                    <w:top w:val="single" w:color="auto" w:sz="6" w:space="0"/>
                    <w:left w:val="single" w:color="auto" w:sz="6" w:space="0"/>
                    <w:bottom w:val="single" w:color="auto" w:sz="6" w:space="0"/>
                    <w:right w:val="single" w:color="auto" w:sz="6" w:space="0"/>
                  </w:tcBorders>
                  <w:tcMar>
                    <w:left w:w="0" w:type="dxa"/>
                    <w:right w:w="0" w:type="dxa"/>
                  </w:tcMar>
                  <w:vAlign w:val="center"/>
                </w:tcPr>
                <w:p w14:paraId="502BC941">
                  <w:pPr>
                    <w:pStyle w:val="113"/>
                    <w:snapToGrid w:val="0"/>
                    <w:spacing w:line="340" w:lineRule="exact"/>
                    <w:jc w:val="center"/>
                    <w:rPr>
                      <w:rFonts w:ascii="Times New Roman" w:hAnsi="Times New Roman" w:eastAsia="宋体"/>
                      <w:color w:val="auto"/>
                      <w:szCs w:val="21"/>
                      <w:highlight w:val="none"/>
                      <w:lang w:val="en-GB"/>
                    </w:rPr>
                  </w:pPr>
                  <w:r>
                    <w:rPr>
                      <w:rFonts w:ascii="Times New Roman" w:hAnsi="Times New Roman" w:eastAsia="宋体"/>
                      <w:color w:val="auto"/>
                      <w:szCs w:val="21"/>
                      <w:highlight w:val="none"/>
                      <w:lang w:val="en-GB"/>
                    </w:rPr>
                    <w:t>绿色</w:t>
                  </w:r>
                </w:p>
              </w:tc>
              <w:tc>
                <w:tcPr>
                  <w:tcW w:w="1155" w:type="dxa"/>
                  <w:tcBorders>
                    <w:top w:val="single" w:color="auto" w:sz="6" w:space="0"/>
                    <w:left w:val="single" w:color="auto" w:sz="6" w:space="0"/>
                    <w:bottom w:val="single" w:color="auto" w:sz="6" w:space="0"/>
                    <w:right w:val="single" w:color="auto" w:sz="6" w:space="0"/>
                  </w:tcBorders>
                  <w:tcMar>
                    <w:left w:w="0" w:type="dxa"/>
                    <w:right w:w="0" w:type="dxa"/>
                  </w:tcMar>
                  <w:vAlign w:val="center"/>
                </w:tcPr>
                <w:p w14:paraId="0C84185B">
                  <w:pPr>
                    <w:pStyle w:val="113"/>
                    <w:snapToGrid w:val="0"/>
                    <w:spacing w:line="340" w:lineRule="exact"/>
                    <w:jc w:val="center"/>
                    <w:rPr>
                      <w:rFonts w:ascii="Times New Roman" w:hAnsi="Times New Roman" w:eastAsia="宋体"/>
                      <w:color w:val="auto"/>
                      <w:szCs w:val="21"/>
                      <w:highlight w:val="none"/>
                      <w:lang w:val="en-GB"/>
                    </w:rPr>
                  </w:pPr>
                  <w:r>
                    <w:rPr>
                      <w:rFonts w:ascii="Times New Roman" w:hAnsi="Times New Roman" w:eastAsia="宋体"/>
                      <w:color w:val="auto"/>
                      <w:szCs w:val="21"/>
                      <w:highlight w:val="none"/>
                      <w:lang w:val="en-GB"/>
                    </w:rPr>
                    <w:t>绿色</w:t>
                  </w:r>
                </w:p>
              </w:tc>
              <w:tc>
                <w:tcPr>
                  <w:tcW w:w="1257" w:type="dxa"/>
                  <w:tcBorders>
                    <w:top w:val="single" w:color="auto" w:sz="6" w:space="0"/>
                    <w:left w:val="single" w:color="auto" w:sz="6" w:space="0"/>
                    <w:bottom w:val="single" w:color="auto" w:sz="6" w:space="0"/>
                    <w:right w:val="single" w:color="auto" w:sz="6" w:space="0"/>
                  </w:tcBorders>
                  <w:tcMar>
                    <w:left w:w="0" w:type="dxa"/>
                    <w:right w:w="0" w:type="dxa"/>
                  </w:tcMar>
                  <w:vAlign w:val="center"/>
                </w:tcPr>
                <w:p w14:paraId="26567CE8">
                  <w:pPr>
                    <w:pStyle w:val="113"/>
                    <w:snapToGrid w:val="0"/>
                    <w:spacing w:line="340" w:lineRule="exact"/>
                    <w:jc w:val="center"/>
                    <w:rPr>
                      <w:rFonts w:ascii="Times New Roman" w:hAnsi="Times New Roman" w:eastAsia="宋体"/>
                      <w:color w:val="auto"/>
                      <w:szCs w:val="21"/>
                      <w:highlight w:val="none"/>
                      <w:lang w:val="en-GB"/>
                    </w:rPr>
                  </w:pPr>
                  <w:r>
                    <w:rPr>
                      <w:rFonts w:ascii="Times New Roman" w:hAnsi="Times New Roman" w:eastAsia="宋体"/>
                      <w:color w:val="auto"/>
                      <w:szCs w:val="21"/>
                      <w:highlight w:val="none"/>
                      <w:lang w:val="en-GB"/>
                    </w:rPr>
                    <w:t>黄色</w:t>
                  </w:r>
                </w:p>
              </w:tc>
              <w:tc>
                <w:tcPr>
                  <w:tcW w:w="1118" w:type="dxa"/>
                  <w:tcBorders>
                    <w:top w:val="single" w:color="auto" w:sz="6" w:space="0"/>
                    <w:left w:val="single" w:color="auto" w:sz="6" w:space="0"/>
                    <w:bottom w:val="single" w:color="auto" w:sz="6" w:space="0"/>
                    <w:right w:val="nil"/>
                  </w:tcBorders>
                  <w:tcMar>
                    <w:left w:w="0" w:type="dxa"/>
                    <w:right w:w="0" w:type="dxa"/>
                  </w:tcMar>
                  <w:vAlign w:val="center"/>
                </w:tcPr>
                <w:p w14:paraId="7D2A5AC9">
                  <w:pPr>
                    <w:pStyle w:val="113"/>
                    <w:snapToGrid w:val="0"/>
                    <w:spacing w:line="340" w:lineRule="exact"/>
                    <w:jc w:val="center"/>
                    <w:rPr>
                      <w:rFonts w:ascii="Times New Roman" w:hAnsi="Times New Roman" w:eastAsia="宋体"/>
                      <w:color w:val="auto"/>
                      <w:szCs w:val="21"/>
                      <w:highlight w:val="none"/>
                      <w:lang w:val="en-GB"/>
                    </w:rPr>
                  </w:pPr>
                  <w:r>
                    <w:rPr>
                      <w:rFonts w:ascii="Times New Roman" w:hAnsi="Times New Roman" w:eastAsia="宋体"/>
                      <w:color w:val="auto"/>
                      <w:szCs w:val="21"/>
                      <w:highlight w:val="none"/>
                      <w:lang w:val="en-GB"/>
                    </w:rPr>
                    <w:t>黄色</w:t>
                  </w:r>
                </w:p>
              </w:tc>
            </w:tr>
            <w:tr w14:paraId="7319A06A">
              <w:tblPrEx>
                <w:tblBorders>
                  <w:top w:val="none" w:color="auto" w:sz="0" w:space="0"/>
                  <w:left w:val="none" w:color="auto" w:sz="0" w:space="0"/>
                  <w:bottom w:val="none" w:color="auto" w:sz="0" w:space="0"/>
                  <w:right w:val="none" w:color="auto" w:sz="0" w:space="0"/>
                  <w:insideH w:val="single" w:color="000000" w:sz="6" w:space="0"/>
                  <w:insideV w:val="single" w:color="000000" w:sz="6" w:space="0"/>
                </w:tblBorders>
                <w:tblCellMar>
                  <w:top w:w="0" w:type="dxa"/>
                  <w:left w:w="108" w:type="dxa"/>
                  <w:bottom w:w="0" w:type="dxa"/>
                  <w:right w:w="108" w:type="dxa"/>
                </w:tblCellMar>
              </w:tblPrEx>
              <w:trPr>
                <w:cantSplit/>
                <w:trHeight w:val="475" w:hRule="atLeast"/>
                <w:jc w:val="center"/>
              </w:trPr>
              <w:tc>
                <w:tcPr>
                  <w:tcW w:w="1383" w:type="dxa"/>
                  <w:tcBorders>
                    <w:top w:val="single" w:color="auto" w:sz="6" w:space="0"/>
                    <w:left w:val="nil"/>
                    <w:bottom w:val="single" w:color="auto" w:sz="12" w:space="0"/>
                    <w:right w:val="single" w:color="auto" w:sz="6" w:space="0"/>
                  </w:tcBorders>
                  <w:tcMar>
                    <w:left w:w="0" w:type="dxa"/>
                    <w:right w:w="0" w:type="dxa"/>
                  </w:tcMar>
                  <w:vAlign w:val="center"/>
                </w:tcPr>
                <w:p w14:paraId="00FB65E7">
                  <w:pPr>
                    <w:pStyle w:val="113"/>
                    <w:snapToGrid w:val="0"/>
                    <w:spacing w:line="340" w:lineRule="exact"/>
                    <w:jc w:val="center"/>
                    <w:rPr>
                      <w:rFonts w:ascii="Times New Roman" w:hAnsi="Times New Roman" w:eastAsia="宋体"/>
                      <w:color w:val="auto"/>
                      <w:szCs w:val="21"/>
                      <w:highlight w:val="none"/>
                      <w:lang w:val="en-GB"/>
                    </w:rPr>
                  </w:pPr>
                  <w:r>
                    <w:rPr>
                      <w:rFonts w:ascii="Times New Roman" w:hAnsi="Times New Roman" w:eastAsia="宋体"/>
                      <w:color w:val="auto"/>
                      <w:szCs w:val="21"/>
                      <w:highlight w:val="none"/>
                      <w:lang w:val="en-GB"/>
                    </w:rPr>
                    <w:t>图形颜色</w:t>
                  </w:r>
                </w:p>
              </w:tc>
              <w:tc>
                <w:tcPr>
                  <w:tcW w:w="1268" w:type="dxa"/>
                  <w:tcBorders>
                    <w:top w:val="single" w:color="auto" w:sz="6" w:space="0"/>
                    <w:left w:val="single" w:color="auto" w:sz="6" w:space="0"/>
                    <w:bottom w:val="single" w:color="auto" w:sz="12" w:space="0"/>
                    <w:right w:val="single" w:color="auto" w:sz="6" w:space="0"/>
                  </w:tcBorders>
                  <w:tcMar>
                    <w:left w:w="0" w:type="dxa"/>
                    <w:right w:w="0" w:type="dxa"/>
                  </w:tcMar>
                  <w:vAlign w:val="center"/>
                </w:tcPr>
                <w:p w14:paraId="5572C59F">
                  <w:pPr>
                    <w:pStyle w:val="113"/>
                    <w:snapToGrid w:val="0"/>
                    <w:spacing w:line="340" w:lineRule="exact"/>
                    <w:jc w:val="center"/>
                    <w:rPr>
                      <w:rFonts w:ascii="Times New Roman" w:hAnsi="Times New Roman" w:eastAsia="宋体"/>
                      <w:color w:val="auto"/>
                      <w:szCs w:val="21"/>
                      <w:highlight w:val="none"/>
                      <w:lang w:val="en-GB"/>
                    </w:rPr>
                  </w:pPr>
                  <w:r>
                    <w:rPr>
                      <w:rFonts w:ascii="Times New Roman" w:hAnsi="Times New Roman" w:eastAsia="宋体"/>
                      <w:color w:val="auto"/>
                      <w:szCs w:val="21"/>
                      <w:highlight w:val="none"/>
                      <w:lang w:val="en-GB"/>
                    </w:rPr>
                    <w:t>白色</w:t>
                  </w:r>
                </w:p>
              </w:tc>
              <w:tc>
                <w:tcPr>
                  <w:tcW w:w="1155" w:type="dxa"/>
                  <w:tcBorders>
                    <w:top w:val="single" w:color="auto" w:sz="6" w:space="0"/>
                    <w:left w:val="single" w:color="auto" w:sz="6" w:space="0"/>
                    <w:bottom w:val="single" w:color="auto" w:sz="12" w:space="0"/>
                    <w:right w:val="single" w:color="auto" w:sz="6" w:space="0"/>
                  </w:tcBorders>
                  <w:tcMar>
                    <w:left w:w="0" w:type="dxa"/>
                    <w:right w:w="0" w:type="dxa"/>
                  </w:tcMar>
                  <w:vAlign w:val="center"/>
                </w:tcPr>
                <w:p w14:paraId="4D3FEA74">
                  <w:pPr>
                    <w:pStyle w:val="113"/>
                    <w:snapToGrid w:val="0"/>
                    <w:spacing w:line="340" w:lineRule="exact"/>
                    <w:jc w:val="center"/>
                    <w:rPr>
                      <w:rFonts w:ascii="Times New Roman" w:hAnsi="Times New Roman" w:eastAsia="宋体"/>
                      <w:color w:val="auto"/>
                      <w:szCs w:val="21"/>
                      <w:highlight w:val="none"/>
                      <w:lang w:val="en-GB"/>
                    </w:rPr>
                  </w:pPr>
                  <w:r>
                    <w:rPr>
                      <w:rFonts w:ascii="Times New Roman" w:hAnsi="Times New Roman" w:eastAsia="宋体"/>
                      <w:color w:val="auto"/>
                      <w:szCs w:val="21"/>
                      <w:highlight w:val="none"/>
                      <w:lang w:val="en-GB"/>
                    </w:rPr>
                    <w:t>白色</w:t>
                  </w:r>
                </w:p>
              </w:tc>
              <w:tc>
                <w:tcPr>
                  <w:tcW w:w="1155" w:type="dxa"/>
                  <w:tcBorders>
                    <w:top w:val="single" w:color="auto" w:sz="6" w:space="0"/>
                    <w:left w:val="single" w:color="auto" w:sz="6" w:space="0"/>
                    <w:bottom w:val="single" w:color="auto" w:sz="12" w:space="0"/>
                    <w:right w:val="single" w:color="auto" w:sz="6" w:space="0"/>
                  </w:tcBorders>
                  <w:tcMar>
                    <w:left w:w="0" w:type="dxa"/>
                    <w:right w:w="0" w:type="dxa"/>
                  </w:tcMar>
                  <w:vAlign w:val="center"/>
                </w:tcPr>
                <w:p w14:paraId="17E9AEEA">
                  <w:pPr>
                    <w:pStyle w:val="113"/>
                    <w:snapToGrid w:val="0"/>
                    <w:spacing w:line="340" w:lineRule="exact"/>
                    <w:jc w:val="center"/>
                    <w:rPr>
                      <w:rFonts w:ascii="Times New Roman" w:hAnsi="Times New Roman" w:eastAsia="宋体"/>
                      <w:color w:val="auto"/>
                      <w:szCs w:val="21"/>
                      <w:highlight w:val="none"/>
                      <w:lang w:val="en-GB"/>
                    </w:rPr>
                  </w:pPr>
                  <w:r>
                    <w:rPr>
                      <w:rFonts w:ascii="Times New Roman" w:hAnsi="Times New Roman" w:eastAsia="宋体"/>
                      <w:color w:val="auto"/>
                      <w:szCs w:val="21"/>
                      <w:highlight w:val="none"/>
                      <w:lang w:val="en-GB"/>
                    </w:rPr>
                    <w:t>白色</w:t>
                  </w:r>
                </w:p>
              </w:tc>
              <w:tc>
                <w:tcPr>
                  <w:tcW w:w="1257" w:type="dxa"/>
                  <w:tcBorders>
                    <w:top w:val="single" w:color="auto" w:sz="6" w:space="0"/>
                    <w:left w:val="single" w:color="auto" w:sz="6" w:space="0"/>
                    <w:bottom w:val="single" w:color="auto" w:sz="12" w:space="0"/>
                    <w:right w:val="single" w:color="auto" w:sz="6" w:space="0"/>
                  </w:tcBorders>
                  <w:tcMar>
                    <w:left w:w="0" w:type="dxa"/>
                    <w:right w:w="0" w:type="dxa"/>
                  </w:tcMar>
                  <w:vAlign w:val="center"/>
                </w:tcPr>
                <w:p w14:paraId="3E8F7ADC">
                  <w:pPr>
                    <w:pStyle w:val="113"/>
                    <w:snapToGrid w:val="0"/>
                    <w:spacing w:line="340" w:lineRule="exact"/>
                    <w:jc w:val="center"/>
                    <w:rPr>
                      <w:rFonts w:ascii="Times New Roman" w:hAnsi="Times New Roman" w:eastAsia="宋体"/>
                      <w:color w:val="auto"/>
                      <w:szCs w:val="21"/>
                      <w:highlight w:val="none"/>
                      <w:lang w:val="en-GB"/>
                    </w:rPr>
                  </w:pPr>
                  <w:r>
                    <w:rPr>
                      <w:rFonts w:ascii="Times New Roman" w:hAnsi="Times New Roman" w:eastAsia="宋体"/>
                      <w:color w:val="auto"/>
                      <w:szCs w:val="21"/>
                      <w:highlight w:val="none"/>
                      <w:lang w:val="en-GB"/>
                    </w:rPr>
                    <w:t>黑色</w:t>
                  </w:r>
                </w:p>
              </w:tc>
              <w:tc>
                <w:tcPr>
                  <w:tcW w:w="1118" w:type="dxa"/>
                  <w:tcBorders>
                    <w:top w:val="single" w:color="auto" w:sz="6" w:space="0"/>
                    <w:left w:val="single" w:color="auto" w:sz="6" w:space="0"/>
                    <w:bottom w:val="single" w:color="auto" w:sz="12" w:space="0"/>
                    <w:right w:val="nil"/>
                  </w:tcBorders>
                  <w:tcMar>
                    <w:left w:w="0" w:type="dxa"/>
                    <w:right w:w="0" w:type="dxa"/>
                  </w:tcMar>
                  <w:vAlign w:val="center"/>
                </w:tcPr>
                <w:p w14:paraId="00BD130B">
                  <w:pPr>
                    <w:pStyle w:val="113"/>
                    <w:snapToGrid w:val="0"/>
                    <w:spacing w:line="340" w:lineRule="exact"/>
                    <w:jc w:val="center"/>
                    <w:rPr>
                      <w:rFonts w:ascii="Times New Roman" w:hAnsi="Times New Roman" w:eastAsia="宋体"/>
                      <w:color w:val="auto"/>
                      <w:szCs w:val="21"/>
                      <w:highlight w:val="none"/>
                      <w:lang w:val="en-GB"/>
                    </w:rPr>
                  </w:pPr>
                  <w:r>
                    <w:rPr>
                      <w:rFonts w:ascii="Times New Roman" w:hAnsi="Times New Roman" w:eastAsia="宋体"/>
                      <w:color w:val="auto"/>
                      <w:szCs w:val="21"/>
                      <w:highlight w:val="none"/>
                      <w:lang w:val="en-GB"/>
                    </w:rPr>
                    <w:t>黑色</w:t>
                  </w:r>
                </w:p>
              </w:tc>
            </w:tr>
          </w:tbl>
          <w:p w14:paraId="2D408AC0">
            <w:pPr>
              <w:keepNext w:val="0"/>
              <w:keepLines w:val="0"/>
              <w:pageBreakBefore w:val="0"/>
              <w:widowControl w:val="0"/>
              <w:kinsoku/>
              <w:wordWrap/>
              <w:overflowPunct/>
              <w:topLinePunct w:val="0"/>
              <w:autoSpaceDE w:val="0"/>
              <w:autoSpaceDN w:val="0"/>
              <w:bidi w:val="0"/>
              <w:adjustRightInd w:val="0"/>
              <w:snapToGrid w:val="0"/>
              <w:spacing w:before="157" w:beforeLines="50" w:line="360" w:lineRule="auto"/>
              <w:ind w:firstLine="422" w:firstLineChars="200"/>
              <w:textAlignment w:val="auto"/>
              <w:rPr>
                <w:rFonts w:hint="eastAsia" w:ascii="Times New Roman" w:hAnsi="Times New Roman" w:eastAsia="宋体" w:cs="Times New Roman"/>
                <w:b/>
                <w:bCs/>
                <w:color w:val="auto"/>
                <w:kern w:val="0"/>
                <w:szCs w:val="21"/>
                <w:lang w:eastAsia="zh-CN"/>
              </w:rPr>
            </w:pPr>
            <w:r>
              <w:rPr>
                <w:rFonts w:hint="eastAsia" w:cs="Times New Roman"/>
                <w:b/>
                <w:bCs/>
                <w:color w:val="auto"/>
                <w:kern w:val="0"/>
                <w:szCs w:val="21"/>
                <w:lang w:val="en-US" w:eastAsia="zh-CN"/>
              </w:rPr>
              <w:t>5</w:t>
            </w:r>
            <w:r>
              <w:rPr>
                <w:rFonts w:hint="eastAsia" w:ascii="Times New Roman" w:hAnsi="Times New Roman" w:eastAsia="宋体" w:cs="Times New Roman"/>
                <w:b/>
                <w:bCs/>
                <w:color w:val="auto"/>
                <w:kern w:val="0"/>
                <w:szCs w:val="21"/>
              </w:rPr>
              <w:t>、环保信息公开要求</w:t>
            </w:r>
            <w:r>
              <w:rPr>
                <w:rFonts w:hint="eastAsia" w:ascii="Times New Roman" w:hAnsi="Times New Roman" w:eastAsia="宋体" w:cs="Times New Roman"/>
                <w:b/>
                <w:bCs/>
                <w:color w:val="auto"/>
                <w:kern w:val="0"/>
                <w:szCs w:val="21"/>
                <w:lang w:eastAsia="zh-CN"/>
              </w:rPr>
              <w:t>：</w:t>
            </w:r>
          </w:p>
          <w:p w14:paraId="3A4D5604">
            <w:pPr>
              <w:pStyle w:val="130"/>
              <w:rPr>
                <w:rFonts w:hint="default" w:ascii="Times New Roman" w:hAnsi="Times New Roman"/>
                <w:color w:val="auto"/>
                <w:sz w:val="21"/>
                <w:szCs w:val="21"/>
                <w:highlight w:val="none"/>
              </w:rPr>
            </w:pPr>
            <w:r>
              <w:rPr>
                <w:rFonts w:hint="default" w:ascii="Times New Roman" w:hAnsi="Times New Roman"/>
                <w:color w:val="auto"/>
                <w:sz w:val="21"/>
                <w:szCs w:val="21"/>
                <w:highlight w:val="none"/>
              </w:rPr>
              <w:t>根据《企业事业单位环境信息公开办法》</w:t>
            </w:r>
            <w:r>
              <w:rPr>
                <w:rFonts w:ascii="Times New Roman" w:hAnsi="Times New Roman"/>
                <w:color w:val="auto"/>
                <w:sz w:val="21"/>
                <w:szCs w:val="21"/>
                <w:highlight w:val="none"/>
              </w:rPr>
              <w:t>（</w:t>
            </w:r>
            <w:r>
              <w:rPr>
                <w:rFonts w:hint="default" w:ascii="Times New Roman" w:hAnsi="Times New Roman"/>
                <w:color w:val="auto"/>
                <w:sz w:val="21"/>
                <w:szCs w:val="21"/>
                <w:highlight w:val="none"/>
              </w:rPr>
              <w:t>环境保护部令第31号</w:t>
            </w:r>
            <w:r>
              <w:rPr>
                <w:rFonts w:ascii="Times New Roman" w:hAnsi="Times New Roman"/>
                <w:color w:val="auto"/>
                <w:sz w:val="21"/>
                <w:szCs w:val="21"/>
                <w:highlight w:val="none"/>
              </w:rPr>
              <w:t>）</w:t>
            </w:r>
            <w:r>
              <w:rPr>
                <w:rFonts w:hint="default" w:ascii="Times New Roman" w:hAnsi="Times New Roman"/>
                <w:color w:val="auto"/>
                <w:sz w:val="21"/>
                <w:szCs w:val="21"/>
                <w:highlight w:val="none"/>
              </w:rPr>
              <w:t>，企业事业单位应当按照强制公开和自愿公开相结合的原则，及时、如实地公开其环境信息。企业事业单位应当建立健全本单位环境信息公开制度，指定机构负责本单位环境信息公开日常工作，排污单位应当公开以下信息：</w:t>
            </w:r>
          </w:p>
          <w:p w14:paraId="6CD515D0">
            <w:pPr>
              <w:pStyle w:val="130"/>
              <w:rPr>
                <w:rFonts w:hint="default" w:ascii="Times New Roman" w:hAnsi="Times New Roman"/>
                <w:color w:val="auto"/>
                <w:sz w:val="21"/>
                <w:szCs w:val="21"/>
                <w:highlight w:val="none"/>
              </w:rPr>
            </w:pPr>
            <w:r>
              <w:rPr>
                <w:rFonts w:hint="default" w:ascii="Times New Roman" w:hAnsi="Times New Roman"/>
                <w:color w:val="auto"/>
                <w:sz w:val="21"/>
                <w:szCs w:val="21"/>
                <w:highlight w:val="none"/>
              </w:rPr>
              <w:t>（一）基础信息，包括单位名称、统一社会信用代码、法定代表人、生产地址、联系方式，以及生产经营和管理服务的主要内容、产品及规模；</w:t>
            </w:r>
          </w:p>
          <w:p w14:paraId="3A954AC5">
            <w:pPr>
              <w:pStyle w:val="130"/>
              <w:rPr>
                <w:rFonts w:hint="default" w:ascii="Times New Roman" w:hAnsi="Times New Roman"/>
                <w:color w:val="auto"/>
                <w:sz w:val="21"/>
                <w:szCs w:val="21"/>
                <w:highlight w:val="none"/>
              </w:rPr>
            </w:pPr>
            <w:r>
              <w:rPr>
                <w:rFonts w:hint="default" w:ascii="Times New Roman" w:hAnsi="Times New Roman"/>
                <w:color w:val="auto"/>
                <w:sz w:val="21"/>
                <w:szCs w:val="21"/>
                <w:highlight w:val="none"/>
              </w:rPr>
              <w:t>（二）排污信息，包括主要污染物及特征污染物的名称、排放方式、排放口数量和分布情况、排放浓度和总量、超标情况，以及执行的污染物排放标准、核定的排放总量；</w:t>
            </w:r>
          </w:p>
          <w:p w14:paraId="0D01F964">
            <w:pPr>
              <w:pStyle w:val="130"/>
              <w:rPr>
                <w:rFonts w:hint="default" w:ascii="Times New Roman" w:hAnsi="Times New Roman"/>
                <w:color w:val="auto"/>
                <w:sz w:val="21"/>
                <w:szCs w:val="21"/>
                <w:highlight w:val="none"/>
              </w:rPr>
            </w:pPr>
            <w:r>
              <w:rPr>
                <w:rFonts w:hint="default" w:ascii="Times New Roman" w:hAnsi="Times New Roman"/>
                <w:color w:val="auto"/>
                <w:sz w:val="21"/>
                <w:szCs w:val="21"/>
                <w:highlight w:val="none"/>
              </w:rPr>
              <w:t>（三）防治污染设施的建设和运行情况；</w:t>
            </w:r>
          </w:p>
          <w:p w14:paraId="79F874B8">
            <w:pPr>
              <w:pStyle w:val="130"/>
              <w:rPr>
                <w:rFonts w:hint="default" w:ascii="Times New Roman" w:hAnsi="Times New Roman"/>
                <w:color w:val="auto"/>
                <w:sz w:val="21"/>
                <w:szCs w:val="21"/>
                <w:highlight w:val="none"/>
              </w:rPr>
            </w:pPr>
            <w:r>
              <w:rPr>
                <w:rFonts w:hint="default" w:ascii="Times New Roman" w:hAnsi="Times New Roman"/>
                <w:color w:val="auto"/>
                <w:sz w:val="21"/>
                <w:szCs w:val="21"/>
                <w:highlight w:val="none"/>
              </w:rPr>
              <w:t>（四）建设项目环境影响评价及其他环境保护行政许可情况；</w:t>
            </w:r>
          </w:p>
          <w:p w14:paraId="52DC0417">
            <w:pPr>
              <w:pStyle w:val="130"/>
              <w:rPr>
                <w:rFonts w:hint="default" w:ascii="Times New Roman" w:hAnsi="Times New Roman"/>
                <w:color w:val="auto"/>
                <w:sz w:val="21"/>
                <w:szCs w:val="21"/>
                <w:highlight w:val="none"/>
              </w:rPr>
            </w:pPr>
            <w:r>
              <w:rPr>
                <w:rFonts w:hint="default" w:ascii="Times New Roman" w:hAnsi="Times New Roman"/>
                <w:color w:val="auto"/>
                <w:sz w:val="21"/>
                <w:szCs w:val="21"/>
                <w:highlight w:val="none"/>
              </w:rPr>
              <w:t>（五）突发环境事件应急预案；</w:t>
            </w:r>
          </w:p>
          <w:p w14:paraId="6CEA6FE2">
            <w:pPr>
              <w:pStyle w:val="130"/>
              <w:rPr>
                <w:rFonts w:hint="default" w:ascii="Times New Roman" w:hAnsi="Times New Roman"/>
                <w:color w:val="auto"/>
                <w:sz w:val="21"/>
                <w:szCs w:val="21"/>
                <w:highlight w:val="none"/>
              </w:rPr>
            </w:pPr>
            <w:r>
              <w:rPr>
                <w:rFonts w:hint="default" w:ascii="Times New Roman" w:hAnsi="Times New Roman"/>
                <w:color w:val="auto"/>
                <w:sz w:val="21"/>
                <w:szCs w:val="21"/>
                <w:highlight w:val="none"/>
              </w:rPr>
              <w:t>（六）其他应当公开的环境信息。</w:t>
            </w:r>
          </w:p>
          <w:p w14:paraId="64FC5049">
            <w:pPr>
              <w:pStyle w:val="130"/>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olor w:val="auto"/>
                <w:sz w:val="21"/>
                <w:szCs w:val="21"/>
                <w:highlight w:val="none"/>
              </w:rPr>
            </w:pPr>
            <w:r>
              <w:rPr>
                <w:rFonts w:hint="default" w:ascii="Times New Roman" w:hAnsi="Times New Roman"/>
                <w:color w:val="auto"/>
                <w:sz w:val="21"/>
                <w:szCs w:val="21"/>
                <w:highlight w:val="none"/>
              </w:rPr>
              <w:t>列入国家重点监控企业名单的重点排污单位应当公开其环境自行监测方案。</w:t>
            </w:r>
          </w:p>
          <w:p w14:paraId="597BE0E7">
            <w:pPr>
              <w:pStyle w:val="130"/>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olor w:val="auto"/>
                <w:sz w:val="21"/>
                <w:szCs w:val="21"/>
                <w:highlight w:val="none"/>
              </w:rPr>
            </w:pPr>
            <w:r>
              <w:rPr>
                <w:rFonts w:hint="default" w:ascii="Times New Roman" w:hAnsi="Times New Roman"/>
                <w:color w:val="auto"/>
                <w:sz w:val="21"/>
                <w:szCs w:val="21"/>
                <w:highlight w:val="none"/>
              </w:rPr>
              <w:t>建设单位应按照上述要求公开项目的相关信息，采取的信息公开途径可包括：</w:t>
            </w:r>
          </w:p>
          <w:p w14:paraId="56F4E88A">
            <w:pPr>
              <w:pStyle w:val="130"/>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olor w:val="auto"/>
                <w:sz w:val="21"/>
                <w:szCs w:val="21"/>
                <w:highlight w:val="none"/>
              </w:rPr>
            </w:pPr>
            <w:r>
              <w:rPr>
                <w:rFonts w:hint="default" w:ascii="Times New Roman" w:hAnsi="Times New Roman"/>
                <w:color w:val="auto"/>
                <w:sz w:val="21"/>
                <w:szCs w:val="21"/>
                <w:highlight w:val="none"/>
              </w:rPr>
              <w:t>①公告或者公开发行的信息专刊；</w:t>
            </w:r>
          </w:p>
          <w:p w14:paraId="796C9EF4">
            <w:pPr>
              <w:pStyle w:val="130"/>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olor w:val="auto"/>
                <w:sz w:val="21"/>
                <w:szCs w:val="21"/>
                <w:highlight w:val="none"/>
              </w:rPr>
            </w:pPr>
            <w:r>
              <w:rPr>
                <w:rFonts w:hint="default" w:ascii="Times New Roman" w:hAnsi="Times New Roman"/>
                <w:color w:val="auto"/>
                <w:sz w:val="21"/>
                <w:szCs w:val="21"/>
                <w:highlight w:val="none"/>
              </w:rPr>
              <w:t>②广播、电视等新闻媒体；</w:t>
            </w:r>
          </w:p>
          <w:p w14:paraId="2E56FB43">
            <w:pPr>
              <w:pStyle w:val="130"/>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olor w:val="auto"/>
                <w:sz w:val="21"/>
                <w:szCs w:val="21"/>
                <w:highlight w:val="none"/>
              </w:rPr>
            </w:pPr>
            <w:r>
              <w:rPr>
                <w:rFonts w:hint="default" w:ascii="Times New Roman" w:hAnsi="Times New Roman"/>
                <w:color w:val="auto"/>
                <w:sz w:val="21"/>
                <w:szCs w:val="21"/>
                <w:highlight w:val="none"/>
              </w:rPr>
              <w:t>③信息公开服务、监督热线电话；</w:t>
            </w:r>
          </w:p>
          <w:p w14:paraId="5AF00D20">
            <w:pPr>
              <w:pStyle w:val="130"/>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olor w:val="auto"/>
                <w:sz w:val="21"/>
                <w:szCs w:val="21"/>
                <w:highlight w:val="none"/>
              </w:rPr>
            </w:pPr>
            <w:r>
              <w:rPr>
                <w:rFonts w:hint="default" w:ascii="Times New Roman" w:hAnsi="Times New Roman"/>
                <w:color w:val="auto"/>
                <w:sz w:val="21"/>
                <w:szCs w:val="21"/>
                <w:highlight w:val="none"/>
              </w:rPr>
              <w:t>④本单位的资料索取点、信息公开栏、信息亭、电子屏幕、电子触摸屏等场所或者设施；</w:t>
            </w:r>
          </w:p>
          <w:p w14:paraId="796B467F">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宋体"/>
                <w:color w:val="auto"/>
                <w:kern w:val="2"/>
                <w:sz w:val="21"/>
                <w:szCs w:val="21"/>
                <w:highlight w:val="none"/>
                <w:lang w:val="en-US" w:eastAsia="zh-CN" w:bidi="ar-SA"/>
              </w:rPr>
              <w:t>⑤其他便于公众及时、准确获得信息的方式。</w:t>
            </w:r>
          </w:p>
        </w:tc>
      </w:tr>
    </w:tbl>
    <w:p w14:paraId="3BCFF19C">
      <w:pPr>
        <w:rPr>
          <w:color w:val="auto"/>
        </w:rPr>
      </w:pPr>
    </w:p>
    <w:p w14:paraId="15BC1243">
      <w:pPr>
        <w:pStyle w:val="27"/>
        <w:jc w:val="center"/>
        <w:outlineLvl w:val="0"/>
        <w:rPr>
          <w:rFonts w:hint="eastAsia"/>
          <w:snapToGrid w:val="0"/>
          <w:color w:val="auto"/>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760748BB">
      <w:pPr>
        <w:pStyle w:val="27"/>
        <w:jc w:val="center"/>
        <w:outlineLvl w:val="0"/>
        <w:rPr>
          <w:rFonts w:hint="eastAsia" w:ascii="黑体" w:hAnsi="黑体" w:eastAsia="黑体"/>
          <w:snapToGrid w:val="0"/>
          <w:color w:val="auto"/>
          <w:sz w:val="30"/>
          <w:szCs w:val="30"/>
        </w:rPr>
      </w:pPr>
      <w:bookmarkStart w:id="27" w:name="_Toc17131"/>
      <w:bookmarkStart w:id="28" w:name="_Toc25071"/>
      <w:r>
        <w:rPr>
          <w:rFonts w:hint="eastAsia" w:ascii="Times New Roman" w:hAnsi="Times New Roman"/>
          <w:b/>
          <w:bCs/>
          <w:color w:val="auto"/>
          <w:kern w:val="2"/>
          <w:sz w:val="32"/>
          <w:szCs w:val="32"/>
        </w:rPr>
        <w:t>六、结论</w:t>
      </w:r>
      <w:bookmarkEnd w:id="27"/>
      <w:bookmarkEnd w:id="28"/>
    </w:p>
    <w:tbl>
      <w:tblPr>
        <w:tblStyle w:val="31"/>
        <w:tblW w:w="886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01992B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tcPr>
          <w:p w14:paraId="7D1DCF4E">
            <w:pPr>
              <w:autoSpaceDE w:val="0"/>
              <w:autoSpaceDN w:val="0"/>
              <w:adjustRightInd w:val="0"/>
              <w:snapToGrid w:val="0"/>
              <w:spacing w:line="360" w:lineRule="auto"/>
              <w:ind w:firstLine="480" w:firstLineChars="200"/>
              <w:rPr>
                <w:color w:val="auto"/>
                <w:sz w:val="24"/>
              </w:rPr>
            </w:pPr>
            <w:r>
              <w:rPr>
                <w:rFonts w:hint="eastAsia"/>
                <w:color w:val="auto"/>
                <w:sz w:val="24"/>
              </w:rPr>
              <w:t>综上所述，泰德能源科技</w:t>
            </w:r>
            <w:r>
              <w:rPr>
                <w:rFonts w:hint="eastAsia"/>
                <w:color w:val="auto"/>
                <w:sz w:val="24"/>
                <w:lang w:val="en-US" w:eastAsia="zh-CN"/>
              </w:rPr>
              <w:t>（</w:t>
            </w:r>
            <w:r>
              <w:rPr>
                <w:rFonts w:hint="eastAsia"/>
                <w:color w:val="auto"/>
                <w:sz w:val="24"/>
              </w:rPr>
              <w:t>福建</w:t>
            </w:r>
            <w:r>
              <w:rPr>
                <w:rFonts w:hint="eastAsia"/>
                <w:color w:val="auto"/>
                <w:sz w:val="24"/>
                <w:lang w:val="en-US" w:eastAsia="zh-CN"/>
              </w:rPr>
              <w:t>）</w:t>
            </w:r>
            <w:r>
              <w:rPr>
                <w:rFonts w:hint="eastAsia"/>
                <w:color w:val="auto"/>
                <w:sz w:val="24"/>
              </w:rPr>
              <w:t>有限公司发电设备生产基地项目符合国家产业政策，符合相关规划及</w:t>
            </w:r>
            <w:r>
              <w:rPr>
                <w:rFonts w:hint="eastAsia"/>
                <w:color w:val="auto"/>
                <w:kern w:val="0"/>
                <w:sz w:val="24"/>
                <w:lang w:eastAsia="zh-CN" w:bidi="ar"/>
              </w:rPr>
              <w:t>“</w:t>
            </w:r>
            <w:r>
              <w:rPr>
                <w:color w:val="auto"/>
                <w:kern w:val="0"/>
                <w:sz w:val="24"/>
                <w:lang w:bidi="ar"/>
              </w:rPr>
              <w:t>三线一单</w:t>
            </w:r>
            <w:r>
              <w:rPr>
                <w:rFonts w:hint="eastAsia"/>
                <w:color w:val="auto"/>
                <w:kern w:val="0"/>
                <w:sz w:val="24"/>
                <w:lang w:eastAsia="zh-CN" w:bidi="ar"/>
              </w:rPr>
              <w:t>”</w:t>
            </w:r>
            <w:r>
              <w:rPr>
                <w:rFonts w:hint="eastAsia"/>
                <w:color w:val="auto"/>
                <w:kern w:val="0"/>
                <w:sz w:val="24"/>
                <w:lang w:bidi="ar"/>
              </w:rPr>
              <w:t>管控</w:t>
            </w:r>
            <w:r>
              <w:rPr>
                <w:rFonts w:hint="eastAsia"/>
                <w:color w:val="auto"/>
                <w:sz w:val="24"/>
              </w:rPr>
              <w:t>要求，</w:t>
            </w:r>
            <w:r>
              <w:rPr>
                <w:color w:val="auto"/>
                <w:sz w:val="24"/>
              </w:rPr>
              <w:t>项目与周边环境功能区划相符，符合规划布局要求，选址合理可行。</w:t>
            </w:r>
          </w:p>
          <w:p w14:paraId="53EC32E3">
            <w:pPr>
              <w:autoSpaceDE w:val="0"/>
              <w:autoSpaceDN w:val="0"/>
              <w:adjustRightInd w:val="0"/>
              <w:snapToGrid w:val="0"/>
              <w:spacing w:line="360" w:lineRule="auto"/>
              <w:ind w:firstLine="480" w:firstLineChars="200"/>
              <w:rPr>
                <w:rFonts w:hint="eastAsia" w:ascii="宋体" w:hAnsi="宋体" w:cs="宋体"/>
                <w:color w:val="auto"/>
                <w:kern w:val="0"/>
                <w:sz w:val="24"/>
              </w:rPr>
            </w:pPr>
            <w:r>
              <w:rPr>
                <w:rFonts w:hint="eastAsia"/>
                <w:color w:val="auto"/>
                <w:sz w:val="24"/>
              </w:rPr>
              <w:t>通过对该项目的工程分析、环境影响分析，在采取本报告提出的污染控制措施的基础上，项目各污染物经相应治理措施净化处理后能够实现稳定达标排放，对项目区域大气环境、水环境、声环境的影响属于可接受范围，对环境的影响较小</w:t>
            </w:r>
            <w:r>
              <w:rPr>
                <w:color w:val="auto"/>
                <w:sz w:val="24"/>
              </w:rPr>
              <w:t>。因此，在落实上述措施前提下，从环境保护角度分析，本项目的建设是可行的</w:t>
            </w:r>
            <w:r>
              <w:rPr>
                <w:rFonts w:hint="eastAsia" w:ascii="宋体" w:hAnsi="宋体" w:cs="宋体"/>
                <w:color w:val="auto"/>
                <w:kern w:val="0"/>
                <w:sz w:val="24"/>
              </w:rPr>
              <w:t>。</w:t>
            </w:r>
          </w:p>
          <w:p w14:paraId="34648CA8">
            <w:pPr>
              <w:autoSpaceDE w:val="0"/>
              <w:autoSpaceDN w:val="0"/>
              <w:adjustRightInd w:val="0"/>
              <w:snapToGrid w:val="0"/>
              <w:spacing w:line="360" w:lineRule="auto"/>
              <w:ind w:firstLine="480" w:firstLineChars="200"/>
              <w:rPr>
                <w:rFonts w:hint="eastAsia" w:ascii="宋体" w:hAnsi="宋体" w:cs="宋体"/>
                <w:color w:val="auto"/>
                <w:kern w:val="0"/>
                <w:sz w:val="24"/>
              </w:rPr>
            </w:pPr>
          </w:p>
          <w:p w14:paraId="47304C4F">
            <w:pPr>
              <w:autoSpaceDE w:val="0"/>
              <w:autoSpaceDN w:val="0"/>
              <w:adjustRightInd w:val="0"/>
              <w:snapToGrid w:val="0"/>
              <w:spacing w:line="360" w:lineRule="auto"/>
              <w:ind w:firstLine="482" w:firstLineChars="200"/>
              <w:jc w:val="right"/>
              <w:rPr>
                <w:rFonts w:hint="eastAsia" w:ascii="宋体" w:hAnsi="宋体" w:cs="宋体"/>
                <w:b/>
                <w:bCs/>
                <w:color w:val="auto"/>
                <w:kern w:val="0"/>
                <w:sz w:val="24"/>
              </w:rPr>
            </w:pPr>
          </w:p>
          <w:p w14:paraId="4926B014">
            <w:pPr>
              <w:autoSpaceDE w:val="0"/>
              <w:autoSpaceDN w:val="0"/>
              <w:adjustRightInd w:val="0"/>
              <w:snapToGrid w:val="0"/>
              <w:spacing w:line="360" w:lineRule="auto"/>
              <w:ind w:firstLine="482" w:firstLineChars="200"/>
              <w:jc w:val="right"/>
              <w:rPr>
                <w:rFonts w:hint="eastAsia" w:ascii="Times New Roman" w:hAnsi="Times New Roman" w:eastAsia="宋体" w:cs="Times New Roman"/>
                <w:b/>
                <w:bCs/>
                <w:color w:val="auto"/>
                <w:kern w:val="0"/>
                <w:sz w:val="24"/>
                <w:lang w:eastAsia="zh-CN"/>
              </w:rPr>
            </w:pPr>
            <w:r>
              <w:rPr>
                <w:rFonts w:hint="eastAsia"/>
                <w:b/>
                <w:bCs/>
                <w:color w:val="auto"/>
                <w:sz w:val="24"/>
                <w:lang w:eastAsia="zh-CN"/>
              </w:rPr>
              <w:t>福建九邦环境检测科研有限公司</w:t>
            </w:r>
          </w:p>
          <w:p w14:paraId="62518904">
            <w:pPr>
              <w:autoSpaceDE w:val="0"/>
              <w:autoSpaceDN w:val="0"/>
              <w:adjustRightInd w:val="0"/>
              <w:snapToGrid w:val="0"/>
              <w:spacing w:line="360" w:lineRule="auto"/>
              <w:ind w:firstLine="482" w:firstLineChars="200"/>
              <w:jc w:val="right"/>
              <w:rPr>
                <w:rFonts w:hint="default" w:ascii="Times New Roman" w:hAnsi="Times New Roman" w:cs="Times New Roman"/>
                <w:b/>
                <w:bCs/>
                <w:color w:val="auto"/>
                <w:kern w:val="0"/>
                <w:sz w:val="24"/>
              </w:rPr>
            </w:pPr>
            <w:r>
              <w:rPr>
                <w:rFonts w:hint="default" w:ascii="Times New Roman" w:hAnsi="Times New Roman" w:cs="Times New Roman"/>
                <w:b/>
                <w:bCs/>
                <w:color w:val="auto"/>
                <w:kern w:val="0"/>
                <w:sz w:val="24"/>
              </w:rPr>
              <w:t>202</w:t>
            </w:r>
            <w:r>
              <w:rPr>
                <w:rFonts w:hint="eastAsia" w:cs="Times New Roman"/>
                <w:b/>
                <w:bCs/>
                <w:color w:val="auto"/>
                <w:kern w:val="0"/>
                <w:sz w:val="24"/>
                <w:lang w:val="en-US" w:eastAsia="zh-CN"/>
              </w:rPr>
              <w:t>6</w:t>
            </w:r>
            <w:r>
              <w:rPr>
                <w:rFonts w:hint="default" w:ascii="Times New Roman" w:hAnsi="Times New Roman" w:cs="Times New Roman"/>
                <w:b/>
                <w:bCs/>
                <w:color w:val="auto"/>
                <w:kern w:val="0"/>
                <w:sz w:val="24"/>
              </w:rPr>
              <w:t>年</w:t>
            </w:r>
            <w:r>
              <w:rPr>
                <w:rFonts w:hint="eastAsia" w:cs="Times New Roman"/>
                <w:b/>
                <w:bCs/>
                <w:color w:val="auto"/>
                <w:kern w:val="0"/>
                <w:sz w:val="24"/>
                <w:lang w:val="en-US" w:eastAsia="zh-CN"/>
              </w:rPr>
              <w:t>7</w:t>
            </w:r>
            <w:r>
              <w:rPr>
                <w:rFonts w:hint="default" w:ascii="Times New Roman" w:hAnsi="Times New Roman" w:cs="Times New Roman"/>
                <w:b/>
                <w:bCs/>
                <w:color w:val="auto"/>
                <w:kern w:val="0"/>
                <w:sz w:val="24"/>
              </w:rPr>
              <w:t>月</w:t>
            </w:r>
          </w:p>
          <w:p w14:paraId="10104640">
            <w:pPr>
              <w:autoSpaceDE w:val="0"/>
              <w:autoSpaceDN w:val="0"/>
              <w:adjustRightInd w:val="0"/>
              <w:snapToGrid w:val="0"/>
              <w:spacing w:line="360" w:lineRule="auto"/>
              <w:ind w:firstLine="482" w:firstLineChars="200"/>
              <w:rPr>
                <w:rFonts w:hint="eastAsia" w:ascii="宋体" w:hAnsi="宋体" w:cs="宋体"/>
                <w:b/>
                <w:bCs/>
                <w:color w:val="auto"/>
                <w:kern w:val="0"/>
                <w:sz w:val="24"/>
              </w:rPr>
            </w:pPr>
          </w:p>
          <w:p w14:paraId="2C21BE6A">
            <w:pPr>
              <w:spacing w:line="360" w:lineRule="auto"/>
              <w:rPr>
                <w:rFonts w:ascii="宋体" w:cs="宋体"/>
                <w:color w:val="auto"/>
                <w:sz w:val="24"/>
              </w:rPr>
            </w:pPr>
          </w:p>
        </w:tc>
      </w:tr>
    </w:tbl>
    <w:p w14:paraId="3AC0BC09">
      <w:pPr>
        <w:rPr>
          <w:rFonts w:ascii="宋体"/>
          <w:color w:val="auto"/>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4BAAFBA8">
      <w:pPr>
        <w:pStyle w:val="27"/>
        <w:adjustRightInd w:val="0"/>
        <w:snapToGrid w:val="0"/>
        <w:spacing w:before="0" w:beforeAutospacing="0" w:after="0" w:afterAutospacing="0"/>
        <w:outlineLvl w:val="0"/>
        <w:rPr>
          <w:rFonts w:hint="eastAsia" w:ascii="黑体" w:hAnsi="黑体" w:eastAsia="黑体"/>
          <w:snapToGrid w:val="0"/>
          <w:color w:val="auto"/>
          <w:sz w:val="32"/>
          <w:szCs w:val="32"/>
        </w:rPr>
      </w:pPr>
      <w:bookmarkStart w:id="29" w:name="_Toc17587"/>
      <w:bookmarkStart w:id="30" w:name="_Toc28633"/>
      <w:r>
        <w:rPr>
          <w:rFonts w:hint="eastAsia" w:ascii="黑体" w:hAnsi="黑体" w:eastAsia="黑体"/>
          <w:snapToGrid w:val="0"/>
          <w:color w:val="auto"/>
          <w:sz w:val="32"/>
          <w:szCs w:val="32"/>
        </w:rPr>
        <w:t>附表</w:t>
      </w:r>
      <w:bookmarkEnd w:id="29"/>
      <w:bookmarkEnd w:id="30"/>
    </w:p>
    <w:p w14:paraId="446EF4A2">
      <w:pPr>
        <w:jc w:val="center"/>
        <w:rPr>
          <w:rFonts w:hint="eastAsia" w:ascii="方正小标宋_GBK" w:hAnsi="黑体" w:eastAsia="方正小标宋_GBK"/>
          <w:snapToGrid w:val="0"/>
          <w:color w:val="auto"/>
          <w:sz w:val="38"/>
          <w:szCs w:val="38"/>
          <w:highlight w:val="none"/>
        </w:rPr>
      </w:pPr>
      <w:bookmarkStart w:id="31" w:name="_Toc20113"/>
      <w:bookmarkStart w:id="32" w:name="_Toc7051"/>
      <w:r>
        <w:rPr>
          <w:rFonts w:hint="eastAsia"/>
          <w:b/>
          <w:bCs/>
          <w:color w:val="auto"/>
          <w:sz w:val="36"/>
          <w:szCs w:val="36"/>
          <w:highlight w:val="none"/>
        </w:rPr>
        <w:t>建设项目污染物排放量汇总表</w:t>
      </w:r>
      <w:bookmarkEnd w:id="31"/>
      <w:bookmarkEnd w:id="32"/>
    </w:p>
    <w:tbl>
      <w:tblPr>
        <w:tblStyle w:val="31"/>
        <w:tblW w:w="12836"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92"/>
        <w:gridCol w:w="1922"/>
        <w:gridCol w:w="1452"/>
        <w:gridCol w:w="1023"/>
        <w:gridCol w:w="1472"/>
        <w:gridCol w:w="1470"/>
        <w:gridCol w:w="1568"/>
        <w:gridCol w:w="1547"/>
        <w:gridCol w:w="1290"/>
      </w:tblGrid>
      <w:tr w14:paraId="4C266E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92" w:type="dxa"/>
            <w:tcBorders>
              <w:tl2br w:val="single" w:color="auto" w:sz="4" w:space="0"/>
            </w:tcBorders>
            <w:tcMar>
              <w:left w:w="28" w:type="dxa"/>
              <w:right w:w="28" w:type="dxa"/>
            </w:tcMar>
            <w:vAlign w:val="center"/>
          </w:tcPr>
          <w:p w14:paraId="685B80FE">
            <w:pPr>
              <w:pStyle w:val="58"/>
              <w:spacing w:beforeLines="0" w:afterLines="0" w:line="240" w:lineRule="auto"/>
              <w:jc w:val="right"/>
              <w:rPr>
                <w:rFonts w:ascii="Times New Roman"/>
                <w:snapToGrid w:val="0"/>
                <w:color w:val="auto"/>
                <w:spacing w:val="-6"/>
                <w:kern w:val="21"/>
                <w:szCs w:val="21"/>
              </w:rPr>
            </w:pPr>
            <w:r>
              <w:rPr>
                <w:rFonts w:ascii="Times New Roman"/>
                <w:snapToGrid w:val="0"/>
                <w:color w:val="auto"/>
                <w:spacing w:val="-6"/>
                <w:kern w:val="21"/>
                <w:szCs w:val="21"/>
              </w:rPr>
              <w:t>项目</w:t>
            </w:r>
          </w:p>
          <w:p w14:paraId="483A097B">
            <w:pPr>
              <w:pStyle w:val="58"/>
              <w:spacing w:beforeLines="0" w:afterLines="0" w:line="240" w:lineRule="auto"/>
              <w:jc w:val="left"/>
              <w:rPr>
                <w:rFonts w:ascii="Times New Roman"/>
                <w:snapToGrid w:val="0"/>
                <w:color w:val="auto"/>
                <w:spacing w:val="-6"/>
                <w:kern w:val="21"/>
                <w:szCs w:val="21"/>
              </w:rPr>
            </w:pPr>
            <w:r>
              <w:rPr>
                <w:rFonts w:ascii="Times New Roman"/>
                <w:snapToGrid w:val="0"/>
                <w:color w:val="auto"/>
                <w:spacing w:val="-6"/>
                <w:kern w:val="21"/>
                <w:szCs w:val="21"/>
              </w:rPr>
              <w:t>分类</w:t>
            </w:r>
          </w:p>
        </w:tc>
        <w:tc>
          <w:tcPr>
            <w:tcW w:w="1922" w:type="dxa"/>
            <w:tcMar>
              <w:left w:w="28" w:type="dxa"/>
              <w:right w:w="28" w:type="dxa"/>
            </w:tcMar>
            <w:vAlign w:val="center"/>
          </w:tcPr>
          <w:p w14:paraId="17E9A8CA">
            <w:pPr>
              <w:pStyle w:val="58"/>
              <w:spacing w:beforeLines="0" w:afterLines="0" w:line="240" w:lineRule="auto"/>
              <w:rPr>
                <w:rFonts w:ascii="Times New Roman"/>
                <w:snapToGrid w:val="0"/>
                <w:color w:val="auto"/>
                <w:spacing w:val="-6"/>
                <w:kern w:val="21"/>
                <w:szCs w:val="21"/>
              </w:rPr>
            </w:pPr>
            <w:r>
              <w:rPr>
                <w:rFonts w:ascii="Times New Roman"/>
                <w:snapToGrid w:val="0"/>
                <w:color w:val="auto"/>
                <w:spacing w:val="-6"/>
                <w:kern w:val="21"/>
                <w:szCs w:val="21"/>
              </w:rPr>
              <w:t>污染物名称</w:t>
            </w:r>
          </w:p>
        </w:tc>
        <w:tc>
          <w:tcPr>
            <w:tcW w:w="1452" w:type="dxa"/>
            <w:tcMar>
              <w:left w:w="28" w:type="dxa"/>
              <w:right w:w="28" w:type="dxa"/>
            </w:tcMar>
            <w:vAlign w:val="center"/>
          </w:tcPr>
          <w:p w14:paraId="71C194F4">
            <w:pPr>
              <w:pStyle w:val="58"/>
              <w:spacing w:beforeLines="0" w:afterLines="0" w:line="240" w:lineRule="auto"/>
              <w:rPr>
                <w:rFonts w:ascii="Times New Roman"/>
                <w:snapToGrid w:val="0"/>
                <w:color w:val="auto"/>
                <w:spacing w:val="-6"/>
                <w:kern w:val="21"/>
                <w:szCs w:val="21"/>
              </w:rPr>
            </w:pPr>
            <w:r>
              <w:rPr>
                <w:rFonts w:ascii="Times New Roman"/>
                <w:snapToGrid w:val="0"/>
                <w:color w:val="auto"/>
                <w:spacing w:val="-6"/>
                <w:kern w:val="21"/>
                <w:szCs w:val="21"/>
              </w:rPr>
              <w:t>现有工程</w:t>
            </w:r>
          </w:p>
          <w:p w14:paraId="0CB07A08">
            <w:pPr>
              <w:pStyle w:val="58"/>
              <w:spacing w:beforeLines="0" w:afterLines="0" w:line="240" w:lineRule="auto"/>
              <w:rPr>
                <w:rFonts w:ascii="Times New Roman"/>
                <w:snapToGrid w:val="0"/>
                <w:color w:val="auto"/>
                <w:spacing w:val="-6"/>
                <w:kern w:val="21"/>
                <w:szCs w:val="21"/>
              </w:rPr>
            </w:pPr>
            <w:r>
              <w:rPr>
                <w:rFonts w:ascii="Times New Roman"/>
                <w:snapToGrid w:val="0"/>
                <w:color w:val="auto"/>
                <w:spacing w:val="-6"/>
                <w:kern w:val="21"/>
                <w:szCs w:val="21"/>
              </w:rPr>
              <w:t>排放量（固体废物产生量）</w:t>
            </w:r>
            <w:r>
              <w:rPr>
                <w:rFonts w:ascii="Times New Roman"/>
                <w:snapToGrid w:val="0"/>
                <w:color w:val="auto"/>
                <w:spacing w:val="-6"/>
                <w:kern w:val="21"/>
                <w:szCs w:val="21"/>
              </w:rPr>
              <w:fldChar w:fldCharType="begin"/>
            </w:r>
            <w:r>
              <w:rPr>
                <w:rFonts w:ascii="Times New Roman"/>
                <w:snapToGrid w:val="0"/>
                <w:color w:val="auto"/>
                <w:spacing w:val="-6"/>
                <w:kern w:val="21"/>
                <w:szCs w:val="21"/>
              </w:rPr>
              <w:instrText xml:space="preserve"> = 1 \* GB3 \* MERGEFORMAT </w:instrText>
            </w:r>
            <w:r>
              <w:rPr>
                <w:rFonts w:ascii="Times New Roman"/>
                <w:snapToGrid w:val="0"/>
                <w:color w:val="auto"/>
                <w:spacing w:val="-6"/>
                <w:kern w:val="21"/>
                <w:szCs w:val="21"/>
              </w:rPr>
              <w:fldChar w:fldCharType="separate"/>
            </w:r>
            <w:r>
              <w:rPr>
                <w:rFonts w:ascii="Times New Roman"/>
                <w:color w:val="auto"/>
                <w:kern w:val="2"/>
                <w:szCs w:val="21"/>
              </w:rPr>
              <w:t>①</w:t>
            </w:r>
            <w:r>
              <w:rPr>
                <w:rFonts w:ascii="Times New Roman"/>
                <w:snapToGrid w:val="0"/>
                <w:color w:val="auto"/>
                <w:spacing w:val="-6"/>
                <w:kern w:val="21"/>
                <w:szCs w:val="21"/>
              </w:rPr>
              <w:fldChar w:fldCharType="end"/>
            </w:r>
          </w:p>
        </w:tc>
        <w:tc>
          <w:tcPr>
            <w:tcW w:w="1023" w:type="dxa"/>
            <w:tcMar>
              <w:left w:w="28" w:type="dxa"/>
              <w:right w:w="28" w:type="dxa"/>
            </w:tcMar>
            <w:vAlign w:val="center"/>
          </w:tcPr>
          <w:p w14:paraId="146E9546">
            <w:pPr>
              <w:pStyle w:val="58"/>
              <w:spacing w:beforeLines="0" w:afterLines="0" w:line="240" w:lineRule="auto"/>
              <w:rPr>
                <w:rFonts w:ascii="Times New Roman"/>
                <w:snapToGrid w:val="0"/>
                <w:color w:val="auto"/>
                <w:spacing w:val="-6"/>
                <w:kern w:val="21"/>
                <w:szCs w:val="21"/>
              </w:rPr>
            </w:pPr>
            <w:r>
              <w:rPr>
                <w:rFonts w:ascii="Times New Roman"/>
                <w:snapToGrid w:val="0"/>
                <w:color w:val="auto"/>
                <w:spacing w:val="-6"/>
                <w:kern w:val="21"/>
                <w:szCs w:val="21"/>
              </w:rPr>
              <w:t>现有工程</w:t>
            </w:r>
          </w:p>
          <w:p w14:paraId="23F25EBB">
            <w:pPr>
              <w:pStyle w:val="58"/>
              <w:spacing w:beforeLines="0" w:afterLines="0" w:line="240" w:lineRule="auto"/>
              <w:rPr>
                <w:rFonts w:ascii="Times New Roman"/>
                <w:snapToGrid w:val="0"/>
                <w:color w:val="auto"/>
                <w:spacing w:val="-6"/>
                <w:kern w:val="21"/>
                <w:szCs w:val="21"/>
              </w:rPr>
            </w:pPr>
            <w:r>
              <w:rPr>
                <w:rFonts w:ascii="Times New Roman"/>
                <w:snapToGrid w:val="0"/>
                <w:color w:val="auto"/>
                <w:spacing w:val="-6"/>
                <w:kern w:val="21"/>
                <w:szCs w:val="21"/>
              </w:rPr>
              <w:t>许可排放量</w:t>
            </w:r>
            <w:r>
              <w:rPr>
                <w:rFonts w:ascii="Times New Roman"/>
                <w:snapToGrid w:val="0"/>
                <w:color w:val="auto"/>
                <w:spacing w:val="-6"/>
                <w:kern w:val="21"/>
                <w:szCs w:val="21"/>
              </w:rPr>
              <w:fldChar w:fldCharType="begin"/>
            </w:r>
            <w:r>
              <w:rPr>
                <w:rFonts w:ascii="Times New Roman"/>
                <w:snapToGrid w:val="0"/>
                <w:color w:val="auto"/>
                <w:spacing w:val="-6"/>
                <w:kern w:val="21"/>
                <w:szCs w:val="21"/>
              </w:rPr>
              <w:instrText xml:space="preserve"> = 2 \* GB3 \* MERGEFORMAT </w:instrText>
            </w:r>
            <w:r>
              <w:rPr>
                <w:rFonts w:ascii="Times New Roman"/>
                <w:snapToGrid w:val="0"/>
                <w:color w:val="auto"/>
                <w:spacing w:val="-6"/>
                <w:kern w:val="21"/>
                <w:szCs w:val="21"/>
              </w:rPr>
              <w:fldChar w:fldCharType="separate"/>
            </w:r>
            <w:r>
              <w:rPr>
                <w:rFonts w:ascii="Times New Roman"/>
                <w:snapToGrid w:val="0"/>
                <w:color w:val="auto"/>
                <w:spacing w:val="-6"/>
                <w:kern w:val="21"/>
                <w:szCs w:val="21"/>
              </w:rPr>
              <w:t>②</w:t>
            </w:r>
            <w:r>
              <w:rPr>
                <w:rFonts w:ascii="Times New Roman"/>
                <w:snapToGrid w:val="0"/>
                <w:color w:val="auto"/>
                <w:spacing w:val="-6"/>
                <w:kern w:val="21"/>
                <w:szCs w:val="21"/>
              </w:rPr>
              <w:fldChar w:fldCharType="end"/>
            </w:r>
          </w:p>
        </w:tc>
        <w:tc>
          <w:tcPr>
            <w:tcW w:w="1472" w:type="dxa"/>
            <w:tcMar>
              <w:left w:w="28" w:type="dxa"/>
              <w:right w:w="28" w:type="dxa"/>
            </w:tcMar>
            <w:vAlign w:val="center"/>
          </w:tcPr>
          <w:p w14:paraId="089E0AAB">
            <w:pPr>
              <w:pStyle w:val="58"/>
              <w:spacing w:beforeLines="0" w:afterLines="0" w:line="240" w:lineRule="auto"/>
              <w:rPr>
                <w:rFonts w:ascii="Times New Roman"/>
                <w:snapToGrid w:val="0"/>
                <w:color w:val="auto"/>
                <w:spacing w:val="-6"/>
                <w:kern w:val="21"/>
                <w:szCs w:val="21"/>
              </w:rPr>
            </w:pPr>
            <w:r>
              <w:rPr>
                <w:rFonts w:ascii="Times New Roman"/>
                <w:snapToGrid w:val="0"/>
                <w:color w:val="auto"/>
                <w:spacing w:val="-6"/>
                <w:kern w:val="21"/>
                <w:szCs w:val="21"/>
              </w:rPr>
              <w:t>在建工程</w:t>
            </w:r>
          </w:p>
          <w:p w14:paraId="04E68BD6">
            <w:pPr>
              <w:pStyle w:val="58"/>
              <w:spacing w:beforeLines="0" w:afterLines="0" w:line="240" w:lineRule="auto"/>
              <w:rPr>
                <w:rFonts w:ascii="Times New Roman"/>
                <w:snapToGrid w:val="0"/>
                <w:color w:val="auto"/>
                <w:spacing w:val="-6"/>
                <w:kern w:val="21"/>
                <w:szCs w:val="21"/>
              </w:rPr>
            </w:pPr>
            <w:r>
              <w:rPr>
                <w:rFonts w:ascii="Times New Roman"/>
                <w:snapToGrid w:val="0"/>
                <w:color w:val="auto"/>
                <w:spacing w:val="-6"/>
                <w:kern w:val="21"/>
                <w:szCs w:val="21"/>
              </w:rPr>
              <w:t>排放量（固体废物产生量）</w:t>
            </w:r>
            <w:r>
              <w:rPr>
                <w:rFonts w:ascii="Times New Roman"/>
                <w:snapToGrid w:val="0"/>
                <w:color w:val="auto"/>
                <w:spacing w:val="-6"/>
                <w:kern w:val="21"/>
                <w:szCs w:val="21"/>
              </w:rPr>
              <w:fldChar w:fldCharType="begin"/>
            </w:r>
            <w:r>
              <w:rPr>
                <w:rFonts w:ascii="Times New Roman"/>
                <w:snapToGrid w:val="0"/>
                <w:color w:val="auto"/>
                <w:spacing w:val="-6"/>
                <w:kern w:val="21"/>
                <w:szCs w:val="21"/>
              </w:rPr>
              <w:instrText xml:space="preserve"> = 3 \* GB3 \* MERGEFORMAT </w:instrText>
            </w:r>
            <w:r>
              <w:rPr>
                <w:rFonts w:ascii="Times New Roman"/>
                <w:snapToGrid w:val="0"/>
                <w:color w:val="auto"/>
                <w:spacing w:val="-6"/>
                <w:kern w:val="21"/>
                <w:szCs w:val="21"/>
              </w:rPr>
              <w:fldChar w:fldCharType="separate"/>
            </w:r>
            <w:r>
              <w:rPr>
                <w:rFonts w:ascii="Times New Roman"/>
                <w:color w:val="auto"/>
                <w:kern w:val="2"/>
                <w:szCs w:val="21"/>
              </w:rPr>
              <w:t>③</w:t>
            </w:r>
            <w:r>
              <w:rPr>
                <w:rFonts w:ascii="Times New Roman"/>
                <w:snapToGrid w:val="0"/>
                <w:color w:val="auto"/>
                <w:spacing w:val="-6"/>
                <w:kern w:val="21"/>
                <w:szCs w:val="21"/>
              </w:rPr>
              <w:fldChar w:fldCharType="end"/>
            </w:r>
          </w:p>
        </w:tc>
        <w:tc>
          <w:tcPr>
            <w:tcW w:w="1470" w:type="dxa"/>
            <w:tcMar>
              <w:left w:w="28" w:type="dxa"/>
              <w:right w:w="28" w:type="dxa"/>
            </w:tcMar>
            <w:vAlign w:val="center"/>
          </w:tcPr>
          <w:p w14:paraId="7BF1AC9E">
            <w:pPr>
              <w:pStyle w:val="58"/>
              <w:spacing w:beforeLines="0" w:afterLines="0" w:line="240" w:lineRule="auto"/>
              <w:rPr>
                <w:rFonts w:ascii="Times New Roman"/>
                <w:snapToGrid w:val="0"/>
                <w:color w:val="auto"/>
                <w:spacing w:val="-6"/>
                <w:kern w:val="21"/>
                <w:szCs w:val="21"/>
              </w:rPr>
            </w:pPr>
            <w:r>
              <w:rPr>
                <w:rFonts w:ascii="Times New Roman"/>
                <w:snapToGrid w:val="0"/>
                <w:color w:val="auto"/>
                <w:spacing w:val="-6"/>
                <w:kern w:val="21"/>
                <w:szCs w:val="21"/>
              </w:rPr>
              <w:t>本项目</w:t>
            </w:r>
          </w:p>
          <w:p w14:paraId="2A80E798">
            <w:pPr>
              <w:pStyle w:val="58"/>
              <w:spacing w:beforeLines="0" w:afterLines="0" w:line="240" w:lineRule="auto"/>
              <w:rPr>
                <w:rFonts w:ascii="Times New Roman"/>
                <w:snapToGrid w:val="0"/>
                <w:color w:val="auto"/>
                <w:spacing w:val="-6"/>
                <w:kern w:val="21"/>
                <w:szCs w:val="21"/>
              </w:rPr>
            </w:pPr>
            <w:r>
              <w:rPr>
                <w:rFonts w:ascii="Times New Roman"/>
                <w:snapToGrid w:val="0"/>
                <w:color w:val="auto"/>
                <w:spacing w:val="-6"/>
                <w:kern w:val="21"/>
                <w:szCs w:val="21"/>
              </w:rPr>
              <w:t>排放量（固体废物产生量）</w:t>
            </w:r>
            <w:r>
              <w:rPr>
                <w:rFonts w:ascii="Times New Roman"/>
                <w:snapToGrid w:val="0"/>
                <w:color w:val="auto"/>
                <w:spacing w:val="-6"/>
                <w:kern w:val="21"/>
                <w:szCs w:val="21"/>
              </w:rPr>
              <w:fldChar w:fldCharType="begin"/>
            </w:r>
            <w:r>
              <w:rPr>
                <w:rFonts w:ascii="Times New Roman"/>
                <w:snapToGrid w:val="0"/>
                <w:color w:val="auto"/>
                <w:spacing w:val="-6"/>
                <w:kern w:val="21"/>
                <w:szCs w:val="21"/>
              </w:rPr>
              <w:instrText xml:space="preserve"> = 4 \* GB3 \* MERGEFORMAT </w:instrText>
            </w:r>
            <w:r>
              <w:rPr>
                <w:rFonts w:ascii="Times New Roman"/>
                <w:snapToGrid w:val="0"/>
                <w:color w:val="auto"/>
                <w:spacing w:val="-6"/>
                <w:kern w:val="21"/>
                <w:szCs w:val="21"/>
              </w:rPr>
              <w:fldChar w:fldCharType="separate"/>
            </w:r>
            <w:r>
              <w:rPr>
                <w:rFonts w:ascii="Times New Roman"/>
                <w:color w:val="auto"/>
                <w:kern w:val="2"/>
                <w:szCs w:val="21"/>
              </w:rPr>
              <w:t>④</w:t>
            </w:r>
            <w:r>
              <w:rPr>
                <w:rFonts w:ascii="Times New Roman"/>
                <w:snapToGrid w:val="0"/>
                <w:color w:val="auto"/>
                <w:spacing w:val="-6"/>
                <w:kern w:val="21"/>
                <w:szCs w:val="21"/>
              </w:rPr>
              <w:fldChar w:fldCharType="end"/>
            </w:r>
          </w:p>
        </w:tc>
        <w:tc>
          <w:tcPr>
            <w:tcW w:w="1568" w:type="dxa"/>
            <w:tcMar>
              <w:left w:w="28" w:type="dxa"/>
              <w:right w:w="28" w:type="dxa"/>
            </w:tcMar>
            <w:vAlign w:val="center"/>
          </w:tcPr>
          <w:p w14:paraId="417140D8">
            <w:pPr>
              <w:pStyle w:val="58"/>
              <w:spacing w:beforeLines="0" w:afterLines="0" w:line="240" w:lineRule="auto"/>
              <w:rPr>
                <w:rFonts w:ascii="Times New Roman"/>
                <w:snapToGrid w:val="0"/>
                <w:color w:val="auto"/>
                <w:spacing w:val="-16"/>
                <w:kern w:val="21"/>
                <w:szCs w:val="21"/>
              </w:rPr>
            </w:pPr>
            <w:r>
              <w:rPr>
                <w:rFonts w:ascii="Times New Roman"/>
                <w:snapToGrid w:val="0"/>
                <w:color w:val="auto"/>
                <w:spacing w:val="-16"/>
                <w:kern w:val="21"/>
                <w:szCs w:val="21"/>
              </w:rPr>
              <w:t>以新带老削减量</w:t>
            </w:r>
          </w:p>
          <w:p w14:paraId="76231205">
            <w:pPr>
              <w:pStyle w:val="58"/>
              <w:spacing w:beforeLines="0" w:afterLines="0" w:line="240" w:lineRule="auto"/>
              <w:rPr>
                <w:rFonts w:ascii="Times New Roman"/>
                <w:snapToGrid w:val="0"/>
                <w:color w:val="auto"/>
                <w:spacing w:val="-16"/>
                <w:kern w:val="21"/>
                <w:szCs w:val="21"/>
              </w:rPr>
            </w:pPr>
            <w:r>
              <w:rPr>
                <w:rFonts w:ascii="Times New Roman"/>
                <w:snapToGrid w:val="0"/>
                <w:color w:val="auto"/>
                <w:spacing w:val="-16"/>
                <w:kern w:val="21"/>
                <w:szCs w:val="21"/>
              </w:rPr>
              <w:t>（新建项目不填）</w:t>
            </w:r>
            <w:r>
              <w:rPr>
                <w:rFonts w:ascii="Times New Roman"/>
                <w:snapToGrid w:val="0"/>
                <w:color w:val="auto"/>
                <w:spacing w:val="-16"/>
                <w:kern w:val="21"/>
                <w:szCs w:val="21"/>
              </w:rPr>
              <w:fldChar w:fldCharType="begin"/>
            </w:r>
            <w:r>
              <w:rPr>
                <w:rFonts w:ascii="Times New Roman"/>
                <w:snapToGrid w:val="0"/>
                <w:color w:val="auto"/>
                <w:spacing w:val="-16"/>
                <w:kern w:val="21"/>
                <w:szCs w:val="21"/>
              </w:rPr>
              <w:instrText xml:space="preserve"> = 5 \* GB3 \* MERGEFORMAT </w:instrText>
            </w:r>
            <w:r>
              <w:rPr>
                <w:rFonts w:ascii="Times New Roman"/>
                <w:snapToGrid w:val="0"/>
                <w:color w:val="auto"/>
                <w:spacing w:val="-16"/>
                <w:kern w:val="21"/>
                <w:szCs w:val="21"/>
              </w:rPr>
              <w:fldChar w:fldCharType="separate"/>
            </w:r>
            <w:r>
              <w:rPr>
                <w:rFonts w:ascii="Times New Roman"/>
                <w:color w:val="auto"/>
                <w:kern w:val="2"/>
                <w:szCs w:val="21"/>
              </w:rPr>
              <w:t>⑤</w:t>
            </w:r>
            <w:r>
              <w:rPr>
                <w:rFonts w:ascii="Times New Roman"/>
                <w:snapToGrid w:val="0"/>
                <w:color w:val="auto"/>
                <w:spacing w:val="-16"/>
                <w:kern w:val="21"/>
                <w:szCs w:val="21"/>
              </w:rPr>
              <w:fldChar w:fldCharType="end"/>
            </w:r>
          </w:p>
        </w:tc>
        <w:tc>
          <w:tcPr>
            <w:tcW w:w="1547" w:type="dxa"/>
            <w:tcMar>
              <w:left w:w="28" w:type="dxa"/>
              <w:right w:w="28" w:type="dxa"/>
            </w:tcMar>
            <w:vAlign w:val="center"/>
          </w:tcPr>
          <w:p w14:paraId="0BC7FC2E">
            <w:pPr>
              <w:pStyle w:val="58"/>
              <w:spacing w:beforeLines="0" w:afterLines="0" w:line="240" w:lineRule="auto"/>
              <w:rPr>
                <w:rFonts w:ascii="Times New Roman"/>
                <w:snapToGrid w:val="0"/>
                <w:color w:val="auto"/>
                <w:spacing w:val="-16"/>
                <w:kern w:val="21"/>
                <w:szCs w:val="21"/>
              </w:rPr>
            </w:pPr>
            <w:r>
              <w:rPr>
                <w:rFonts w:ascii="Times New Roman"/>
                <w:snapToGrid w:val="0"/>
                <w:color w:val="auto"/>
                <w:spacing w:val="-16"/>
                <w:kern w:val="21"/>
                <w:szCs w:val="21"/>
              </w:rPr>
              <w:t>本项目建成后</w:t>
            </w:r>
          </w:p>
          <w:p w14:paraId="3D9D5F5D">
            <w:pPr>
              <w:pStyle w:val="58"/>
              <w:spacing w:beforeLines="0" w:afterLines="0" w:line="240" w:lineRule="auto"/>
              <w:rPr>
                <w:rFonts w:ascii="Times New Roman"/>
                <w:snapToGrid w:val="0"/>
                <w:color w:val="auto"/>
                <w:spacing w:val="-16"/>
                <w:kern w:val="21"/>
                <w:szCs w:val="21"/>
              </w:rPr>
            </w:pPr>
            <w:r>
              <w:rPr>
                <w:rFonts w:ascii="Times New Roman"/>
                <w:snapToGrid w:val="0"/>
                <w:color w:val="auto"/>
                <w:spacing w:val="-16"/>
                <w:kern w:val="21"/>
                <w:szCs w:val="21"/>
              </w:rPr>
              <w:t>全厂排放量（固体废物产生量）</w:t>
            </w:r>
            <w:r>
              <w:rPr>
                <w:rFonts w:ascii="Times New Roman"/>
                <w:snapToGrid w:val="0"/>
                <w:color w:val="auto"/>
                <w:spacing w:val="-16"/>
                <w:kern w:val="21"/>
                <w:szCs w:val="21"/>
              </w:rPr>
              <w:fldChar w:fldCharType="begin"/>
            </w:r>
            <w:r>
              <w:rPr>
                <w:rFonts w:ascii="Times New Roman"/>
                <w:snapToGrid w:val="0"/>
                <w:color w:val="auto"/>
                <w:spacing w:val="-16"/>
                <w:kern w:val="21"/>
                <w:szCs w:val="21"/>
              </w:rPr>
              <w:instrText xml:space="preserve"> = 6 \* GB3 \* MERGEFORMAT </w:instrText>
            </w:r>
            <w:r>
              <w:rPr>
                <w:rFonts w:ascii="Times New Roman"/>
                <w:snapToGrid w:val="0"/>
                <w:color w:val="auto"/>
                <w:spacing w:val="-16"/>
                <w:kern w:val="21"/>
                <w:szCs w:val="21"/>
              </w:rPr>
              <w:fldChar w:fldCharType="separate"/>
            </w:r>
            <w:r>
              <w:rPr>
                <w:rFonts w:ascii="Times New Roman"/>
                <w:color w:val="auto"/>
                <w:kern w:val="2"/>
                <w:szCs w:val="21"/>
              </w:rPr>
              <w:t>⑥</w:t>
            </w:r>
            <w:r>
              <w:rPr>
                <w:rFonts w:ascii="Times New Roman"/>
                <w:snapToGrid w:val="0"/>
                <w:color w:val="auto"/>
                <w:spacing w:val="-16"/>
                <w:kern w:val="21"/>
                <w:szCs w:val="21"/>
              </w:rPr>
              <w:fldChar w:fldCharType="end"/>
            </w:r>
          </w:p>
        </w:tc>
        <w:tc>
          <w:tcPr>
            <w:tcW w:w="1290" w:type="dxa"/>
            <w:tcMar>
              <w:left w:w="28" w:type="dxa"/>
              <w:right w:w="28" w:type="dxa"/>
            </w:tcMar>
            <w:vAlign w:val="center"/>
          </w:tcPr>
          <w:p w14:paraId="6F9C71B9">
            <w:pPr>
              <w:pStyle w:val="58"/>
              <w:spacing w:beforeLines="0" w:afterLines="0" w:line="240" w:lineRule="auto"/>
              <w:rPr>
                <w:rFonts w:ascii="Times New Roman"/>
                <w:snapToGrid w:val="0"/>
                <w:color w:val="auto"/>
                <w:spacing w:val="-6"/>
                <w:kern w:val="21"/>
                <w:szCs w:val="21"/>
              </w:rPr>
            </w:pPr>
            <w:r>
              <w:rPr>
                <w:rFonts w:ascii="Times New Roman"/>
                <w:snapToGrid w:val="0"/>
                <w:color w:val="auto"/>
                <w:spacing w:val="-6"/>
                <w:kern w:val="21"/>
                <w:szCs w:val="21"/>
              </w:rPr>
              <w:t>变化量</w:t>
            </w:r>
          </w:p>
          <w:p w14:paraId="3C7BFED0">
            <w:pPr>
              <w:pStyle w:val="58"/>
              <w:spacing w:beforeLines="0" w:afterLines="0" w:line="240" w:lineRule="auto"/>
              <w:rPr>
                <w:rFonts w:ascii="Times New Roman"/>
                <w:snapToGrid w:val="0"/>
                <w:color w:val="auto"/>
                <w:spacing w:val="-6"/>
                <w:kern w:val="21"/>
                <w:szCs w:val="21"/>
              </w:rPr>
            </w:pPr>
            <w:r>
              <w:rPr>
                <w:rFonts w:ascii="Times New Roman"/>
                <w:snapToGrid w:val="0"/>
                <w:color w:val="auto"/>
                <w:spacing w:val="-6"/>
                <w:kern w:val="21"/>
                <w:szCs w:val="21"/>
              </w:rPr>
              <w:fldChar w:fldCharType="begin"/>
            </w:r>
            <w:r>
              <w:rPr>
                <w:rFonts w:ascii="Times New Roman"/>
                <w:snapToGrid w:val="0"/>
                <w:color w:val="auto"/>
                <w:spacing w:val="-6"/>
                <w:kern w:val="21"/>
                <w:szCs w:val="21"/>
              </w:rPr>
              <w:instrText xml:space="preserve"> = 7 \* GB3 \* MERGEFORMAT </w:instrText>
            </w:r>
            <w:r>
              <w:rPr>
                <w:rFonts w:ascii="Times New Roman"/>
                <w:snapToGrid w:val="0"/>
                <w:color w:val="auto"/>
                <w:spacing w:val="-6"/>
                <w:kern w:val="21"/>
                <w:szCs w:val="21"/>
              </w:rPr>
              <w:fldChar w:fldCharType="separate"/>
            </w:r>
            <w:r>
              <w:rPr>
                <w:rFonts w:ascii="Times New Roman"/>
                <w:color w:val="auto"/>
                <w:kern w:val="2"/>
                <w:szCs w:val="21"/>
              </w:rPr>
              <w:t>⑦</w:t>
            </w:r>
            <w:r>
              <w:rPr>
                <w:rFonts w:ascii="Times New Roman"/>
                <w:snapToGrid w:val="0"/>
                <w:color w:val="auto"/>
                <w:spacing w:val="-6"/>
                <w:kern w:val="21"/>
                <w:szCs w:val="21"/>
              </w:rPr>
              <w:fldChar w:fldCharType="end"/>
            </w:r>
          </w:p>
        </w:tc>
      </w:tr>
      <w:tr w14:paraId="714120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92" w:type="dxa"/>
            <w:vMerge w:val="restart"/>
            <w:vAlign w:val="center"/>
          </w:tcPr>
          <w:p w14:paraId="53AD0710">
            <w:pPr>
              <w:pStyle w:val="58"/>
              <w:spacing w:beforeLines="0" w:afterLines="0" w:line="240" w:lineRule="auto"/>
              <w:rPr>
                <w:rFonts w:hint="eastAsia" w:ascii="Times New Roman" w:eastAsia="宋体"/>
                <w:snapToGrid w:val="0"/>
                <w:color w:val="auto"/>
                <w:kern w:val="21"/>
                <w:szCs w:val="21"/>
                <w:lang w:eastAsia="zh-CN"/>
              </w:rPr>
            </w:pPr>
            <w:r>
              <w:rPr>
                <w:rFonts w:hint="eastAsia" w:ascii="Times New Roman"/>
                <w:snapToGrid w:val="0"/>
                <w:color w:val="auto"/>
                <w:kern w:val="21"/>
                <w:szCs w:val="21"/>
                <w:lang w:eastAsia="zh-CN"/>
              </w:rPr>
              <w:t>废气</w:t>
            </w:r>
          </w:p>
        </w:tc>
        <w:tc>
          <w:tcPr>
            <w:tcW w:w="1922" w:type="dxa"/>
            <w:shd w:val="clear" w:color="auto" w:fill="auto"/>
            <w:vAlign w:val="center"/>
          </w:tcPr>
          <w:p w14:paraId="5C26802E">
            <w:pPr>
              <w:jc w:val="center"/>
              <w:rPr>
                <w:rFonts w:ascii="Times New Roman" w:hAnsi="Times New Roman" w:eastAsia="宋体" w:cs="Times New Roman"/>
                <w:snapToGrid w:val="0"/>
                <w:color w:val="auto"/>
                <w:kern w:val="21"/>
                <w:sz w:val="21"/>
                <w:szCs w:val="21"/>
                <w:lang w:val="en-US" w:eastAsia="zh-CN" w:bidi="ar-SA"/>
              </w:rPr>
            </w:pPr>
            <w:r>
              <w:rPr>
                <w:rFonts w:hint="eastAsia" w:cs="Times New Roman"/>
                <w:snapToGrid w:val="0"/>
                <w:color w:val="auto"/>
                <w:kern w:val="21"/>
                <w:sz w:val="21"/>
                <w:szCs w:val="21"/>
                <w:lang w:val="en-US" w:eastAsia="zh-CN" w:bidi="ar-SA"/>
              </w:rPr>
              <w:t>颗粒物</w:t>
            </w:r>
          </w:p>
        </w:tc>
        <w:tc>
          <w:tcPr>
            <w:tcW w:w="1452" w:type="dxa"/>
            <w:shd w:val="clear" w:color="auto" w:fill="auto"/>
            <w:vAlign w:val="center"/>
          </w:tcPr>
          <w:p w14:paraId="45F06CB1">
            <w:pPr>
              <w:jc w:val="center"/>
              <w:rPr>
                <w:rFonts w:hint="default" w:ascii="Times New Roman" w:hAnsi="Times New Roman" w:eastAsia="宋体" w:cs="Times New Roman"/>
                <w:color w:val="auto"/>
                <w:kern w:val="2"/>
                <w:sz w:val="21"/>
                <w:szCs w:val="21"/>
                <w:lang w:val="en-US" w:eastAsia="zh-CN" w:bidi="ar-SA"/>
              </w:rPr>
            </w:pPr>
            <w:r>
              <w:rPr>
                <w:snapToGrid w:val="0"/>
                <w:color w:val="auto"/>
                <w:kern w:val="21"/>
                <w:szCs w:val="21"/>
              </w:rPr>
              <w:t>/</w:t>
            </w:r>
          </w:p>
        </w:tc>
        <w:tc>
          <w:tcPr>
            <w:tcW w:w="1023" w:type="dxa"/>
            <w:shd w:val="clear" w:color="auto" w:fill="auto"/>
            <w:vAlign w:val="center"/>
          </w:tcPr>
          <w:p w14:paraId="2A87ED78">
            <w:pPr>
              <w:jc w:val="center"/>
              <w:rPr>
                <w:rFonts w:ascii="Times New Roman" w:hAnsi="Times New Roman" w:eastAsia="宋体" w:cs="Times New Roman"/>
                <w:snapToGrid w:val="0"/>
                <w:color w:val="auto"/>
                <w:kern w:val="21"/>
                <w:sz w:val="21"/>
                <w:szCs w:val="21"/>
                <w:lang w:val="en-US" w:eastAsia="zh-CN" w:bidi="ar-SA"/>
              </w:rPr>
            </w:pPr>
            <w:r>
              <w:rPr>
                <w:snapToGrid w:val="0"/>
                <w:color w:val="auto"/>
                <w:kern w:val="21"/>
                <w:szCs w:val="21"/>
              </w:rPr>
              <w:t>/</w:t>
            </w:r>
          </w:p>
        </w:tc>
        <w:tc>
          <w:tcPr>
            <w:tcW w:w="1472" w:type="dxa"/>
            <w:shd w:val="clear" w:color="auto" w:fill="auto"/>
            <w:vAlign w:val="center"/>
          </w:tcPr>
          <w:p w14:paraId="53BD2340">
            <w:pPr>
              <w:jc w:val="center"/>
              <w:rPr>
                <w:rFonts w:ascii="Times New Roman" w:hAnsi="Times New Roman" w:eastAsia="宋体" w:cs="Times New Roman"/>
                <w:snapToGrid w:val="0"/>
                <w:color w:val="auto"/>
                <w:kern w:val="21"/>
                <w:sz w:val="21"/>
                <w:szCs w:val="21"/>
                <w:lang w:val="en-US" w:eastAsia="zh-CN" w:bidi="ar-SA"/>
              </w:rPr>
            </w:pPr>
            <w:r>
              <w:rPr>
                <w:snapToGrid w:val="0"/>
                <w:color w:val="auto"/>
                <w:kern w:val="21"/>
                <w:szCs w:val="21"/>
              </w:rPr>
              <w:t>/</w:t>
            </w:r>
          </w:p>
        </w:tc>
        <w:tc>
          <w:tcPr>
            <w:tcW w:w="1470" w:type="dxa"/>
            <w:shd w:val="clear" w:color="auto" w:fill="auto"/>
            <w:vAlign w:val="center"/>
          </w:tcPr>
          <w:p w14:paraId="6D1EE5A6">
            <w:pPr>
              <w:pStyle w:val="9"/>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11.436t/a</w:t>
            </w:r>
          </w:p>
        </w:tc>
        <w:tc>
          <w:tcPr>
            <w:tcW w:w="1568" w:type="dxa"/>
            <w:shd w:val="clear" w:color="auto" w:fill="auto"/>
            <w:vAlign w:val="center"/>
          </w:tcPr>
          <w:p w14:paraId="3A282AC5">
            <w:pPr>
              <w:jc w:val="center"/>
              <w:rPr>
                <w:rFonts w:hint="default" w:ascii="Times New Roman" w:hAnsi="Times New Roman" w:eastAsia="宋体" w:cs="Times New Roman"/>
                <w:color w:val="auto"/>
                <w:kern w:val="2"/>
                <w:sz w:val="21"/>
                <w:szCs w:val="21"/>
                <w:lang w:val="en-US" w:eastAsia="zh-CN" w:bidi="ar-SA"/>
              </w:rPr>
            </w:pPr>
            <w:r>
              <w:rPr>
                <w:snapToGrid w:val="0"/>
                <w:color w:val="auto"/>
                <w:kern w:val="21"/>
                <w:szCs w:val="21"/>
              </w:rPr>
              <w:t>/</w:t>
            </w:r>
          </w:p>
        </w:tc>
        <w:tc>
          <w:tcPr>
            <w:tcW w:w="1547" w:type="dxa"/>
            <w:shd w:val="clear" w:color="auto" w:fill="auto"/>
            <w:vAlign w:val="center"/>
          </w:tcPr>
          <w:p w14:paraId="2C6F4803">
            <w:pPr>
              <w:pStyle w:val="9"/>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11.436t/a</w:t>
            </w:r>
          </w:p>
        </w:tc>
        <w:tc>
          <w:tcPr>
            <w:tcW w:w="1290" w:type="dxa"/>
            <w:shd w:val="clear" w:color="auto" w:fill="auto"/>
            <w:vAlign w:val="center"/>
          </w:tcPr>
          <w:p w14:paraId="697C208C">
            <w:pPr>
              <w:pStyle w:val="9"/>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+11.436t/a</w:t>
            </w:r>
          </w:p>
        </w:tc>
      </w:tr>
      <w:tr w14:paraId="2B6488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92" w:type="dxa"/>
            <w:vMerge w:val="continue"/>
            <w:vAlign w:val="center"/>
          </w:tcPr>
          <w:p w14:paraId="3F7A8983">
            <w:pPr>
              <w:pStyle w:val="58"/>
              <w:spacing w:beforeLines="0" w:afterLines="0" w:line="240" w:lineRule="auto"/>
              <w:rPr>
                <w:rFonts w:hint="eastAsia" w:ascii="Times New Roman"/>
                <w:snapToGrid w:val="0"/>
                <w:color w:val="auto"/>
                <w:kern w:val="21"/>
                <w:szCs w:val="21"/>
                <w:lang w:eastAsia="zh-CN"/>
              </w:rPr>
            </w:pPr>
          </w:p>
        </w:tc>
        <w:tc>
          <w:tcPr>
            <w:tcW w:w="1922" w:type="dxa"/>
            <w:shd w:val="clear" w:color="auto" w:fill="auto"/>
            <w:vAlign w:val="center"/>
          </w:tcPr>
          <w:p w14:paraId="6C4D3034">
            <w:pPr>
              <w:jc w:val="center"/>
              <w:rPr>
                <w:rFonts w:hint="eastAsia" w:cs="Times New Roman"/>
                <w:snapToGrid w:val="0"/>
                <w:color w:val="auto"/>
                <w:kern w:val="21"/>
                <w:sz w:val="21"/>
                <w:szCs w:val="21"/>
                <w:lang w:val="en-US" w:eastAsia="zh-CN" w:bidi="ar-SA"/>
              </w:rPr>
            </w:pPr>
            <w:r>
              <w:rPr>
                <w:rFonts w:hint="eastAsia" w:cs="Times New Roman"/>
                <w:snapToGrid w:val="0"/>
                <w:color w:val="auto"/>
                <w:kern w:val="21"/>
                <w:sz w:val="21"/>
                <w:szCs w:val="21"/>
                <w:lang w:val="en-US" w:eastAsia="zh-CN" w:bidi="ar-SA"/>
              </w:rPr>
              <w:t>二氧化硫</w:t>
            </w:r>
          </w:p>
        </w:tc>
        <w:tc>
          <w:tcPr>
            <w:tcW w:w="1452" w:type="dxa"/>
            <w:shd w:val="clear" w:color="auto" w:fill="auto"/>
            <w:vAlign w:val="center"/>
          </w:tcPr>
          <w:p w14:paraId="0CAC5FF2">
            <w:pPr>
              <w:jc w:val="center"/>
              <w:rPr>
                <w:snapToGrid w:val="0"/>
                <w:color w:val="auto"/>
                <w:kern w:val="21"/>
                <w:szCs w:val="21"/>
              </w:rPr>
            </w:pPr>
            <w:r>
              <w:rPr>
                <w:snapToGrid w:val="0"/>
                <w:color w:val="auto"/>
                <w:kern w:val="21"/>
                <w:szCs w:val="21"/>
              </w:rPr>
              <w:t>/</w:t>
            </w:r>
          </w:p>
        </w:tc>
        <w:tc>
          <w:tcPr>
            <w:tcW w:w="1023" w:type="dxa"/>
            <w:shd w:val="clear" w:color="auto" w:fill="auto"/>
            <w:vAlign w:val="center"/>
          </w:tcPr>
          <w:p w14:paraId="1511331C">
            <w:pPr>
              <w:jc w:val="center"/>
              <w:rPr>
                <w:snapToGrid w:val="0"/>
                <w:color w:val="auto"/>
                <w:kern w:val="21"/>
                <w:szCs w:val="21"/>
              </w:rPr>
            </w:pPr>
            <w:r>
              <w:rPr>
                <w:snapToGrid w:val="0"/>
                <w:color w:val="auto"/>
                <w:kern w:val="21"/>
                <w:szCs w:val="21"/>
              </w:rPr>
              <w:t>/</w:t>
            </w:r>
          </w:p>
        </w:tc>
        <w:tc>
          <w:tcPr>
            <w:tcW w:w="1472" w:type="dxa"/>
            <w:shd w:val="clear" w:color="auto" w:fill="auto"/>
            <w:vAlign w:val="center"/>
          </w:tcPr>
          <w:p w14:paraId="29A521BE">
            <w:pPr>
              <w:jc w:val="center"/>
              <w:rPr>
                <w:snapToGrid w:val="0"/>
                <w:color w:val="auto"/>
                <w:kern w:val="21"/>
                <w:szCs w:val="21"/>
              </w:rPr>
            </w:pPr>
            <w:r>
              <w:rPr>
                <w:snapToGrid w:val="0"/>
                <w:color w:val="auto"/>
                <w:kern w:val="21"/>
                <w:szCs w:val="21"/>
              </w:rPr>
              <w:t>/</w:t>
            </w:r>
          </w:p>
        </w:tc>
        <w:tc>
          <w:tcPr>
            <w:tcW w:w="1470" w:type="dxa"/>
            <w:shd w:val="clear" w:color="auto" w:fill="auto"/>
            <w:vAlign w:val="center"/>
          </w:tcPr>
          <w:p w14:paraId="10F7386F">
            <w:pPr>
              <w:pStyle w:val="9"/>
              <w:ind w:firstLine="0" w:firstLineChars="0"/>
              <w:jc w:val="center"/>
              <w:rPr>
                <w:rFonts w:hint="default" w:ascii="Times New Roman" w:hAnsi="Times New Roman"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0.330t/a</w:t>
            </w:r>
          </w:p>
        </w:tc>
        <w:tc>
          <w:tcPr>
            <w:tcW w:w="1568" w:type="dxa"/>
            <w:shd w:val="clear" w:color="auto" w:fill="auto"/>
            <w:vAlign w:val="center"/>
          </w:tcPr>
          <w:p w14:paraId="001A51F6">
            <w:pPr>
              <w:jc w:val="center"/>
              <w:rPr>
                <w:rFonts w:hint="eastAsia" w:ascii="Times New Roman" w:hAnsi="Times New Roman" w:cs="Times New Roman"/>
                <w:color w:val="auto"/>
                <w:kern w:val="2"/>
                <w:sz w:val="21"/>
                <w:szCs w:val="21"/>
                <w:lang w:val="en-US" w:eastAsia="zh-CN" w:bidi="ar-SA"/>
              </w:rPr>
            </w:pPr>
            <w:r>
              <w:rPr>
                <w:snapToGrid w:val="0"/>
                <w:color w:val="auto"/>
                <w:kern w:val="21"/>
                <w:szCs w:val="21"/>
              </w:rPr>
              <w:t>/</w:t>
            </w:r>
          </w:p>
        </w:tc>
        <w:tc>
          <w:tcPr>
            <w:tcW w:w="1547" w:type="dxa"/>
            <w:shd w:val="clear" w:color="auto" w:fill="auto"/>
            <w:vAlign w:val="center"/>
          </w:tcPr>
          <w:p w14:paraId="66A2A8C1">
            <w:pPr>
              <w:pStyle w:val="9"/>
              <w:ind w:firstLine="0" w:firstLineChars="0"/>
              <w:jc w:val="center"/>
              <w:rPr>
                <w:rFonts w:hint="eastAsia" w:ascii="Times New Roman" w:hAnsi="Times New Roman"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0.330t/a</w:t>
            </w:r>
          </w:p>
        </w:tc>
        <w:tc>
          <w:tcPr>
            <w:tcW w:w="1290" w:type="dxa"/>
            <w:shd w:val="clear" w:color="auto" w:fill="auto"/>
            <w:vAlign w:val="center"/>
          </w:tcPr>
          <w:p w14:paraId="4BD32BD3">
            <w:pPr>
              <w:pStyle w:val="9"/>
              <w:ind w:firstLine="0" w:firstLineChars="0"/>
              <w:jc w:val="center"/>
              <w:rPr>
                <w:rFonts w:hint="eastAsia" w:ascii="Times New Roman" w:hAnsi="Times New Roman"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+0.330t/a</w:t>
            </w:r>
          </w:p>
        </w:tc>
      </w:tr>
      <w:tr w14:paraId="6D82B5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92" w:type="dxa"/>
            <w:vMerge w:val="continue"/>
            <w:vAlign w:val="center"/>
          </w:tcPr>
          <w:p w14:paraId="7748F12E">
            <w:pPr>
              <w:pStyle w:val="58"/>
              <w:spacing w:beforeLines="0" w:afterLines="0" w:line="240" w:lineRule="auto"/>
              <w:rPr>
                <w:rFonts w:hint="eastAsia" w:ascii="Times New Roman"/>
                <w:snapToGrid w:val="0"/>
                <w:color w:val="auto"/>
                <w:kern w:val="21"/>
                <w:szCs w:val="21"/>
                <w:lang w:eastAsia="zh-CN"/>
              </w:rPr>
            </w:pPr>
          </w:p>
        </w:tc>
        <w:tc>
          <w:tcPr>
            <w:tcW w:w="1922" w:type="dxa"/>
            <w:shd w:val="clear" w:color="auto" w:fill="auto"/>
            <w:vAlign w:val="center"/>
          </w:tcPr>
          <w:p w14:paraId="5E34DF71">
            <w:pPr>
              <w:jc w:val="center"/>
              <w:rPr>
                <w:rFonts w:hint="eastAsia" w:cs="Times New Roman"/>
                <w:snapToGrid w:val="0"/>
                <w:color w:val="auto"/>
                <w:kern w:val="21"/>
                <w:sz w:val="21"/>
                <w:szCs w:val="21"/>
                <w:lang w:val="en-US" w:eastAsia="zh-CN" w:bidi="ar-SA"/>
              </w:rPr>
            </w:pPr>
            <w:r>
              <w:rPr>
                <w:rFonts w:hint="eastAsia" w:cs="Times New Roman"/>
                <w:snapToGrid w:val="0"/>
                <w:color w:val="auto"/>
                <w:kern w:val="21"/>
                <w:sz w:val="21"/>
                <w:szCs w:val="21"/>
                <w:lang w:val="en-US" w:eastAsia="zh-CN" w:bidi="ar-SA"/>
              </w:rPr>
              <w:t>氮氧化物</w:t>
            </w:r>
          </w:p>
        </w:tc>
        <w:tc>
          <w:tcPr>
            <w:tcW w:w="1452" w:type="dxa"/>
            <w:shd w:val="clear" w:color="auto" w:fill="auto"/>
            <w:vAlign w:val="center"/>
          </w:tcPr>
          <w:p w14:paraId="433F8EB4">
            <w:pPr>
              <w:jc w:val="center"/>
              <w:rPr>
                <w:snapToGrid w:val="0"/>
                <w:color w:val="auto"/>
                <w:kern w:val="21"/>
                <w:szCs w:val="21"/>
              </w:rPr>
            </w:pPr>
            <w:r>
              <w:rPr>
                <w:snapToGrid w:val="0"/>
                <w:color w:val="auto"/>
                <w:kern w:val="21"/>
                <w:szCs w:val="21"/>
              </w:rPr>
              <w:t>/</w:t>
            </w:r>
          </w:p>
        </w:tc>
        <w:tc>
          <w:tcPr>
            <w:tcW w:w="1023" w:type="dxa"/>
            <w:shd w:val="clear" w:color="auto" w:fill="auto"/>
            <w:vAlign w:val="center"/>
          </w:tcPr>
          <w:p w14:paraId="12DF1D6D">
            <w:pPr>
              <w:jc w:val="center"/>
              <w:rPr>
                <w:snapToGrid w:val="0"/>
                <w:color w:val="auto"/>
                <w:kern w:val="21"/>
                <w:szCs w:val="21"/>
              </w:rPr>
            </w:pPr>
            <w:r>
              <w:rPr>
                <w:snapToGrid w:val="0"/>
                <w:color w:val="auto"/>
                <w:kern w:val="21"/>
                <w:szCs w:val="21"/>
              </w:rPr>
              <w:t>/</w:t>
            </w:r>
          </w:p>
        </w:tc>
        <w:tc>
          <w:tcPr>
            <w:tcW w:w="1472" w:type="dxa"/>
            <w:shd w:val="clear" w:color="auto" w:fill="auto"/>
            <w:vAlign w:val="center"/>
          </w:tcPr>
          <w:p w14:paraId="5637DB85">
            <w:pPr>
              <w:jc w:val="center"/>
              <w:rPr>
                <w:snapToGrid w:val="0"/>
                <w:color w:val="auto"/>
                <w:kern w:val="21"/>
                <w:szCs w:val="21"/>
              </w:rPr>
            </w:pPr>
            <w:r>
              <w:rPr>
                <w:snapToGrid w:val="0"/>
                <w:color w:val="auto"/>
                <w:kern w:val="21"/>
                <w:szCs w:val="21"/>
              </w:rPr>
              <w:t>/</w:t>
            </w:r>
          </w:p>
        </w:tc>
        <w:tc>
          <w:tcPr>
            <w:tcW w:w="1470" w:type="dxa"/>
            <w:shd w:val="clear" w:color="auto" w:fill="auto"/>
            <w:vAlign w:val="center"/>
          </w:tcPr>
          <w:p w14:paraId="124B8CA9">
            <w:pPr>
              <w:pStyle w:val="9"/>
              <w:ind w:firstLine="0" w:firstLineChars="0"/>
              <w:jc w:val="center"/>
              <w:rPr>
                <w:rFonts w:hint="default" w:ascii="Times New Roman" w:hAnsi="Times New Roman"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0.042t/a</w:t>
            </w:r>
          </w:p>
        </w:tc>
        <w:tc>
          <w:tcPr>
            <w:tcW w:w="1568" w:type="dxa"/>
            <w:shd w:val="clear" w:color="auto" w:fill="auto"/>
            <w:vAlign w:val="center"/>
          </w:tcPr>
          <w:p w14:paraId="7B6F4EDB">
            <w:pPr>
              <w:jc w:val="center"/>
              <w:rPr>
                <w:rFonts w:hint="eastAsia" w:ascii="Times New Roman" w:hAnsi="Times New Roman" w:cs="Times New Roman"/>
                <w:color w:val="auto"/>
                <w:kern w:val="2"/>
                <w:sz w:val="21"/>
                <w:szCs w:val="21"/>
                <w:lang w:val="en-US" w:eastAsia="zh-CN" w:bidi="ar-SA"/>
              </w:rPr>
            </w:pPr>
            <w:r>
              <w:rPr>
                <w:snapToGrid w:val="0"/>
                <w:color w:val="auto"/>
                <w:kern w:val="21"/>
                <w:szCs w:val="21"/>
              </w:rPr>
              <w:t>/</w:t>
            </w:r>
          </w:p>
        </w:tc>
        <w:tc>
          <w:tcPr>
            <w:tcW w:w="1547" w:type="dxa"/>
            <w:shd w:val="clear" w:color="auto" w:fill="auto"/>
            <w:vAlign w:val="center"/>
          </w:tcPr>
          <w:p w14:paraId="2F602A6B">
            <w:pPr>
              <w:pStyle w:val="9"/>
              <w:ind w:firstLine="0" w:firstLineChars="0"/>
              <w:jc w:val="center"/>
              <w:rPr>
                <w:rFonts w:hint="eastAsia" w:ascii="Times New Roman" w:hAnsi="Times New Roman"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0.042t/a</w:t>
            </w:r>
          </w:p>
        </w:tc>
        <w:tc>
          <w:tcPr>
            <w:tcW w:w="1290" w:type="dxa"/>
            <w:shd w:val="clear" w:color="auto" w:fill="auto"/>
            <w:vAlign w:val="center"/>
          </w:tcPr>
          <w:p w14:paraId="76824D46">
            <w:pPr>
              <w:pStyle w:val="9"/>
              <w:ind w:firstLine="0" w:firstLineChars="0"/>
              <w:jc w:val="center"/>
              <w:rPr>
                <w:rFonts w:hint="eastAsia" w:ascii="Times New Roman" w:hAnsi="Times New Roman"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+0.042t/a</w:t>
            </w:r>
          </w:p>
        </w:tc>
      </w:tr>
      <w:tr w14:paraId="3487C9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92" w:type="dxa"/>
            <w:vMerge w:val="restart"/>
            <w:vAlign w:val="center"/>
          </w:tcPr>
          <w:p w14:paraId="00476193">
            <w:pPr>
              <w:pStyle w:val="58"/>
              <w:spacing w:beforeLines="0" w:afterLines="0" w:line="240" w:lineRule="auto"/>
              <w:rPr>
                <w:rFonts w:ascii="Times New Roman"/>
                <w:snapToGrid w:val="0"/>
                <w:color w:val="auto"/>
                <w:kern w:val="21"/>
                <w:szCs w:val="21"/>
              </w:rPr>
            </w:pPr>
            <w:r>
              <w:rPr>
                <w:rFonts w:ascii="Times New Roman"/>
                <w:snapToGrid w:val="0"/>
                <w:color w:val="auto"/>
                <w:kern w:val="21"/>
                <w:szCs w:val="21"/>
              </w:rPr>
              <w:t>废水</w:t>
            </w:r>
          </w:p>
        </w:tc>
        <w:tc>
          <w:tcPr>
            <w:tcW w:w="1922" w:type="dxa"/>
            <w:shd w:val="clear" w:color="auto" w:fill="auto"/>
            <w:vAlign w:val="center"/>
          </w:tcPr>
          <w:p w14:paraId="51A734A2">
            <w:pPr>
              <w:jc w:val="center"/>
              <w:rPr>
                <w:rFonts w:ascii="Times New Roman" w:hAnsi="Times New Roman" w:eastAsia="宋体" w:cs="Times New Roman"/>
                <w:snapToGrid w:val="0"/>
                <w:color w:val="auto"/>
                <w:kern w:val="21"/>
                <w:sz w:val="21"/>
                <w:szCs w:val="21"/>
                <w:lang w:val="en-US" w:eastAsia="zh-CN" w:bidi="ar-SA"/>
              </w:rPr>
            </w:pPr>
            <w:r>
              <w:rPr>
                <w:color w:val="auto"/>
                <w:szCs w:val="21"/>
              </w:rPr>
              <w:t>废水量</w:t>
            </w:r>
          </w:p>
        </w:tc>
        <w:tc>
          <w:tcPr>
            <w:tcW w:w="1452" w:type="dxa"/>
            <w:shd w:val="clear" w:color="auto" w:fill="auto"/>
            <w:vAlign w:val="center"/>
          </w:tcPr>
          <w:p w14:paraId="597FE79D">
            <w:pPr>
              <w:jc w:val="center"/>
              <w:rPr>
                <w:rFonts w:hint="eastAsia" w:ascii="Times New Roman" w:hAnsi="Times New Roman" w:eastAsia="宋体" w:cs="Times New Roman"/>
                <w:color w:val="auto"/>
                <w:kern w:val="2"/>
                <w:sz w:val="21"/>
                <w:szCs w:val="21"/>
                <w:lang w:val="en-US" w:eastAsia="zh-CN" w:bidi="ar-SA"/>
              </w:rPr>
            </w:pPr>
            <w:r>
              <w:rPr>
                <w:snapToGrid w:val="0"/>
                <w:color w:val="auto"/>
                <w:kern w:val="21"/>
                <w:szCs w:val="21"/>
              </w:rPr>
              <w:t>/</w:t>
            </w:r>
          </w:p>
        </w:tc>
        <w:tc>
          <w:tcPr>
            <w:tcW w:w="1023" w:type="dxa"/>
            <w:shd w:val="clear" w:color="auto" w:fill="auto"/>
            <w:vAlign w:val="center"/>
          </w:tcPr>
          <w:p w14:paraId="5F64113C">
            <w:pPr>
              <w:jc w:val="center"/>
              <w:rPr>
                <w:rFonts w:ascii="Times New Roman" w:hAnsi="Times New Roman" w:eastAsia="宋体" w:cs="Times New Roman"/>
                <w:snapToGrid w:val="0"/>
                <w:color w:val="auto"/>
                <w:kern w:val="21"/>
                <w:sz w:val="21"/>
                <w:szCs w:val="21"/>
                <w:lang w:val="en-US" w:eastAsia="zh-CN" w:bidi="ar-SA"/>
              </w:rPr>
            </w:pPr>
            <w:r>
              <w:rPr>
                <w:snapToGrid w:val="0"/>
                <w:color w:val="auto"/>
                <w:kern w:val="21"/>
                <w:szCs w:val="21"/>
              </w:rPr>
              <w:t>/</w:t>
            </w:r>
          </w:p>
        </w:tc>
        <w:tc>
          <w:tcPr>
            <w:tcW w:w="1472" w:type="dxa"/>
            <w:shd w:val="clear" w:color="auto" w:fill="auto"/>
            <w:vAlign w:val="center"/>
          </w:tcPr>
          <w:p w14:paraId="37ECA9F1">
            <w:pPr>
              <w:jc w:val="center"/>
              <w:rPr>
                <w:rFonts w:ascii="Times New Roman" w:hAnsi="Times New Roman" w:eastAsia="宋体" w:cs="Times New Roman"/>
                <w:snapToGrid w:val="0"/>
                <w:color w:val="auto"/>
                <w:kern w:val="21"/>
                <w:sz w:val="21"/>
                <w:szCs w:val="21"/>
                <w:lang w:val="en-US" w:eastAsia="zh-CN" w:bidi="ar-SA"/>
              </w:rPr>
            </w:pPr>
            <w:r>
              <w:rPr>
                <w:snapToGrid w:val="0"/>
                <w:color w:val="auto"/>
                <w:kern w:val="21"/>
                <w:szCs w:val="21"/>
              </w:rPr>
              <w:t>/</w:t>
            </w:r>
          </w:p>
        </w:tc>
        <w:tc>
          <w:tcPr>
            <w:tcW w:w="1470" w:type="dxa"/>
            <w:shd w:val="clear" w:color="auto" w:fill="auto"/>
            <w:vAlign w:val="center"/>
          </w:tcPr>
          <w:p w14:paraId="048139A8">
            <w:pPr>
              <w:pStyle w:val="9"/>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3600t/a</w:t>
            </w:r>
          </w:p>
        </w:tc>
        <w:tc>
          <w:tcPr>
            <w:tcW w:w="1568" w:type="dxa"/>
            <w:shd w:val="clear" w:color="auto" w:fill="auto"/>
            <w:vAlign w:val="center"/>
          </w:tcPr>
          <w:p w14:paraId="16CE5B9E">
            <w:pPr>
              <w:pStyle w:val="9"/>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olor w:val="auto"/>
                <w:szCs w:val="21"/>
                <w:lang w:eastAsia="zh-CN"/>
              </w:rPr>
              <w:t>/</w:t>
            </w:r>
          </w:p>
        </w:tc>
        <w:tc>
          <w:tcPr>
            <w:tcW w:w="1547" w:type="dxa"/>
            <w:shd w:val="clear" w:color="auto" w:fill="auto"/>
            <w:vAlign w:val="center"/>
          </w:tcPr>
          <w:p w14:paraId="62371612">
            <w:pPr>
              <w:pStyle w:val="9"/>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3600t/a</w:t>
            </w:r>
          </w:p>
        </w:tc>
        <w:tc>
          <w:tcPr>
            <w:tcW w:w="1290" w:type="dxa"/>
            <w:shd w:val="clear" w:color="auto" w:fill="auto"/>
            <w:vAlign w:val="center"/>
          </w:tcPr>
          <w:p w14:paraId="58759F41">
            <w:pPr>
              <w:pStyle w:val="9"/>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+3600t/a</w:t>
            </w:r>
          </w:p>
        </w:tc>
      </w:tr>
      <w:tr w14:paraId="77955B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92" w:type="dxa"/>
            <w:vMerge w:val="continue"/>
            <w:vAlign w:val="center"/>
          </w:tcPr>
          <w:p w14:paraId="0FEF138B">
            <w:pPr>
              <w:pStyle w:val="58"/>
              <w:spacing w:beforeLines="0" w:afterLines="0" w:line="240" w:lineRule="auto"/>
              <w:rPr>
                <w:rFonts w:ascii="Times New Roman"/>
                <w:snapToGrid w:val="0"/>
                <w:color w:val="auto"/>
                <w:kern w:val="21"/>
                <w:szCs w:val="21"/>
              </w:rPr>
            </w:pPr>
          </w:p>
        </w:tc>
        <w:tc>
          <w:tcPr>
            <w:tcW w:w="1922" w:type="dxa"/>
            <w:shd w:val="clear" w:color="auto" w:fill="auto"/>
            <w:vAlign w:val="center"/>
          </w:tcPr>
          <w:p w14:paraId="60B17342">
            <w:pPr>
              <w:pStyle w:val="9"/>
              <w:ind w:firstLine="0" w:firstLineChars="0"/>
              <w:jc w:val="center"/>
              <w:rPr>
                <w:rFonts w:ascii="Times New Roman" w:hAnsi="Times New Roman" w:eastAsia="宋体" w:cs="Times New Roman"/>
                <w:snapToGrid w:val="0"/>
                <w:color w:val="auto"/>
                <w:kern w:val="21"/>
                <w:sz w:val="21"/>
                <w:szCs w:val="21"/>
                <w:lang w:val="en-US" w:eastAsia="zh-CN" w:bidi="ar-SA"/>
              </w:rPr>
            </w:pPr>
            <w:r>
              <w:rPr>
                <w:rFonts w:hint="eastAsia" w:ascii="Times New Roman" w:hAnsi="Times New Roman"/>
                <w:color w:val="auto"/>
                <w:szCs w:val="21"/>
              </w:rPr>
              <w:t>CODcr</w:t>
            </w:r>
          </w:p>
        </w:tc>
        <w:tc>
          <w:tcPr>
            <w:tcW w:w="1452" w:type="dxa"/>
            <w:shd w:val="clear" w:color="auto" w:fill="auto"/>
            <w:vAlign w:val="center"/>
          </w:tcPr>
          <w:p w14:paraId="3122C216">
            <w:pPr>
              <w:jc w:val="center"/>
              <w:rPr>
                <w:rFonts w:hint="eastAsia" w:ascii="Times New Roman" w:hAnsi="Times New Roman" w:eastAsia="宋体" w:cs="Times New Roman"/>
                <w:color w:val="auto"/>
                <w:kern w:val="2"/>
                <w:sz w:val="21"/>
                <w:szCs w:val="21"/>
                <w:lang w:val="en-US" w:eastAsia="zh-CN" w:bidi="ar-SA"/>
              </w:rPr>
            </w:pPr>
            <w:r>
              <w:rPr>
                <w:snapToGrid w:val="0"/>
                <w:color w:val="auto"/>
                <w:kern w:val="21"/>
                <w:szCs w:val="21"/>
              </w:rPr>
              <w:t>/</w:t>
            </w:r>
          </w:p>
        </w:tc>
        <w:tc>
          <w:tcPr>
            <w:tcW w:w="1023" w:type="dxa"/>
            <w:vAlign w:val="center"/>
          </w:tcPr>
          <w:p w14:paraId="4D354034">
            <w:pPr>
              <w:jc w:val="center"/>
              <w:rPr>
                <w:snapToGrid w:val="0"/>
                <w:color w:val="auto"/>
                <w:kern w:val="21"/>
                <w:szCs w:val="21"/>
              </w:rPr>
            </w:pPr>
            <w:r>
              <w:rPr>
                <w:snapToGrid w:val="0"/>
                <w:color w:val="auto"/>
                <w:kern w:val="21"/>
                <w:szCs w:val="21"/>
              </w:rPr>
              <w:t>/</w:t>
            </w:r>
          </w:p>
        </w:tc>
        <w:tc>
          <w:tcPr>
            <w:tcW w:w="1472" w:type="dxa"/>
            <w:vAlign w:val="center"/>
          </w:tcPr>
          <w:p w14:paraId="6AEFFB3E">
            <w:pPr>
              <w:jc w:val="center"/>
              <w:rPr>
                <w:snapToGrid w:val="0"/>
                <w:color w:val="auto"/>
                <w:kern w:val="21"/>
                <w:szCs w:val="21"/>
              </w:rPr>
            </w:pPr>
            <w:r>
              <w:rPr>
                <w:snapToGrid w:val="0"/>
                <w:color w:val="auto"/>
                <w:kern w:val="21"/>
                <w:szCs w:val="21"/>
              </w:rPr>
              <w:t>/</w:t>
            </w:r>
          </w:p>
        </w:tc>
        <w:tc>
          <w:tcPr>
            <w:tcW w:w="1470" w:type="dxa"/>
            <w:shd w:val="clear" w:color="auto" w:fill="auto"/>
            <w:vAlign w:val="center"/>
          </w:tcPr>
          <w:p w14:paraId="5D6F5CB4">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highlight w:val="none"/>
                <w:lang w:val="en-US" w:eastAsia="zh-CN"/>
              </w:rPr>
              <w:t>1.224</w:t>
            </w:r>
            <w:r>
              <w:rPr>
                <w:rFonts w:hint="eastAsia" w:ascii="Times New Roman" w:hAnsi="Times New Roman" w:cs="Times New Roman"/>
                <w:color w:val="auto"/>
                <w:kern w:val="2"/>
                <w:sz w:val="21"/>
                <w:szCs w:val="21"/>
                <w:lang w:val="en-US" w:eastAsia="zh-CN" w:bidi="ar-SA"/>
              </w:rPr>
              <w:t>t/a</w:t>
            </w:r>
          </w:p>
        </w:tc>
        <w:tc>
          <w:tcPr>
            <w:tcW w:w="1568" w:type="dxa"/>
            <w:shd w:val="clear" w:color="auto" w:fill="auto"/>
            <w:vAlign w:val="center"/>
          </w:tcPr>
          <w:p w14:paraId="21409213">
            <w:pPr>
              <w:pStyle w:val="9"/>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olor w:val="auto"/>
                <w:szCs w:val="21"/>
                <w:lang w:eastAsia="zh-CN"/>
              </w:rPr>
              <w:t>/</w:t>
            </w:r>
          </w:p>
        </w:tc>
        <w:tc>
          <w:tcPr>
            <w:tcW w:w="1547" w:type="dxa"/>
            <w:shd w:val="clear" w:color="auto" w:fill="auto"/>
            <w:vAlign w:val="center"/>
          </w:tcPr>
          <w:p w14:paraId="4B431EB4">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highlight w:val="none"/>
                <w:lang w:val="en-US" w:eastAsia="zh-CN"/>
              </w:rPr>
              <w:t>1.224</w:t>
            </w:r>
            <w:r>
              <w:rPr>
                <w:rFonts w:hint="eastAsia" w:ascii="Times New Roman" w:hAnsi="Times New Roman" w:cs="Times New Roman"/>
                <w:color w:val="auto"/>
                <w:kern w:val="2"/>
                <w:sz w:val="21"/>
                <w:szCs w:val="21"/>
                <w:lang w:val="en-US" w:eastAsia="zh-CN" w:bidi="ar-SA"/>
              </w:rPr>
              <w:t>t/a</w:t>
            </w:r>
          </w:p>
        </w:tc>
        <w:tc>
          <w:tcPr>
            <w:tcW w:w="1290" w:type="dxa"/>
            <w:shd w:val="clear" w:color="auto" w:fill="auto"/>
            <w:vAlign w:val="center"/>
          </w:tcPr>
          <w:p w14:paraId="381BFDBF">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highlight w:val="none"/>
                <w:lang w:val="en-US" w:eastAsia="zh-CN"/>
              </w:rPr>
              <w:t>+1.224</w:t>
            </w:r>
            <w:r>
              <w:rPr>
                <w:rFonts w:hint="eastAsia" w:ascii="Times New Roman" w:hAnsi="Times New Roman" w:cs="Times New Roman"/>
                <w:color w:val="auto"/>
                <w:kern w:val="2"/>
                <w:sz w:val="21"/>
                <w:szCs w:val="21"/>
                <w:lang w:val="en-US" w:eastAsia="zh-CN" w:bidi="ar-SA"/>
              </w:rPr>
              <w:t>t/a</w:t>
            </w:r>
          </w:p>
        </w:tc>
      </w:tr>
      <w:tr w14:paraId="09AF5C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92" w:type="dxa"/>
            <w:vMerge w:val="continue"/>
            <w:vAlign w:val="center"/>
          </w:tcPr>
          <w:p w14:paraId="60F795D8">
            <w:pPr>
              <w:pStyle w:val="58"/>
              <w:spacing w:beforeLines="0" w:afterLines="0" w:line="240" w:lineRule="auto"/>
              <w:rPr>
                <w:rFonts w:ascii="Times New Roman"/>
                <w:snapToGrid w:val="0"/>
                <w:color w:val="auto"/>
                <w:kern w:val="21"/>
                <w:szCs w:val="21"/>
              </w:rPr>
            </w:pPr>
          </w:p>
        </w:tc>
        <w:tc>
          <w:tcPr>
            <w:tcW w:w="1922" w:type="dxa"/>
            <w:shd w:val="clear" w:color="auto" w:fill="auto"/>
            <w:vAlign w:val="center"/>
          </w:tcPr>
          <w:p w14:paraId="2D12AE56">
            <w:pPr>
              <w:pStyle w:val="9"/>
              <w:ind w:firstLine="0" w:firstLineChars="0"/>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olor w:val="auto"/>
                <w:szCs w:val="21"/>
              </w:rPr>
              <w:t>氨氮</w:t>
            </w:r>
          </w:p>
        </w:tc>
        <w:tc>
          <w:tcPr>
            <w:tcW w:w="1452" w:type="dxa"/>
            <w:shd w:val="clear" w:color="auto" w:fill="auto"/>
            <w:vAlign w:val="center"/>
          </w:tcPr>
          <w:p w14:paraId="6BD5B9CF">
            <w:pPr>
              <w:jc w:val="center"/>
              <w:rPr>
                <w:rFonts w:hint="eastAsia" w:ascii="Times New Roman" w:hAnsi="Times New Roman" w:eastAsia="宋体" w:cs="Times New Roman"/>
                <w:color w:val="auto"/>
                <w:kern w:val="2"/>
                <w:sz w:val="21"/>
                <w:szCs w:val="21"/>
                <w:lang w:val="en-US" w:eastAsia="zh-CN" w:bidi="ar-SA"/>
              </w:rPr>
            </w:pPr>
            <w:r>
              <w:rPr>
                <w:snapToGrid w:val="0"/>
                <w:color w:val="auto"/>
                <w:kern w:val="21"/>
                <w:szCs w:val="21"/>
              </w:rPr>
              <w:t>/</w:t>
            </w:r>
          </w:p>
        </w:tc>
        <w:tc>
          <w:tcPr>
            <w:tcW w:w="1023" w:type="dxa"/>
            <w:vAlign w:val="center"/>
          </w:tcPr>
          <w:p w14:paraId="4627F75F">
            <w:pPr>
              <w:jc w:val="center"/>
              <w:rPr>
                <w:snapToGrid w:val="0"/>
                <w:color w:val="auto"/>
                <w:kern w:val="21"/>
                <w:szCs w:val="21"/>
              </w:rPr>
            </w:pPr>
            <w:r>
              <w:rPr>
                <w:snapToGrid w:val="0"/>
                <w:color w:val="auto"/>
                <w:kern w:val="21"/>
                <w:szCs w:val="21"/>
              </w:rPr>
              <w:t>/</w:t>
            </w:r>
          </w:p>
        </w:tc>
        <w:tc>
          <w:tcPr>
            <w:tcW w:w="1472" w:type="dxa"/>
            <w:vAlign w:val="center"/>
          </w:tcPr>
          <w:p w14:paraId="6BB0D399">
            <w:pPr>
              <w:jc w:val="center"/>
              <w:rPr>
                <w:snapToGrid w:val="0"/>
                <w:color w:val="auto"/>
                <w:kern w:val="21"/>
                <w:szCs w:val="21"/>
              </w:rPr>
            </w:pPr>
            <w:r>
              <w:rPr>
                <w:snapToGrid w:val="0"/>
                <w:color w:val="auto"/>
                <w:kern w:val="21"/>
                <w:szCs w:val="21"/>
              </w:rPr>
              <w:t>/</w:t>
            </w:r>
          </w:p>
        </w:tc>
        <w:tc>
          <w:tcPr>
            <w:tcW w:w="1470" w:type="dxa"/>
            <w:shd w:val="clear" w:color="auto" w:fill="auto"/>
            <w:vAlign w:val="center"/>
          </w:tcPr>
          <w:p w14:paraId="5D45A7D2">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olor w:val="auto"/>
                <w:kern w:val="0"/>
                <w:szCs w:val="21"/>
                <w:lang w:val="en-US" w:eastAsia="zh-CN" w:bidi="ar"/>
              </w:rPr>
              <w:t>0.122</w:t>
            </w:r>
            <w:r>
              <w:rPr>
                <w:rFonts w:hint="eastAsia" w:ascii="Times New Roman" w:hAnsi="Times New Roman" w:cs="Times New Roman"/>
                <w:color w:val="auto"/>
                <w:kern w:val="2"/>
                <w:sz w:val="21"/>
                <w:szCs w:val="21"/>
                <w:lang w:val="en-US" w:eastAsia="zh-CN" w:bidi="ar-SA"/>
              </w:rPr>
              <w:t>t/a</w:t>
            </w:r>
          </w:p>
        </w:tc>
        <w:tc>
          <w:tcPr>
            <w:tcW w:w="1568" w:type="dxa"/>
            <w:shd w:val="clear" w:color="auto" w:fill="auto"/>
            <w:vAlign w:val="center"/>
          </w:tcPr>
          <w:p w14:paraId="765C5D08">
            <w:pPr>
              <w:pStyle w:val="9"/>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olor w:val="auto"/>
                <w:szCs w:val="21"/>
                <w:lang w:eastAsia="zh-CN"/>
              </w:rPr>
              <w:t>/</w:t>
            </w:r>
          </w:p>
        </w:tc>
        <w:tc>
          <w:tcPr>
            <w:tcW w:w="1547" w:type="dxa"/>
            <w:shd w:val="clear" w:color="auto" w:fill="auto"/>
            <w:vAlign w:val="center"/>
          </w:tcPr>
          <w:p w14:paraId="5003C9A9">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olor w:val="auto"/>
                <w:kern w:val="0"/>
                <w:szCs w:val="21"/>
                <w:lang w:val="en-US" w:eastAsia="zh-CN" w:bidi="ar"/>
              </w:rPr>
              <w:t>0.122</w:t>
            </w:r>
            <w:r>
              <w:rPr>
                <w:rFonts w:hint="eastAsia" w:ascii="Times New Roman" w:hAnsi="Times New Roman" w:cs="Times New Roman"/>
                <w:color w:val="auto"/>
                <w:kern w:val="2"/>
                <w:sz w:val="21"/>
                <w:szCs w:val="21"/>
                <w:lang w:val="en-US" w:eastAsia="zh-CN" w:bidi="ar-SA"/>
              </w:rPr>
              <w:t>t/a</w:t>
            </w:r>
          </w:p>
        </w:tc>
        <w:tc>
          <w:tcPr>
            <w:tcW w:w="1290" w:type="dxa"/>
            <w:shd w:val="clear" w:color="auto" w:fill="auto"/>
            <w:vAlign w:val="center"/>
          </w:tcPr>
          <w:p w14:paraId="7C2DEA0B">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olor w:val="auto"/>
                <w:kern w:val="0"/>
                <w:szCs w:val="21"/>
                <w:lang w:val="en-US" w:eastAsia="zh-CN" w:bidi="ar"/>
              </w:rPr>
              <w:t>+0.122</w:t>
            </w:r>
            <w:r>
              <w:rPr>
                <w:rFonts w:hint="eastAsia" w:ascii="Times New Roman" w:hAnsi="Times New Roman" w:cs="Times New Roman"/>
                <w:color w:val="auto"/>
                <w:kern w:val="2"/>
                <w:sz w:val="21"/>
                <w:szCs w:val="21"/>
                <w:lang w:val="en-US" w:eastAsia="zh-CN" w:bidi="ar-SA"/>
              </w:rPr>
              <w:t>t/a</w:t>
            </w:r>
          </w:p>
        </w:tc>
      </w:tr>
      <w:tr w14:paraId="1EAC3A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92" w:type="dxa"/>
            <w:vMerge w:val="continue"/>
            <w:vAlign w:val="center"/>
          </w:tcPr>
          <w:p w14:paraId="654B79CE">
            <w:pPr>
              <w:pStyle w:val="58"/>
              <w:spacing w:beforeLines="0" w:afterLines="0" w:line="240" w:lineRule="auto"/>
              <w:rPr>
                <w:rFonts w:ascii="Times New Roman"/>
                <w:snapToGrid w:val="0"/>
                <w:color w:val="auto"/>
                <w:kern w:val="21"/>
                <w:szCs w:val="21"/>
              </w:rPr>
            </w:pPr>
          </w:p>
        </w:tc>
        <w:tc>
          <w:tcPr>
            <w:tcW w:w="1922" w:type="dxa"/>
            <w:shd w:val="clear" w:color="auto" w:fill="auto"/>
            <w:vAlign w:val="center"/>
          </w:tcPr>
          <w:p w14:paraId="5F5B0424">
            <w:pPr>
              <w:pStyle w:val="9"/>
              <w:ind w:firstLine="0" w:firstLineChars="0"/>
              <w:jc w:val="center"/>
              <w:rPr>
                <w:rFonts w:ascii="Times New Roman" w:hAnsi="Times New Roman" w:eastAsia="宋体" w:cs="Times New Roman"/>
                <w:snapToGrid w:val="0"/>
                <w:color w:val="auto"/>
                <w:kern w:val="21"/>
                <w:sz w:val="21"/>
                <w:szCs w:val="21"/>
                <w:lang w:val="en-US" w:eastAsia="zh-CN" w:bidi="ar-SA"/>
              </w:rPr>
            </w:pPr>
            <w:r>
              <w:rPr>
                <w:rFonts w:hint="eastAsia" w:ascii="Times New Roman" w:hAnsi="Times New Roman"/>
                <w:color w:val="auto"/>
                <w:szCs w:val="21"/>
              </w:rPr>
              <w:t>SS</w:t>
            </w:r>
          </w:p>
        </w:tc>
        <w:tc>
          <w:tcPr>
            <w:tcW w:w="1452" w:type="dxa"/>
            <w:shd w:val="clear" w:color="auto" w:fill="auto"/>
            <w:vAlign w:val="center"/>
          </w:tcPr>
          <w:p w14:paraId="79AB218C">
            <w:pPr>
              <w:jc w:val="center"/>
              <w:rPr>
                <w:rFonts w:hint="eastAsia" w:ascii="Times New Roman" w:hAnsi="Times New Roman" w:eastAsia="宋体" w:cs="Times New Roman"/>
                <w:color w:val="auto"/>
                <w:kern w:val="2"/>
                <w:sz w:val="21"/>
                <w:szCs w:val="21"/>
                <w:lang w:val="en-US" w:eastAsia="zh-CN" w:bidi="ar-SA"/>
              </w:rPr>
            </w:pPr>
            <w:r>
              <w:rPr>
                <w:snapToGrid w:val="0"/>
                <w:color w:val="auto"/>
                <w:kern w:val="21"/>
                <w:szCs w:val="21"/>
              </w:rPr>
              <w:t>/</w:t>
            </w:r>
          </w:p>
        </w:tc>
        <w:tc>
          <w:tcPr>
            <w:tcW w:w="1023" w:type="dxa"/>
            <w:vAlign w:val="center"/>
          </w:tcPr>
          <w:p w14:paraId="54C24A69">
            <w:pPr>
              <w:jc w:val="center"/>
              <w:rPr>
                <w:snapToGrid w:val="0"/>
                <w:color w:val="auto"/>
                <w:kern w:val="21"/>
                <w:szCs w:val="21"/>
              </w:rPr>
            </w:pPr>
            <w:r>
              <w:rPr>
                <w:snapToGrid w:val="0"/>
                <w:color w:val="auto"/>
                <w:kern w:val="21"/>
                <w:szCs w:val="21"/>
              </w:rPr>
              <w:t>/</w:t>
            </w:r>
          </w:p>
        </w:tc>
        <w:tc>
          <w:tcPr>
            <w:tcW w:w="1472" w:type="dxa"/>
            <w:vAlign w:val="center"/>
          </w:tcPr>
          <w:p w14:paraId="5833A35F">
            <w:pPr>
              <w:jc w:val="center"/>
              <w:rPr>
                <w:snapToGrid w:val="0"/>
                <w:color w:val="auto"/>
                <w:kern w:val="21"/>
                <w:szCs w:val="21"/>
              </w:rPr>
            </w:pPr>
            <w:r>
              <w:rPr>
                <w:snapToGrid w:val="0"/>
                <w:color w:val="auto"/>
                <w:kern w:val="21"/>
                <w:szCs w:val="21"/>
              </w:rPr>
              <w:t>/</w:t>
            </w:r>
          </w:p>
        </w:tc>
        <w:tc>
          <w:tcPr>
            <w:tcW w:w="1470" w:type="dxa"/>
            <w:shd w:val="clear" w:color="auto" w:fill="auto"/>
            <w:vAlign w:val="center"/>
          </w:tcPr>
          <w:p w14:paraId="772DC683">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default"/>
                <w:color w:val="auto"/>
                <w:kern w:val="0"/>
                <w:szCs w:val="21"/>
                <w:lang w:val="en-US" w:eastAsia="zh-CN" w:bidi="ar"/>
              </w:rPr>
              <w:t>0.</w:t>
            </w:r>
            <w:r>
              <w:rPr>
                <w:rFonts w:hint="eastAsia"/>
                <w:color w:val="auto"/>
                <w:kern w:val="0"/>
                <w:szCs w:val="21"/>
                <w:lang w:val="en-US" w:eastAsia="zh-CN" w:bidi="ar"/>
              </w:rPr>
              <w:t>504</w:t>
            </w:r>
            <w:r>
              <w:rPr>
                <w:rFonts w:hint="eastAsia" w:ascii="Times New Roman" w:hAnsi="Times New Roman" w:cs="Times New Roman"/>
                <w:color w:val="auto"/>
                <w:kern w:val="2"/>
                <w:sz w:val="21"/>
                <w:szCs w:val="21"/>
                <w:lang w:val="en-US" w:eastAsia="zh-CN" w:bidi="ar-SA"/>
              </w:rPr>
              <w:t>t/a</w:t>
            </w:r>
          </w:p>
        </w:tc>
        <w:tc>
          <w:tcPr>
            <w:tcW w:w="1568" w:type="dxa"/>
            <w:shd w:val="clear" w:color="auto" w:fill="auto"/>
            <w:vAlign w:val="center"/>
          </w:tcPr>
          <w:p w14:paraId="0ADF6C43">
            <w:pPr>
              <w:pStyle w:val="9"/>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olor w:val="auto"/>
                <w:szCs w:val="21"/>
                <w:lang w:eastAsia="zh-CN"/>
              </w:rPr>
              <w:t>/</w:t>
            </w:r>
          </w:p>
        </w:tc>
        <w:tc>
          <w:tcPr>
            <w:tcW w:w="1547" w:type="dxa"/>
            <w:shd w:val="clear" w:color="auto" w:fill="auto"/>
            <w:vAlign w:val="center"/>
          </w:tcPr>
          <w:p w14:paraId="41469A22">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default"/>
                <w:color w:val="auto"/>
                <w:kern w:val="0"/>
                <w:szCs w:val="21"/>
                <w:lang w:val="en-US" w:eastAsia="zh-CN" w:bidi="ar"/>
              </w:rPr>
              <w:t>0.</w:t>
            </w:r>
            <w:r>
              <w:rPr>
                <w:rFonts w:hint="eastAsia"/>
                <w:color w:val="auto"/>
                <w:kern w:val="0"/>
                <w:szCs w:val="21"/>
                <w:lang w:val="en-US" w:eastAsia="zh-CN" w:bidi="ar"/>
              </w:rPr>
              <w:t>504</w:t>
            </w:r>
            <w:r>
              <w:rPr>
                <w:rFonts w:hint="eastAsia" w:ascii="Times New Roman" w:hAnsi="Times New Roman" w:cs="Times New Roman"/>
                <w:color w:val="auto"/>
                <w:kern w:val="2"/>
                <w:sz w:val="21"/>
                <w:szCs w:val="21"/>
                <w:lang w:val="en-US" w:eastAsia="zh-CN" w:bidi="ar-SA"/>
              </w:rPr>
              <w:t>t/a</w:t>
            </w:r>
          </w:p>
        </w:tc>
        <w:tc>
          <w:tcPr>
            <w:tcW w:w="1290" w:type="dxa"/>
            <w:shd w:val="clear" w:color="auto" w:fill="auto"/>
            <w:vAlign w:val="center"/>
          </w:tcPr>
          <w:p w14:paraId="2D9D8302">
            <w:pPr>
              <w:widowControl/>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color w:val="auto"/>
                <w:kern w:val="0"/>
                <w:szCs w:val="21"/>
                <w:lang w:val="en-US" w:eastAsia="zh-CN" w:bidi="ar"/>
              </w:rPr>
              <w:t>+</w:t>
            </w:r>
            <w:r>
              <w:rPr>
                <w:rFonts w:hint="default"/>
                <w:color w:val="auto"/>
                <w:kern w:val="0"/>
                <w:szCs w:val="21"/>
                <w:lang w:val="en-US" w:eastAsia="zh-CN" w:bidi="ar"/>
              </w:rPr>
              <w:t>0.</w:t>
            </w:r>
            <w:r>
              <w:rPr>
                <w:rFonts w:hint="eastAsia"/>
                <w:color w:val="auto"/>
                <w:kern w:val="0"/>
                <w:szCs w:val="21"/>
                <w:lang w:val="en-US" w:eastAsia="zh-CN" w:bidi="ar"/>
              </w:rPr>
              <w:t>504</w:t>
            </w:r>
            <w:r>
              <w:rPr>
                <w:rFonts w:hint="eastAsia" w:ascii="Times New Roman" w:hAnsi="Times New Roman" w:cs="Times New Roman"/>
                <w:color w:val="auto"/>
                <w:kern w:val="2"/>
                <w:sz w:val="21"/>
                <w:szCs w:val="21"/>
                <w:lang w:val="en-US" w:eastAsia="zh-CN" w:bidi="ar-SA"/>
              </w:rPr>
              <w:t>t/a</w:t>
            </w:r>
          </w:p>
        </w:tc>
      </w:tr>
      <w:tr w14:paraId="5F95B4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92" w:type="dxa"/>
            <w:vMerge w:val="continue"/>
            <w:vAlign w:val="center"/>
          </w:tcPr>
          <w:p w14:paraId="30CC0028">
            <w:pPr>
              <w:pStyle w:val="58"/>
              <w:spacing w:beforeLines="0" w:afterLines="0" w:line="240" w:lineRule="auto"/>
              <w:rPr>
                <w:rFonts w:ascii="Times New Roman"/>
                <w:snapToGrid w:val="0"/>
                <w:color w:val="auto"/>
                <w:kern w:val="21"/>
                <w:szCs w:val="21"/>
              </w:rPr>
            </w:pPr>
          </w:p>
        </w:tc>
        <w:tc>
          <w:tcPr>
            <w:tcW w:w="1922" w:type="dxa"/>
            <w:shd w:val="clear" w:color="auto" w:fill="auto"/>
            <w:vAlign w:val="center"/>
          </w:tcPr>
          <w:p w14:paraId="74140726">
            <w:pPr>
              <w:pStyle w:val="9"/>
              <w:ind w:firstLine="0" w:firstLineChars="0"/>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olor w:val="auto"/>
                <w:szCs w:val="21"/>
              </w:rPr>
              <w:t>BOD</w:t>
            </w:r>
            <w:r>
              <w:rPr>
                <w:rFonts w:hint="eastAsia" w:ascii="Times New Roman" w:hAnsi="Times New Roman"/>
                <w:color w:val="auto"/>
                <w:szCs w:val="21"/>
                <w:vertAlign w:val="subscript"/>
              </w:rPr>
              <w:t>5</w:t>
            </w:r>
          </w:p>
        </w:tc>
        <w:tc>
          <w:tcPr>
            <w:tcW w:w="1452" w:type="dxa"/>
            <w:shd w:val="clear" w:color="auto" w:fill="auto"/>
            <w:vAlign w:val="center"/>
          </w:tcPr>
          <w:p w14:paraId="4F2AD0C1">
            <w:pPr>
              <w:jc w:val="center"/>
              <w:rPr>
                <w:rFonts w:hint="eastAsia" w:ascii="Times New Roman" w:hAnsi="Times New Roman" w:eastAsia="宋体" w:cs="Times New Roman"/>
                <w:color w:val="auto"/>
                <w:kern w:val="2"/>
                <w:sz w:val="21"/>
                <w:szCs w:val="21"/>
                <w:lang w:val="en-US" w:eastAsia="zh-CN" w:bidi="ar-SA"/>
              </w:rPr>
            </w:pPr>
            <w:r>
              <w:rPr>
                <w:snapToGrid w:val="0"/>
                <w:color w:val="auto"/>
                <w:kern w:val="21"/>
                <w:szCs w:val="21"/>
              </w:rPr>
              <w:t>/</w:t>
            </w:r>
          </w:p>
        </w:tc>
        <w:tc>
          <w:tcPr>
            <w:tcW w:w="1023" w:type="dxa"/>
            <w:vAlign w:val="center"/>
          </w:tcPr>
          <w:p w14:paraId="5CEEBBF1">
            <w:pPr>
              <w:jc w:val="center"/>
              <w:rPr>
                <w:snapToGrid w:val="0"/>
                <w:color w:val="auto"/>
                <w:kern w:val="21"/>
                <w:szCs w:val="21"/>
              </w:rPr>
            </w:pPr>
            <w:r>
              <w:rPr>
                <w:snapToGrid w:val="0"/>
                <w:color w:val="auto"/>
                <w:kern w:val="21"/>
                <w:szCs w:val="21"/>
              </w:rPr>
              <w:t>/</w:t>
            </w:r>
          </w:p>
        </w:tc>
        <w:tc>
          <w:tcPr>
            <w:tcW w:w="1472" w:type="dxa"/>
            <w:vAlign w:val="center"/>
          </w:tcPr>
          <w:p w14:paraId="37A447AB">
            <w:pPr>
              <w:jc w:val="center"/>
              <w:rPr>
                <w:snapToGrid w:val="0"/>
                <w:color w:val="auto"/>
                <w:kern w:val="21"/>
                <w:szCs w:val="21"/>
              </w:rPr>
            </w:pPr>
            <w:r>
              <w:rPr>
                <w:snapToGrid w:val="0"/>
                <w:color w:val="auto"/>
                <w:kern w:val="21"/>
                <w:szCs w:val="21"/>
              </w:rPr>
              <w:t>/</w:t>
            </w:r>
          </w:p>
        </w:tc>
        <w:tc>
          <w:tcPr>
            <w:tcW w:w="1470" w:type="dxa"/>
            <w:shd w:val="clear" w:color="auto" w:fill="auto"/>
            <w:vAlign w:val="center"/>
          </w:tcPr>
          <w:p w14:paraId="010260D1">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olor w:val="auto"/>
                <w:kern w:val="0"/>
                <w:szCs w:val="21"/>
                <w:lang w:val="en-US" w:eastAsia="zh-CN" w:bidi="ar"/>
              </w:rPr>
              <w:t>0.720</w:t>
            </w:r>
            <w:r>
              <w:rPr>
                <w:rFonts w:hint="eastAsia" w:ascii="Times New Roman" w:hAnsi="Times New Roman" w:cs="Times New Roman"/>
                <w:color w:val="auto"/>
                <w:kern w:val="2"/>
                <w:sz w:val="21"/>
                <w:szCs w:val="21"/>
                <w:lang w:val="en-US" w:eastAsia="zh-CN" w:bidi="ar-SA"/>
              </w:rPr>
              <w:t>t/a</w:t>
            </w:r>
          </w:p>
        </w:tc>
        <w:tc>
          <w:tcPr>
            <w:tcW w:w="1568" w:type="dxa"/>
            <w:shd w:val="clear" w:color="auto" w:fill="auto"/>
            <w:vAlign w:val="center"/>
          </w:tcPr>
          <w:p w14:paraId="5E6EFC81">
            <w:pPr>
              <w:jc w:val="center"/>
              <w:rPr>
                <w:rFonts w:hint="default" w:ascii="Times New Roman" w:hAnsi="Times New Roman" w:eastAsia="宋体" w:cs="Times New Roman"/>
                <w:color w:val="auto"/>
                <w:kern w:val="2"/>
                <w:sz w:val="21"/>
                <w:szCs w:val="21"/>
                <w:lang w:val="en-US" w:eastAsia="zh-CN" w:bidi="ar-SA"/>
              </w:rPr>
            </w:pPr>
            <w:r>
              <w:rPr>
                <w:snapToGrid w:val="0"/>
                <w:color w:val="auto"/>
                <w:kern w:val="21"/>
                <w:szCs w:val="21"/>
              </w:rPr>
              <w:t>/</w:t>
            </w:r>
          </w:p>
        </w:tc>
        <w:tc>
          <w:tcPr>
            <w:tcW w:w="1547" w:type="dxa"/>
            <w:shd w:val="clear" w:color="auto" w:fill="auto"/>
            <w:vAlign w:val="center"/>
          </w:tcPr>
          <w:p w14:paraId="270D08E3">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olor w:val="auto"/>
                <w:kern w:val="0"/>
                <w:szCs w:val="21"/>
                <w:lang w:val="en-US" w:eastAsia="zh-CN" w:bidi="ar"/>
              </w:rPr>
              <w:t>0.720</w:t>
            </w:r>
            <w:r>
              <w:rPr>
                <w:rFonts w:hint="eastAsia" w:ascii="Times New Roman" w:hAnsi="Times New Roman" w:cs="Times New Roman"/>
                <w:color w:val="auto"/>
                <w:kern w:val="2"/>
                <w:sz w:val="21"/>
                <w:szCs w:val="21"/>
                <w:lang w:val="en-US" w:eastAsia="zh-CN" w:bidi="ar-SA"/>
              </w:rPr>
              <w:t>t/a</w:t>
            </w:r>
          </w:p>
        </w:tc>
        <w:tc>
          <w:tcPr>
            <w:tcW w:w="1290" w:type="dxa"/>
            <w:shd w:val="clear" w:color="auto" w:fill="auto"/>
            <w:vAlign w:val="center"/>
          </w:tcPr>
          <w:p w14:paraId="6A2EF902">
            <w:pPr>
              <w:widowControl/>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color w:val="auto"/>
                <w:kern w:val="0"/>
                <w:szCs w:val="21"/>
                <w:lang w:val="en-US" w:eastAsia="zh-CN" w:bidi="ar"/>
              </w:rPr>
              <w:t>+0.720</w:t>
            </w:r>
            <w:r>
              <w:rPr>
                <w:rFonts w:hint="eastAsia" w:ascii="Times New Roman" w:hAnsi="Times New Roman" w:cs="Times New Roman"/>
                <w:color w:val="auto"/>
                <w:kern w:val="2"/>
                <w:sz w:val="21"/>
                <w:szCs w:val="21"/>
                <w:lang w:val="en-US" w:eastAsia="zh-CN" w:bidi="ar-SA"/>
              </w:rPr>
              <w:t>t/a</w:t>
            </w:r>
          </w:p>
        </w:tc>
      </w:tr>
      <w:tr w14:paraId="2A4EC5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92" w:type="dxa"/>
            <w:vMerge w:val="restart"/>
            <w:vAlign w:val="center"/>
          </w:tcPr>
          <w:p w14:paraId="111B87AE">
            <w:pPr>
              <w:pStyle w:val="58"/>
              <w:spacing w:beforeLines="0" w:afterLines="0" w:line="240" w:lineRule="auto"/>
              <w:rPr>
                <w:rFonts w:ascii="Times New Roman"/>
                <w:snapToGrid w:val="0"/>
                <w:color w:val="auto"/>
                <w:kern w:val="21"/>
                <w:szCs w:val="21"/>
              </w:rPr>
            </w:pPr>
            <w:r>
              <w:rPr>
                <w:rFonts w:ascii="Times New Roman"/>
                <w:snapToGrid w:val="0"/>
                <w:color w:val="auto"/>
                <w:kern w:val="21"/>
                <w:szCs w:val="21"/>
              </w:rPr>
              <w:t>一般工业固体废物</w:t>
            </w:r>
          </w:p>
        </w:tc>
        <w:tc>
          <w:tcPr>
            <w:tcW w:w="1922" w:type="dxa"/>
            <w:shd w:val="clear" w:color="auto" w:fill="auto"/>
            <w:vAlign w:val="center"/>
          </w:tcPr>
          <w:p w14:paraId="0C8E7B51">
            <w:pPr>
              <w:jc w:val="center"/>
              <w:rPr>
                <w:rFonts w:hint="eastAsia" w:ascii="Times New Roman" w:hAnsi="Times New Roman"/>
                <w:color w:val="auto"/>
                <w:sz w:val="21"/>
                <w:szCs w:val="21"/>
              </w:rPr>
            </w:pPr>
            <w:r>
              <w:rPr>
                <w:rFonts w:hint="default" w:ascii="Times New Roman" w:hAnsi="Times New Roman" w:cs="Times New Roman"/>
                <w:color w:val="auto"/>
                <w:sz w:val="21"/>
                <w:szCs w:val="21"/>
                <w:lang w:eastAsia="zh-CN"/>
              </w:rPr>
              <w:t>废包装材料</w:t>
            </w:r>
          </w:p>
        </w:tc>
        <w:tc>
          <w:tcPr>
            <w:tcW w:w="1452" w:type="dxa"/>
            <w:shd w:val="clear" w:color="auto" w:fill="auto"/>
            <w:vAlign w:val="center"/>
          </w:tcPr>
          <w:p w14:paraId="2C7342D4">
            <w:pPr>
              <w:jc w:val="center"/>
              <w:rPr>
                <w:rFonts w:hint="eastAsia" w:eastAsia="宋体"/>
                <w:color w:val="auto"/>
                <w:lang w:eastAsia="zh-CN"/>
              </w:rPr>
            </w:pPr>
            <w:r>
              <w:rPr>
                <w:snapToGrid w:val="0"/>
                <w:color w:val="auto"/>
                <w:kern w:val="21"/>
                <w:szCs w:val="21"/>
              </w:rPr>
              <w:t>/</w:t>
            </w:r>
          </w:p>
        </w:tc>
        <w:tc>
          <w:tcPr>
            <w:tcW w:w="1023" w:type="dxa"/>
            <w:vAlign w:val="center"/>
          </w:tcPr>
          <w:p w14:paraId="730C15F1">
            <w:pPr>
              <w:jc w:val="center"/>
              <w:rPr>
                <w:snapToGrid w:val="0"/>
                <w:color w:val="auto"/>
                <w:kern w:val="21"/>
                <w:szCs w:val="21"/>
              </w:rPr>
            </w:pPr>
            <w:r>
              <w:rPr>
                <w:snapToGrid w:val="0"/>
                <w:color w:val="auto"/>
                <w:kern w:val="21"/>
                <w:szCs w:val="21"/>
              </w:rPr>
              <w:t>/</w:t>
            </w:r>
          </w:p>
        </w:tc>
        <w:tc>
          <w:tcPr>
            <w:tcW w:w="1472" w:type="dxa"/>
            <w:vAlign w:val="center"/>
          </w:tcPr>
          <w:p w14:paraId="066D107B">
            <w:pPr>
              <w:jc w:val="center"/>
              <w:rPr>
                <w:snapToGrid w:val="0"/>
                <w:color w:val="auto"/>
                <w:kern w:val="21"/>
                <w:szCs w:val="21"/>
              </w:rPr>
            </w:pPr>
            <w:r>
              <w:rPr>
                <w:snapToGrid w:val="0"/>
                <w:color w:val="auto"/>
                <w:kern w:val="21"/>
                <w:szCs w:val="21"/>
              </w:rPr>
              <w:t>/</w:t>
            </w:r>
          </w:p>
        </w:tc>
        <w:tc>
          <w:tcPr>
            <w:tcW w:w="1470" w:type="dxa"/>
            <w:shd w:val="clear" w:color="auto" w:fill="auto"/>
            <w:vAlign w:val="center"/>
          </w:tcPr>
          <w:p w14:paraId="4E72679B">
            <w:pPr>
              <w:jc w:val="center"/>
              <w:rPr>
                <w:rFonts w:hint="default" w:ascii="Times New Roman" w:hAnsi="Times New Roman" w:eastAsia="宋体" w:cs="Times New Roman"/>
                <w:color w:val="auto"/>
                <w:kern w:val="2"/>
                <w:sz w:val="21"/>
                <w:szCs w:val="24"/>
                <w:lang w:val="en-US" w:eastAsia="zh-CN" w:bidi="ar-SA"/>
              </w:rPr>
            </w:pPr>
            <w:r>
              <w:rPr>
                <w:rFonts w:hint="eastAsia" w:cs="Times New Roman"/>
                <w:color w:val="auto"/>
                <w:sz w:val="21"/>
                <w:szCs w:val="21"/>
                <w:lang w:val="en-US" w:eastAsia="zh-CN"/>
              </w:rPr>
              <w:t>2</w:t>
            </w:r>
            <w:r>
              <w:rPr>
                <w:rFonts w:hint="eastAsia" w:ascii="Times New Roman" w:hAnsi="Times New Roman" w:cs="Times New Roman"/>
                <w:color w:val="auto"/>
                <w:kern w:val="2"/>
                <w:sz w:val="21"/>
                <w:szCs w:val="21"/>
                <w:lang w:val="en-US" w:eastAsia="zh-CN" w:bidi="ar-SA"/>
              </w:rPr>
              <w:t>t/a</w:t>
            </w:r>
          </w:p>
        </w:tc>
        <w:tc>
          <w:tcPr>
            <w:tcW w:w="1568" w:type="dxa"/>
            <w:shd w:val="clear" w:color="auto" w:fill="auto"/>
            <w:vAlign w:val="center"/>
          </w:tcPr>
          <w:p w14:paraId="45AD4283">
            <w:pPr>
              <w:jc w:val="center"/>
              <w:rPr>
                <w:rFonts w:hint="default" w:ascii="Times New Roman" w:hAnsi="Times New Roman" w:eastAsia="宋体" w:cs="Times New Roman"/>
                <w:color w:val="auto"/>
                <w:kern w:val="2"/>
                <w:sz w:val="21"/>
                <w:szCs w:val="21"/>
                <w:lang w:val="en-US" w:eastAsia="zh-CN" w:bidi="ar-SA"/>
              </w:rPr>
            </w:pPr>
            <w:r>
              <w:rPr>
                <w:snapToGrid w:val="0"/>
                <w:color w:val="auto"/>
                <w:kern w:val="21"/>
                <w:szCs w:val="21"/>
              </w:rPr>
              <w:t>/</w:t>
            </w:r>
          </w:p>
        </w:tc>
        <w:tc>
          <w:tcPr>
            <w:tcW w:w="1547" w:type="dxa"/>
            <w:shd w:val="clear" w:color="auto" w:fill="auto"/>
            <w:vAlign w:val="center"/>
          </w:tcPr>
          <w:p w14:paraId="613D860E">
            <w:pPr>
              <w:jc w:val="center"/>
              <w:rPr>
                <w:rFonts w:hint="default" w:ascii="Times New Roman" w:hAnsi="Times New Roman" w:eastAsia="宋体" w:cs="Times New Roman"/>
                <w:color w:val="auto"/>
                <w:kern w:val="2"/>
                <w:sz w:val="21"/>
                <w:szCs w:val="24"/>
                <w:highlight w:val="none"/>
                <w:lang w:val="en-US" w:eastAsia="zh-CN" w:bidi="ar-SA"/>
              </w:rPr>
            </w:pPr>
            <w:r>
              <w:rPr>
                <w:rFonts w:hint="eastAsia" w:cs="Times New Roman"/>
                <w:color w:val="auto"/>
                <w:sz w:val="21"/>
                <w:szCs w:val="21"/>
                <w:lang w:val="en-US" w:eastAsia="zh-CN"/>
              </w:rPr>
              <w:t>2</w:t>
            </w:r>
            <w:r>
              <w:rPr>
                <w:rFonts w:hint="eastAsia" w:ascii="Times New Roman" w:hAnsi="Times New Roman" w:cs="Times New Roman"/>
                <w:color w:val="auto"/>
                <w:kern w:val="2"/>
                <w:sz w:val="21"/>
                <w:szCs w:val="21"/>
                <w:lang w:val="en-US" w:eastAsia="zh-CN" w:bidi="ar-SA"/>
              </w:rPr>
              <w:t>t/a</w:t>
            </w:r>
          </w:p>
        </w:tc>
        <w:tc>
          <w:tcPr>
            <w:tcW w:w="1290" w:type="dxa"/>
            <w:shd w:val="clear" w:color="auto" w:fill="auto"/>
            <w:vAlign w:val="center"/>
          </w:tcPr>
          <w:p w14:paraId="1DDD0F0B">
            <w:pPr>
              <w:jc w:val="center"/>
              <w:rPr>
                <w:rFonts w:hint="default" w:ascii="Times New Roman" w:hAnsi="Times New Roman" w:eastAsia="宋体" w:cs="Times New Roman"/>
                <w:snapToGrid w:val="0"/>
                <w:color w:val="auto"/>
                <w:kern w:val="21"/>
                <w:sz w:val="21"/>
                <w:szCs w:val="21"/>
                <w:lang w:val="en-US" w:eastAsia="zh-CN" w:bidi="ar-SA"/>
              </w:rPr>
            </w:pPr>
            <w:r>
              <w:rPr>
                <w:rFonts w:hint="eastAsia" w:cs="Times New Roman"/>
                <w:color w:val="auto"/>
                <w:sz w:val="21"/>
                <w:szCs w:val="21"/>
                <w:lang w:val="en-US" w:eastAsia="zh-CN"/>
              </w:rPr>
              <w:t>+2</w:t>
            </w:r>
            <w:r>
              <w:rPr>
                <w:rFonts w:hint="eastAsia" w:ascii="Times New Roman" w:hAnsi="Times New Roman" w:cs="Times New Roman"/>
                <w:color w:val="auto"/>
                <w:kern w:val="2"/>
                <w:sz w:val="21"/>
                <w:szCs w:val="21"/>
                <w:lang w:val="en-US" w:eastAsia="zh-CN" w:bidi="ar-SA"/>
              </w:rPr>
              <w:t>t/a</w:t>
            </w:r>
          </w:p>
        </w:tc>
      </w:tr>
      <w:tr w14:paraId="2622C0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92" w:type="dxa"/>
            <w:vMerge w:val="continue"/>
            <w:vAlign w:val="center"/>
          </w:tcPr>
          <w:p w14:paraId="62B86094">
            <w:pPr>
              <w:pStyle w:val="58"/>
              <w:spacing w:beforeLines="0" w:afterLines="0" w:line="240" w:lineRule="auto"/>
              <w:rPr>
                <w:rFonts w:ascii="Times New Roman"/>
                <w:snapToGrid w:val="0"/>
                <w:color w:val="auto"/>
                <w:kern w:val="21"/>
                <w:szCs w:val="21"/>
              </w:rPr>
            </w:pPr>
          </w:p>
        </w:tc>
        <w:tc>
          <w:tcPr>
            <w:tcW w:w="1922" w:type="dxa"/>
            <w:shd w:val="clear" w:color="auto" w:fill="auto"/>
            <w:vAlign w:val="center"/>
          </w:tcPr>
          <w:p w14:paraId="0C1F5A4C">
            <w:pPr>
              <w:jc w:val="center"/>
              <w:rPr>
                <w:rFonts w:hint="eastAsia" w:ascii="Times New Roman" w:hAnsi="Times New Roman"/>
                <w:color w:val="auto"/>
                <w:sz w:val="21"/>
                <w:szCs w:val="21"/>
              </w:rPr>
            </w:pPr>
            <w:r>
              <w:rPr>
                <w:rFonts w:hint="eastAsia" w:cs="Times New Roman"/>
                <w:color w:val="auto"/>
                <w:sz w:val="21"/>
                <w:szCs w:val="21"/>
                <w:lang w:eastAsia="zh-CN"/>
              </w:rPr>
              <w:t>废边角料</w:t>
            </w:r>
          </w:p>
        </w:tc>
        <w:tc>
          <w:tcPr>
            <w:tcW w:w="1452" w:type="dxa"/>
            <w:shd w:val="clear" w:color="auto" w:fill="auto"/>
            <w:vAlign w:val="center"/>
          </w:tcPr>
          <w:p w14:paraId="62CF910B">
            <w:pPr>
              <w:jc w:val="center"/>
              <w:rPr>
                <w:snapToGrid w:val="0"/>
                <w:color w:val="auto"/>
                <w:kern w:val="21"/>
                <w:szCs w:val="21"/>
              </w:rPr>
            </w:pPr>
            <w:r>
              <w:rPr>
                <w:snapToGrid w:val="0"/>
                <w:color w:val="auto"/>
                <w:kern w:val="21"/>
                <w:szCs w:val="21"/>
              </w:rPr>
              <w:t>/</w:t>
            </w:r>
          </w:p>
        </w:tc>
        <w:tc>
          <w:tcPr>
            <w:tcW w:w="1023" w:type="dxa"/>
            <w:vAlign w:val="center"/>
          </w:tcPr>
          <w:p w14:paraId="7E67AD4E">
            <w:pPr>
              <w:jc w:val="center"/>
              <w:rPr>
                <w:snapToGrid w:val="0"/>
                <w:color w:val="auto"/>
                <w:kern w:val="21"/>
                <w:szCs w:val="21"/>
              </w:rPr>
            </w:pPr>
            <w:r>
              <w:rPr>
                <w:snapToGrid w:val="0"/>
                <w:color w:val="auto"/>
                <w:kern w:val="21"/>
                <w:szCs w:val="21"/>
              </w:rPr>
              <w:t>/</w:t>
            </w:r>
          </w:p>
        </w:tc>
        <w:tc>
          <w:tcPr>
            <w:tcW w:w="1472" w:type="dxa"/>
            <w:vAlign w:val="center"/>
          </w:tcPr>
          <w:p w14:paraId="51BF1A25">
            <w:pPr>
              <w:jc w:val="center"/>
              <w:rPr>
                <w:snapToGrid w:val="0"/>
                <w:color w:val="auto"/>
                <w:kern w:val="21"/>
                <w:szCs w:val="21"/>
              </w:rPr>
            </w:pPr>
            <w:r>
              <w:rPr>
                <w:snapToGrid w:val="0"/>
                <w:color w:val="auto"/>
                <w:kern w:val="21"/>
                <w:szCs w:val="21"/>
              </w:rPr>
              <w:t>/</w:t>
            </w:r>
          </w:p>
        </w:tc>
        <w:tc>
          <w:tcPr>
            <w:tcW w:w="1470" w:type="dxa"/>
            <w:shd w:val="clear" w:color="auto" w:fill="auto"/>
            <w:vAlign w:val="center"/>
          </w:tcPr>
          <w:p w14:paraId="232F7E9B">
            <w:pPr>
              <w:jc w:val="center"/>
              <w:rPr>
                <w:rFonts w:hint="eastAsia"/>
                <w:color w:val="auto"/>
                <w:highlight w:val="none"/>
                <w:lang w:val="en-US" w:eastAsia="zh-CN"/>
              </w:rPr>
            </w:pPr>
            <w:r>
              <w:rPr>
                <w:rFonts w:hint="eastAsia" w:cs="Times New Roman"/>
                <w:color w:val="auto"/>
                <w:sz w:val="21"/>
                <w:szCs w:val="21"/>
                <w:lang w:val="en-US" w:eastAsia="zh-CN"/>
              </w:rPr>
              <w:t>37</w:t>
            </w:r>
            <w:r>
              <w:rPr>
                <w:rFonts w:hint="eastAsia" w:ascii="Times New Roman" w:hAnsi="Times New Roman" w:cs="Times New Roman"/>
                <w:color w:val="auto"/>
                <w:kern w:val="2"/>
                <w:sz w:val="21"/>
                <w:szCs w:val="21"/>
                <w:lang w:val="en-US" w:eastAsia="zh-CN" w:bidi="ar-SA"/>
              </w:rPr>
              <w:t>t/a</w:t>
            </w:r>
          </w:p>
        </w:tc>
        <w:tc>
          <w:tcPr>
            <w:tcW w:w="1568" w:type="dxa"/>
            <w:shd w:val="clear" w:color="auto" w:fill="auto"/>
            <w:vAlign w:val="center"/>
          </w:tcPr>
          <w:p w14:paraId="31530A3A">
            <w:pPr>
              <w:jc w:val="center"/>
              <w:rPr>
                <w:rFonts w:hint="eastAsia" w:ascii="Times New Roman" w:hAnsi="Times New Roman"/>
                <w:color w:val="auto"/>
                <w:szCs w:val="21"/>
                <w:lang w:eastAsia="zh-CN"/>
              </w:rPr>
            </w:pPr>
            <w:r>
              <w:rPr>
                <w:snapToGrid w:val="0"/>
                <w:color w:val="auto"/>
                <w:kern w:val="21"/>
                <w:szCs w:val="21"/>
              </w:rPr>
              <w:t>/</w:t>
            </w:r>
          </w:p>
        </w:tc>
        <w:tc>
          <w:tcPr>
            <w:tcW w:w="1547" w:type="dxa"/>
            <w:shd w:val="clear" w:color="auto" w:fill="auto"/>
            <w:vAlign w:val="center"/>
          </w:tcPr>
          <w:p w14:paraId="14B53AED">
            <w:pPr>
              <w:jc w:val="center"/>
              <w:rPr>
                <w:rFonts w:hint="eastAsia"/>
                <w:color w:val="auto"/>
                <w:highlight w:val="none"/>
                <w:lang w:val="en-US" w:eastAsia="zh-CN"/>
              </w:rPr>
            </w:pPr>
            <w:r>
              <w:rPr>
                <w:rFonts w:hint="eastAsia" w:cs="Times New Roman"/>
                <w:color w:val="auto"/>
                <w:sz w:val="21"/>
                <w:szCs w:val="21"/>
                <w:lang w:val="en-US" w:eastAsia="zh-CN"/>
              </w:rPr>
              <w:t>37</w:t>
            </w:r>
            <w:r>
              <w:rPr>
                <w:rFonts w:hint="eastAsia" w:ascii="Times New Roman" w:hAnsi="Times New Roman" w:cs="Times New Roman"/>
                <w:color w:val="auto"/>
                <w:kern w:val="2"/>
                <w:sz w:val="21"/>
                <w:szCs w:val="21"/>
                <w:lang w:val="en-US" w:eastAsia="zh-CN" w:bidi="ar-SA"/>
              </w:rPr>
              <w:t>t/a</w:t>
            </w:r>
          </w:p>
        </w:tc>
        <w:tc>
          <w:tcPr>
            <w:tcW w:w="1290" w:type="dxa"/>
            <w:shd w:val="clear" w:color="auto" w:fill="auto"/>
            <w:vAlign w:val="center"/>
          </w:tcPr>
          <w:p w14:paraId="7CD8734D">
            <w:pPr>
              <w:jc w:val="center"/>
              <w:rPr>
                <w:rFonts w:hint="eastAsia"/>
                <w:color w:val="auto"/>
                <w:highlight w:val="none"/>
                <w:lang w:val="en-US" w:eastAsia="zh-CN"/>
              </w:rPr>
            </w:pPr>
            <w:r>
              <w:rPr>
                <w:rFonts w:hint="eastAsia" w:cs="Times New Roman"/>
                <w:color w:val="auto"/>
                <w:sz w:val="21"/>
                <w:szCs w:val="21"/>
                <w:lang w:val="en-US" w:eastAsia="zh-CN"/>
              </w:rPr>
              <w:t>+37</w:t>
            </w:r>
            <w:r>
              <w:rPr>
                <w:rFonts w:hint="eastAsia" w:ascii="Times New Roman" w:hAnsi="Times New Roman" w:cs="Times New Roman"/>
                <w:color w:val="auto"/>
                <w:kern w:val="2"/>
                <w:sz w:val="21"/>
                <w:szCs w:val="21"/>
                <w:lang w:val="en-US" w:eastAsia="zh-CN" w:bidi="ar-SA"/>
              </w:rPr>
              <w:t>t/a</w:t>
            </w:r>
          </w:p>
        </w:tc>
      </w:tr>
      <w:tr w14:paraId="7005C8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92" w:type="dxa"/>
            <w:vMerge w:val="continue"/>
            <w:vAlign w:val="center"/>
          </w:tcPr>
          <w:p w14:paraId="07CCE4BF">
            <w:pPr>
              <w:pStyle w:val="58"/>
              <w:spacing w:beforeLines="0" w:afterLines="0" w:line="240" w:lineRule="auto"/>
              <w:rPr>
                <w:rFonts w:ascii="Times New Roman"/>
                <w:snapToGrid w:val="0"/>
                <w:color w:val="auto"/>
                <w:kern w:val="21"/>
                <w:szCs w:val="21"/>
              </w:rPr>
            </w:pPr>
          </w:p>
        </w:tc>
        <w:tc>
          <w:tcPr>
            <w:tcW w:w="1922" w:type="dxa"/>
            <w:shd w:val="clear" w:color="auto" w:fill="auto"/>
            <w:vAlign w:val="center"/>
          </w:tcPr>
          <w:p w14:paraId="1EC0F22A">
            <w:pPr>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eastAsia="zh-CN"/>
              </w:rPr>
              <w:t>废钢砂</w:t>
            </w:r>
          </w:p>
        </w:tc>
        <w:tc>
          <w:tcPr>
            <w:tcW w:w="1452" w:type="dxa"/>
            <w:shd w:val="clear" w:color="auto" w:fill="auto"/>
            <w:vAlign w:val="center"/>
          </w:tcPr>
          <w:p w14:paraId="0E92D9A2">
            <w:pPr>
              <w:jc w:val="center"/>
              <w:rPr>
                <w:snapToGrid w:val="0"/>
                <w:color w:val="auto"/>
                <w:kern w:val="21"/>
                <w:szCs w:val="21"/>
              </w:rPr>
            </w:pPr>
            <w:r>
              <w:rPr>
                <w:snapToGrid w:val="0"/>
                <w:color w:val="auto"/>
                <w:kern w:val="21"/>
                <w:szCs w:val="21"/>
              </w:rPr>
              <w:t>/</w:t>
            </w:r>
          </w:p>
        </w:tc>
        <w:tc>
          <w:tcPr>
            <w:tcW w:w="1023" w:type="dxa"/>
            <w:vAlign w:val="center"/>
          </w:tcPr>
          <w:p w14:paraId="33F77374">
            <w:pPr>
              <w:jc w:val="center"/>
              <w:rPr>
                <w:snapToGrid w:val="0"/>
                <w:color w:val="auto"/>
                <w:kern w:val="21"/>
                <w:szCs w:val="21"/>
              </w:rPr>
            </w:pPr>
            <w:r>
              <w:rPr>
                <w:snapToGrid w:val="0"/>
                <w:color w:val="auto"/>
                <w:kern w:val="21"/>
                <w:szCs w:val="21"/>
              </w:rPr>
              <w:t>/</w:t>
            </w:r>
          </w:p>
        </w:tc>
        <w:tc>
          <w:tcPr>
            <w:tcW w:w="1472" w:type="dxa"/>
            <w:vAlign w:val="center"/>
          </w:tcPr>
          <w:p w14:paraId="04FDC885">
            <w:pPr>
              <w:jc w:val="center"/>
              <w:rPr>
                <w:snapToGrid w:val="0"/>
                <w:color w:val="auto"/>
                <w:kern w:val="21"/>
                <w:szCs w:val="21"/>
              </w:rPr>
            </w:pPr>
            <w:r>
              <w:rPr>
                <w:snapToGrid w:val="0"/>
                <w:color w:val="auto"/>
                <w:kern w:val="21"/>
                <w:szCs w:val="21"/>
              </w:rPr>
              <w:t>/</w:t>
            </w:r>
          </w:p>
        </w:tc>
        <w:tc>
          <w:tcPr>
            <w:tcW w:w="1470" w:type="dxa"/>
            <w:shd w:val="clear" w:color="auto" w:fill="auto"/>
            <w:vAlign w:val="center"/>
          </w:tcPr>
          <w:p w14:paraId="18B41116">
            <w:pPr>
              <w:jc w:val="center"/>
              <w:rPr>
                <w:rFonts w:hint="eastAsia" w:ascii="Times New Roman" w:hAnsi="Times New Roman" w:eastAsia="宋体" w:cs="Times New Roman"/>
                <w:color w:val="auto"/>
                <w:kern w:val="2"/>
                <w:sz w:val="21"/>
                <w:szCs w:val="24"/>
                <w:highlight w:val="none"/>
                <w:lang w:val="en-US" w:eastAsia="zh-CN" w:bidi="ar-SA"/>
              </w:rPr>
            </w:pPr>
            <w:r>
              <w:rPr>
                <w:rFonts w:hint="eastAsia" w:cs="Times New Roman"/>
                <w:color w:val="auto"/>
                <w:sz w:val="21"/>
                <w:szCs w:val="21"/>
                <w:lang w:val="en-US" w:eastAsia="zh-CN"/>
              </w:rPr>
              <w:t>1</w:t>
            </w:r>
            <w:r>
              <w:rPr>
                <w:rFonts w:hint="eastAsia" w:ascii="Times New Roman" w:hAnsi="Times New Roman" w:cs="Times New Roman"/>
                <w:color w:val="auto"/>
                <w:kern w:val="2"/>
                <w:sz w:val="21"/>
                <w:szCs w:val="21"/>
                <w:lang w:val="en-US" w:eastAsia="zh-CN" w:bidi="ar-SA"/>
              </w:rPr>
              <w:t>t/a</w:t>
            </w:r>
          </w:p>
        </w:tc>
        <w:tc>
          <w:tcPr>
            <w:tcW w:w="1568" w:type="dxa"/>
            <w:shd w:val="clear" w:color="auto" w:fill="auto"/>
            <w:vAlign w:val="center"/>
          </w:tcPr>
          <w:p w14:paraId="244D6776">
            <w:pPr>
              <w:jc w:val="center"/>
              <w:rPr>
                <w:rFonts w:hint="eastAsia" w:ascii="Times New Roman" w:hAnsi="Times New Roman" w:eastAsia="宋体" w:cs="Times New Roman"/>
                <w:color w:val="auto"/>
                <w:kern w:val="2"/>
                <w:sz w:val="21"/>
                <w:szCs w:val="21"/>
                <w:lang w:val="en-US" w:eastAsia="zh-CN" w:bidi="ar-SA"/>
              </w:rPr>
            </w:pPr>
            <w:r>
              <w:rPr>
                <w:snapToGrid w:val="0"/>
                <w:color w:val="auto"/>
                <w:kern w:val="21"/>
                <w:szCs w:val="21"/>
              </w:rPr>
              <w:t>/</w:t>
            </w:r>
          </w:p>
        </w:tc>
        <w:tc>
          <w:tcPr>
            <w:tcW w:w="1547" w:type="dxa"/>
            <w:shd w:val="clear" w:color="auto" w:fill="auto"/>
            <w:vAlign w:val="center"/>
          </w:tcPr>
          <w:p w14:paraId="1A31F83F">
            <w:pPr>
              <w:jc w:val="center"/>
              <w:rPr>
                <w:rFonts w:hint="eastAsia" w:ascii="Times New Roman" w:hAnsi="Times New Roman" w:eastAsia="宋体" w:cs="Times New Roman"/>
                <w:color w:val="auto"/>
                <w:kern w:val="2"/>
                <w:sz w:val="21"/>
                <w:szCs w:val="24"/>
                <w:highlight w:val="none"/>
                <w:lang w:val="en-US" w:eastAsia="zh-CN" w:bidi="ar-SA"/>
              </w:rPr>
            </w:pPr>
            <w:r>
              <w:rPr>
                <w:rFonts w:hint="eastAsia" w:cs="Times New Roman"/>
                <w:color w:val="auto"/>
                <w:sz w:val="21"/>
                <w:szCs w:val="21"/>
                <w:lang w:val="en-US" w:eastAsia="zh-CN"/>
              </w:rPr>
              <w:t>1</w:t>
            </w:r>
            <w:r>
              <w:rPr>
                <w:rFonts w:hint="eastAsia" w:ascii="Times New Roman" w:hAnsi="Times New Roman" w:cs="Times New Roman"/>
                <w:color w:val="auto"/>
                <w:kern w:val="2"/>
                <w:sz w:val="21"/>
                <w:szCs w:val="21"/>
                <w:lang w:val="en-US" w:eastAsia="zh-CN" w:bidi="ar-SA"/>
              </w:rPr>
              <w:t>t/a</w:t>
            </w:r>
          </w:p>
        </w:tc>
        <w:tc>
          <w:tcPr>
            <w:tcW w:w="1290" w:type="dxa"/>
            <w:shd w:val="clear" w:color="auto" w:fill="auto"/>
            <w:vAlign w:val="center"/>
          </w:tcPr>
          <w:p w14:paraId="7A1F51AA">
            <w:pPr>
              <w:jc w:val="center"/>
              <w:rPr>
                <w:rFonts w:hint="eastAsia" w:ascii="Times New Roman" w:hAnsi="Times New Roman" w:eastAsia="宋体" w:cs="Times New Roman"/>
                <w:color w:val="auto"/>
                <w:kern w:val="2"/>
                <w:sz w:val="21"/>
                <w:szCs w:val="24"/>
                <w:highlight w:val="none"/>
                <w:lang w:val="en-US" w:eastAsia="zh-CN" w:bidi="ar-SA"/>
              </w:rPr>
            </w:pPr>
            <w:r>
              <w:rPr>
                <w:rFonts w:hint="eastAsia" w:cs="Times New Roman"/>
                <w:color w:val="auto"/>
                <w:sz w:val="21"/>
                <w:szCs w:val="21"/>
                <w:lang w:val="en-US" w:eastAsia="zh-CN"/>
              </w:rPr>
              <w:t>+1</w:t>
            </w:r>
            <w:r>
              <w:rPr>
                <w:rFonts w:hint="eastAsia" w:ascii="Times New Roman" w:hAnsi="Times New Roman" w:cs="Times New Roman"/>
                <w:color w:val="auto"/>
                <w:kern w:val="2"/>
                <w:sz w:val="21"/>
                <w:szCs w:val="21"/>
                <w:lang w:val="en-US" w:eastAsia="zh-CN" w:bidi="ar-SA"/>
              </w:rPr>
              <w:t>t/a</w:t>
            </w:r>
          </w:p>
        </w:tc>
      </w:tr>
      <w:tr w14:paraId="5AE8CE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92" w:type="dxa"/>
            <w:vMerge w:val="continue"/>
            <w:vAlign w:val="center"/>
          </w:tcPr>
          <w:p w14:paraId="1A870F2A">
            <w:pPr>
              <w:pStyle w:val="58"/>
              <w:spacing w:beforeLines="0" w:afterLines="0" w:line="240" w:lineRule="auto"/>
              <w:rPr>
                <w:rFonts w:ascii="Times New Roman"/>
                <w:snapToGrid w:val="0"/>
                <w:color w:val="auto"/>
                <w:kern w:val="21"/>
                <w:szCs w:val="21"/>
              </w:rPr>
            </w:pPr>
          </w:p>
        </w:tc>
        <w:tc>
          <w:tcPr>
            <w:tcW w:w="1922" w:type="dxa"/>
            <w:shd w:val="clear" w:color="auto" w:fill="auto"/>
            <w:vAlign w:val="center"/>
          </w:tcPr>
          <w:p w14:paraId="044C2D65">
            <w:pPr>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eastAsia="zh-CN"/>
              </w:rPr>
              <w:t>除尘设施收集粉尘</w:t>
            </w:r>
          </w:p>
        </w:tc>
        <w:tc>
          <w:tcPr>
            <w:tcW w:w="1452" w:type="dxa"/>
            <w:shd w:val="clear" w:color="auto" w:fill="auto"/>
            <w:vAlign w:val="center"/>
          </w:tcPr>
          <w:p w14:paraId="18B39536">
            <w:pPr>
              <w:jc w:val="center"/>
              <w:rPr>
                <w:snapToGrid w:val="0"/>
                <w:color w:val="auto"/>
                <w:kern w:val="21"/>
                <w:szCs w:val="21"/>
              </w:rPr>
            </w:pPr>
            <w:r>
              <w:rPr>
                <w:snapToGrid w:val="0"/>
                <w:color w:val="auto"/>
                <w:kern w:val="21"/>
                <w:szCs w:val="21"/>
              </w:rPr>
              <w:t>/</w:t>
            </w:r>
          </w:p>
        </w:tc>
        <w:tc>
          <w:tcPr>
            <w:tcW w:w="1023" w:type="dxa"/>
            <w:vAlign w:val="center"/>
          </w:tcPr>
          <w:p w14:paraId="226CE01C">
            <w:pPr>
              <w:jc w:val="center"/>
              <w:rPr>
                <w:snapToGrid w:val="0"/>
                <w:color w:val="auto"/>
                <w:kern w:val="21"/>
                <w:szCs w:val="21"/>
              </w:rPr>
            </w:pPr>
            <w:r>
              <w:rPr>
                <w:snapToGrid w:val="0"/>
                <w:color w:val="auto"/>
                <w:kern w:val="21"/>
                <w:szCs w:val="21"/>
              </w:rPr>
              <w:t>/</w:t>
            </w:r>
          </w:p>
        </w:tc>
        <w:tc>
          <w:tcPr>
            <w:tcW w:w="1472" w:type="dxa"/>
            <w:vAlign w:val="center"/>
          </w:tcPr>
          <w:p w14:paraId="5EF4502F">
            <w:pPr>
              <w:jc w:val="center"/>
              <w:rPr>
                <w:snapToGrid w:val="0"/>
                <w:color w:val="auto"/>
                <w:kern w:val="21"/>
                <w:szCs w:val="21"/>
              </w:rPr>
            </w:pPr>
            <w:r>
              <w:rPr>
                <w:snapToGrid w:val="0"/>
                <w:color w:val="auto"/>
                <w:kern w:val="21"/>
                <w:szCs w:val="21"/>
              </w:rPr>
              <w:t>/</w:t>
            </w:r>
          </w:p>
        </w:tc>
        <w:tc>
          <w:tcPr>
            <w:tcW w:w="1470" w:type="dxa"/>
            <w:shd w:val="clear" w:color="auto" w:fill="auto"/>
            <w:vAlign w:val="center"/>
          </w:tcPr>
          <w:p w14:paraId="697E6710">
            <w:pPr>
              <w:jc w:val="center"/>
              <w:rPr>
                <w:rFonts w:hint="eastAsia"/>
                <w:color w:val="auto"/>
                <w:highlight w:val="none"/>
                <w:lang w:val="en-US" w:eastAsia="zh-CN"/>
              </w:rPr>
            </w:pPr>
            <w:r>
              <w:rPr>
                <w:rFonts w:hint="eastAsia" w:cs="Times New Roman"/>
                <w:color w:val="auto"/>
                <w:sz w:val="21"/>
                <w:szCs w:val="21"/>
                <w:lang w:val="en-US" w:eastAsia="zh-CN"/>
              </w:rPr>
              <w:t>16</w:t>
            </w:r>
            <w:r>
              <w:rPr>
                <w:rFonts w:hint="eastAsia" w:ascii="Times New Roman" w:hAnsi="Times New Roman" w:cs="Times New Roman"/>
                <w:color w:val="auto"/>
                <w:kern w:val="2"/>
                <w:sz w:val="21"/>
                <w:szCs w:val="21"/>
                <w:lang w:val="en-US" w:eastAsia="zh-CN" w:bidi="ar-SA"/>
              </w:rPr>
              <w:t>t/a</w:t>
            </w:r>
          </w:p>
        </w:tc>
        <w:tc>
          <w:tcPr>
            <w:tcW w:w="1568" w:type="dxa"/>
            <w:shd w:val="clear" w:color="auto" w:fill="auto"/>
            <w:vAlign w:val="center"/>
          </w:tcPr>
          <w:p w14:paraId="0FF3C990">
            <w:pPr>
              <w:jc w:val="center"/>
              <w:rPr>
                <w:rFonts w:hint="eastAsia" w:ascii="Times New Roman" w:hAnsi="Times New Roman"/>
                <w:color w:val="auto"/>
                <w:szCs w:val="21"/>
                <w:lang w:eastAsia="zh-CN"/>
              </w:rPr>
            </w:pPr>
            <w:r>
              <w:rPr>
                <w:snapToGrid w:val="0"/>
                <w:color w:val="auto"/>
                <w:kern w:val="21"/>
                <w:szCs w:val="21"/>
              </w:rPr>
              <w:t>/</w:t>
            </w:r>
          </w:p>
        </w:tc>
        <w:tc>
          <w:tcPr>
            <w:tcW w:w="1547" w:type="dxa"/>
            <w:shd w:val="clear" w:color="auto" w:fill="auto"/>
            <w:vAlign w:val="center"/>
          </w:tcPr>
          <w:p w14:paraId="5CE8AF0E">
            <w:pPr>
              <w:jc w:val="center"/>
              <w:rPr>
                <w:rFonts w:hint="eastAsia"/>
                <w:color w:val="auto"/>
                <w:highlight w:val="none"/>
                <w:lang w:val="en-US" w:eastAsia="zh-CN"/>
              </w:rPr>
            </w:pPr>
            <w:r>
              <w:rPr>
                <w:rFonts w:hint="eastAsia" w:cs="Times New Roman"/>
                <w:color w:val="auto"/>
                <w:sz w:val="21"/>
                <w:szCs w:val="21"/>
                <w:lang w:val="en-US" w:eastAsia="zh-CN"/>
              </w:rPr>
              <w:t>16</w:t>
            </w:r>
            <w:r>
              <w:rPr>
                <w:rFonts w:hint="eastAsia" w:ascii="Times New Roman" w:hAnsi="Times New Roman" w:cs="Times New Roman"/>
                <w:color w:val="auto"/>
                <w:kern w:val="2"/>
                <w:sz w:val="21"/>
                <w:szCs w:val="21"/>
                <w:lang w:val="en-US" w:eastAsia="zh-CN" w:bidi="ar-SA"/>
              </w:rPr>
              <w:t>t/a</w:t>
            </w:r>
          </w:p>
        </w:tc>
        <w:tc>
          <w:tcPr>
            <w:tcW w:w="1290" w:type="dxa"/>
            <w:shd w:val="clear" w:color="auto" w:fill="auto"/>
            <w:vAlign w:val="center"/>
          </w:tcPr>
          <w:p w14:paraId="523DEBF7">
            <w:pPr>
              <w:jc w:val="center"/>
              <w:rPr>
                <w:rFonts w:hint="eastAsia"/>
                <w:color w:val="auto"/>
                <w:highlight w:val="none"/>
                <w:lang w:val="en-US" w:eastAsia="zh-CN"/>
              </w:rPr>
            </w:pPr>
            <w:r>
              <w:rPr>
                <w:rFonts w:hint="eastAsia" w:cs="Times New Roman"/>
                <w:color w:val="auto"/>
                <w:sz w:val="21"/>
                <w:szCs w:val="21"/>
                <w:lang w:val="en-US" w:eastAsia="zh-CN"/>
              </w:rPr>
              <w:t>+16</w:t>
            </w:r>
            <w:r>
              <w:rPr>
                <w:rFonts w:hint="eastAsia" w:ascii="Times New Roman" w:hAnsi="Times New Roman" w:cs="Times New Roman"/>
                <w:color w:val="auto"/>
                <w:kern w:val="2"/>
                <w:sz w:val="21"/>
                <w:szCs w:val="21"/>
                <w:lang w:val="en-US" w:eastAsia="zh-CN" w:bidi="ar-SA"/>
              </w:rPr>
              <w:t>t/a</w:t>
            </w:r>
          </w:p>
        </w:tc>
      </w:tr>
      <w:tr w14:paraId="5831CB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92" w:type="dxa"/>
            <w:vMerge w:val="restart"/>
            <w:vAlign w:val="center"/>
          </w:tcPr>
          <w:p w14:paraId="2A4E1025">
            <w:pPr>
              <w:pStyle w:val="58"/>
              <w:spacing w:beforeLines="0" w:afterLines="0" w:line="240" w:lineRule="auto"/>
              <w:rPr>
                <w:rFonts w:hint="default" w:ascii="Times New Roman" w:eastAsia="宋体"/>
                <w:snapToGrid w:val="0"/>
                <w:color w:val="auto"/>
                <w:kern w:val="21"/>
                <w:szCs w:val="21"/>
                <w:lang w:val="en-US" w:eastAsia="zh-CN"/>
              </w:rPr>
            </w:pPr>
            <w:r>
              <w:rPr>
                <w:rFonts w:hint="eastAsia" w:ascii="Times New Roman"/>
                <w:snapToGrid w:val="0"/>
                <w:color w:val="auto"/>
                <w:kern w:val="21"/>
                <w:szCs w:val="21"/>
                <w:lang w:val="en-US" w:eastAsia="zh-CN"/>
              </w:rPr>
              <w:t>危险废物</w:t>
            </w:r>
          </w:p>
        </w:tc>
        <w:tc>
          <w:tcPr>
            <w:tcW w:w="1922" w:type="dxa"/>
            <w:shd w:val="clear" w:color="auto" w:fill="auto"/>
            <w:vAlign w:val="center"/>
          </w:tcPr>
          <w:p w14:paraId="0836DE4C">
            <w:pPr>
              <w:jc w:val="center"/>
              <w:rPr>
                <w:rFonts w:hint="eastAsia" w:cs="Times New Roman"/>
                <w:color w:val="auto"/>
                <w:sz w:val="21"/>
                <w:szCs w:val="21"/>
                <w:lang w:eastAsia="zh-CN"/>
              </w:rPr>
            </w:pPr>
            <w:r>
              <w:rPr>
                <w:rFonts w:hint="eastAsia" w:cs="Times New Roman"/>
                <w:color w:val="auto"/>
                <w:sz w:val="21"/>
                <w:szCs w:val="21"/>
                <w:lang w:eastAsia="zh-CN"/>
              </w:rPr>
              <w:t>泥饼</w:t>
            </w:r>
          </w:p>
        </w:tc>
        <w:tc>
          <w:tcPr>
            <w:tcW w:w="1452" w:type="dxa"/>
            <w:shd w:val="clear" w:color="auto" w:fill="auto"/>
            <w:vAlign w:val="center"/>
          </w:tcPr>
          <w:p w14:paraId="5BC7D412">
            <w:pPr>
              <w:jc w:val="center"/>
              <w:rPr>
                <w:snapToGrid w:val="0"/>
                <w:color w:val="auto"/>
                <w:kern w:val="21"/>
                <w:szCs w:val="21"/>
              </w:rPr>
            </w:pPr>
            <w:r>
              <w:rPr>
                <w:snapToGrid w:val="0"/>
                <w:color w:val="auto"/>
                <w:kern w:val="21"/>
                <w:szCs w:val="21"/>
              </w:rPr>
              <w:t>/</w:t>
            </w:r>
          </w:p>
        </w:tc>
        <w:tc>
          <w:tcPr>
            <w:tcW w:w="1023" w:type="dxa"/>
            <w:vAlign w:val="center"/>
          </w:tcPr>
          <w:p w14:paraId="60B5BF70">
            <w:pPr>
              <w:jc w:val="center"/>
              <w:rPr>
                <w:snapToGrid w:val="0"/>
                <w:color w:val="auto"/>
                <w:kern w:val="21"/>
                <w:szCs w:val="21"/>
              </w:rPr>
            </w:pPr>
            <w:r>
              <w:rPr>
                <w:snapToGrid w:val="0"/>
                <w:color w:val="auto"/>
                <w:kern w:val="21"/>
                <w:szCs w:val="21"/>
              </w:rPr>
              <w:t>/</w:t>
            </w:r>
          </w:p>
        </w:tc>
        <w:tc>
          <w:tcPr>
            <w:tcW w:w="1472" w:type="dxa"/>
            <w:vAlign w:val="center"/>
          </w:tcPr>
          <w:p w14:paraId="5C710661">
            <w:pPr>
              <w:jc w:val="center"/>
              <w:rPr>
                <w:snapToGrid w:val="0"/>
                <w:color w:val="auto"/>
                <w:kern w:val="21"/>
                <w:szCs w:val="21"/>
              </w:rPr>
            </w:pPr>
            <w:r>
              <w:rPr>
                <w:snapToGrid w:val="0"/>
                <w:color w:val="auto"/>
                <w:kern w:val="21"/>
                <w:szCs w:val="21"/>
              </w:rPr>
              <w:t>/</w:t>
            </w:r>
          </w:p>
        </w:tc>
        <w:tc>
          <w:tcPr>
            <w:tcW w:w="1470" w:type="dxa"/>
            <w:shd w:val="clear" w:color="auto" w:fill="auto"/>
            <w:vAlign w:val="center"/>
          </w:tcPr>
          <w:p w14:paraId="21991512">
            <w:pPr>
              <w:jc w:val="center"/>
              <w:rPr>
                <w:rFonts w:hint="eastAsia" w:cs="Times New Roman"/>
                <w:color w:val="auto"/>
                <w:sz w:val="21"/>
                <w:szCs w:val="21"/>
                <w:lang w:val="en-US" w:eastAsia="zh-CN"/>
              </w:rPr>
            </w:pPr>
            <w:r>
              <w:rPr>
                <w:rFonts w:hint="eastAsia" w:cs="Times New Roman"/>
                <w:color w:val="auto"/>
                <w:sz w:val="21"/>
                <w:szCs w:val="21"/>
                <w:lang w:val="en-US" w:eastAsia="zh-CN"/>
              </w:rPr>
              <w:t>15</w:t>
            </w:r>
            <w:r>
              <w:rPr>
                <w:rFonts w:hint="eastAsia" w:ascii="Times New Roman" w:hAnsi="Times New Roman" w:cs="Times New Roman"/>
                <w:color w:val="auto"/>
                <w:kern w:val="2"/>
                <w:sz w:val="21"/>
                <w:szCs w:val="21"/>
                <w:lang w:val="en-US" w:eastAsia="zh-CN" w:bidi="ar-SA"/>
              </w:rPr>
              <w:t>t/a</w:t>
            </w:r>
          </w:p>
        </w:tc>
        <w:tc>
          <w:tcPr>
            <w:tcW w:w="1568" w:type="dxa"/>
            <w:shd w:val="clear" w:color="auto" w:fill="auto"/>
            <w:vAlign w:val="center"/>
          </w:tcPr>
          <w:p w14:paraId="358DBB02">
            <w:pPr>
              <w:pStyle w:val="9"/>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olor w:val="auto"/>
                <w:szCs w:val="21"/>
                <w:lang w:val="en-US" w:eastAsia="zh-CN"/>
              </w:rPr>
              <w:t>/</w:t>
            </w:r>
          </w:p>
        </w:tc>
        <w:tc>
          <w:tcPr>
            <w:tcW w:w="1547" w:type="dxa"/>
            <w:shd w:val="clear" w:color="auto" w:fill="auto"/>
            <w:vAlign w:val="center"/>
          </w:tcPr>
          <w:p w14:paraId="2E516D5C">
            <w:pPr>
              <w:jc w:val="center"/>
              <w:rPr>
                <w:rFonts w:hint="eastAsia" w:cs="Times New Roman"/>
                <w:color w:val="auto"/>
                <w:sz w:val="21"/>
                <w:szCs w:val="21"/>
                <w:lang w:val="en-US" w:eastAsia="zh-CN"/>
              </w:rPr>
            </w:pPr>
            <w:r>
              <w:rPr>
                <w:rFonts w:hint="eastAsia" w:cs="Times New Roman"/>
                <w:color w:val="auto"/>
                <w:sz w:val="21"/>
                <w:szCs w:val="21"/>
                <w:lang w:val="en-US" w:eastAsia="zh-CN"/>
              </w:rPr>
              <w:t>15</w:t>
            </w:r>
            <w:r>
              <w:rPr>
                <w:rFonts w:hint="eastAsia" w:ascii="Times New Roman" w:hAnsi="Times New Roman" w:cs="Times New Roman"/>
                <w:color w:val="auto"/>
                <w:kern w:val="2"/>
                <w:sz w:val="21"/>
                <w:szCs w:val="21"/>
                <w:lang w:val="en-US" w:eastAsia="zh-CN" w:bidi="ar-SA"/>
              </w:rPr>
              <w:t>t/a</w:t>
            </w:r>
          </w:p>
        </w:tc>
        <w:tc>
          <w:tcPr>
            <w:tcW w:w="1290" w:type="dxa"/>
            <w:shd w:val="clear" w:color="auto" w:fill="auto"/>
            <w:vAlign w:val="center"/>
          </w:tcPr>
          <w:p w14:paraId="70BA8A75">
            <w:pPr>
              <w:jc w:val="center"/>
              <w:rPr>
                <w:rFonts w:hint="eastAsia" w:cs="Times New Roman"/>
                <w:color w:val="auto"/>
                <w:sz w:val="21"/>
                <w:szCs w:val="21"/>
                <w:lang w:val="en-US" w:eastAsia="zh-CN"/>
              </w:rPr>
            </w:pPr>
            <w:r>
              <w:rPr>
                <w:rFonts w:hint="eastAsia" w:cs="Times New Roman"/>
                <w:color w:val="auto"/>
                <w:sz w:val="21"/>
                <w:szCs w:val="21"/>
                <w:lang w:val="en-US" w:eastAsia="zh-CN"/>
              </w:rPr>
              <w:t>+15</w:t>
            </w:r>
            <w:r>
              <w:rPr>
                <w:rFonts w:hint="eastAsia" w:ascii="Times New Roman" w:hAnsi="Times New Roman" w:cs="Times New Roman"/>
                <w:color w:val="auto"/>
                <w:kern w:val="2"/>
                <w:sz w:val="21"/>
                <w:szCs w:val="21"/>
                <w:lang w:val="en-US" w:eastAsia="zh-CN" w:bidi="ar-SA"/>
              </w:rPr>
              <w:t>t/a</w:t>
            </w:r>
          </w:p>
        </w:tc>
      </w:tr>
      <w:tr w14:paraId="33DC04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92" w:type="dxa"/>
            <w:vMerge w:val="continue"/>
            <w:vAlign w:val="center"/>
          </w:tcPr>
          <w:p w14:paraId="79720877">
            <w:pPr>
              <w:pStyle w:val="58"/>
              <w:spacing w:beforeLines="0" w:afterLines="0" w:line="240" w:lineRule="auto"/>
              <w:rPr>
                <w:rFonts w:ascii="Times New Roman"/>
                <w:snapToGrid w:val="0"/>
                <w:color w:val="auto"/>
                <w:kern w:val="21"/>
                <w:szCs w:val="21"/>
              </w:rPr>
            </w:pPr>
          </w:p>
        </w:tc>
        <w:tc>
          <w:tcPr>
            <w:tcW w:w="1922" w:type="dxa"/>
            <w:shd w:val="clear" w:color="auto" w:fill="auto"/>
            <w:vAlign w:val="center"/>
          </w:tcPr>
          <w:p w14:paraId="58966409">
            <w:pPr>
              <w:jc w:val="center"/>
              <w:rPr>
                <w:rFonts w:hint="eastAsia" w:cs="Times New Roman"/>
                <w:color w:val="auto"/>
                <w:sz w:val="21"/>
                <w:szCs w:val="21"/>
                <w:lang w:eastAsia="zh-CN"/>
              </w:rPr>
            </w:pPr>
            <w:r>
              <w:rPr>
                <w:rFonts w:hint="eastAsia" w:cs="Times New Roman"/>
                <w:color w:val="auto"/>
                <w:kern w:val="2"/>
                <w:sz w:val="21"/>
                <w:szCs w:val="21"/>
                <w:lang w:val="en-US" w:eastAsia="zh-CN" w:bidi="ar-SA"/>
              </w:rPr>
              <w:t>废活性炭</w:t>
            </w:r>
          </w:p>
        </w:tc>
        <w:tc>
          <w:tcPr>
            <w:tcW w:w="1452" w:type="dxa"/>
            <w:shd w:val="clear" w:color="auto" w:fill="auto"/>
            <w:vAlign w:val="center"/>
          </w:tcPr>
          <w:p w14:paraId="42536F88">
            <w:pPr>
              <w:jc w:val="center"/>
              <w:rPr>
                <w:snapToGrid w:val="0"/>
                <w:color w:val="auto"/>
                <w:kern w:val="21"/>
                <w:szCs w:val="21"/>
              </w:rPr>
            </w:pPr>
            <w:r>
              <w:rPr>
                <w:snapToGrid w:val="0"/>
                <w:color w:val="auto"/>
                <w:kern w:val="21"/>
                <w:szCs w:val="21"/>
              </w:rPr>
              <w:t>/</w:t>
            </w:r>
          </w:p>
        </w:tc>
        <w:tc>
          <w:tcPr>
            <w:tcW w:w="1023" w:type="dxa"/>
            <w:vAlign w:val="center"/>
          </w:tcPr>
          <w:p w14:paraId="0C1A6314">
            <w:pPr>
              <w:jc w:val="center"/>
              <w:rPr>
                <w:snapToGrid w:val="0"/>
                <w:color w:val="auto"/>
                <w:kern w:val="21"/>
                <w:szCs w:val="21"/>
              </w:rPr>
            </w:pPr>
            <w:r>
              <w:rPr>
                <w:snapToGrid w:val="0"/>
                <w:color w:val="auto"/>
                <w:kern w:val="21"/>
                <w:szCs w:val="21"/>
              </w:rPr>
              <w:t>/</w:t>
            </w:r>
          </w:p>
        </w:tc>
        <w:tc>
          <w:tcPr>
            <w:tcW w:w="1472" w:type="dxa"/>
            <w:vAlign w:val="center"/>
          </w:tcPr>
          <w:p w14:paraId="6AD97980">
            <w:pPr>
              <w:jc w:val="center"/>
              <w:rPr>
                <w:snapToGrid w:val="0"/>
                <w:color w:val="auto"/>
                <w:kern w:val="21"/>
                <w:szCs w:val="21"/>
              </w:rPr>
            </w:pPr>
            <w:r>
              <w:rPr>
                <w:snapToGrid w:val="0"/>
                <w:color w:val="auto"/>
                <w:kern w:val="21"/>
                <w:szCs w:val="21"/>
              </w:rPr>
              <w:t>/</w:t>
            </w:r>
          </w:p>
        </w:tc>
        <w:tc>
          <w:tcPr>
            <w:tcW w:w="1470" w:type="dxa"/>
            <w:shd w:val="clear" w:color="auto" w:fill="auto"/>
            <w:vAlign w:val="center"/>
          </w:tcPr>
          <w:p w14:paraId="471F3E89">
            <w:pPr>
              <w:jc w:val="center"/>
              <w:rPr>
                <w:rFonts w:hint="default" w:cs="Times New Roman"/>
                <w:color w:val="auto"/>
                <w:sz w:val="21"/>
                <w:szCs w:val="21"/>
                <w:lang w:val="en-US" w:eastAsia="zh-CN"/>
              </w:rPr>
            </w:pPr>
            <w:r>
              <w:rPr>
                <w:rFonts w:hint="eastAsia" w:cs="Times New Roman"/>
                <w:color w:val="auto"/>
                <w:sz w:val="21"/>
                <w:szCs w:val="21"/>
                <w:lang w:val="en-US" w:eastAsia="zh-CN"/>
              </w:rPr>
              <w:t>4</w:t>
            </w:r>
            <w:r>
              <w:rPr>
                <w:rFonts w:hint="eastAsia" w:ascii="Times New Roman" w:hAnsi="Times New Roman" w:cs="Times New Roman"/>
                <w:color w:val="auto"/>
                <w:kern w:val="2"/>
                <w:sz w:val="21"/>
                <w:szCs w:val="21"/>
                <w:lang w:val="en-US" w:eastAsia="zh-CN" w:bidi="ar-SA"/>
              </w:rPr>
              <w:t>t/a</w:t>
            </w:r>
          </w:p>
        </w:tc>
        <w:tc>
          <w:tcPr>
            <w:tcW w:w="1568" w:type="dxa"/>
            <w:shd w:val="clear" w:color="auto" w:fill="auto"/>
            <w:vAlign w:val="center"/>
          </w:tcPr>
          <w:p w14:paraId="55DE0634">
            <w:pPr>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olor w:val="auto"/>
                <w:szCs w:val="21"/>
                <w:lang w:val="en-US" w:eastAsia="zh-CN"/>
              </w:rPr>
              <w:t>/</w:t>
            </w:r>
          </w:p>
        </w:tc>
        <w:tc>
          <w:tcPr>
            <w:tcW w:w="1547" w:type="dxa"/>
            <w:shd w:val="clear" w:color="auto" w:fill="auto"/>
            <w:vAlign w:val="center"/>
          </w:tcPr>
          <w:p w14:paraId="5CE164AB">
            <w:pPr>
              <w:jc w:val="center"/>
              <w:rPr>
                <w:rFonts w:hint="eastAsia" w:cs="Times New Roman"/>
                <w:color w:val="auto"/>
                <w:sz w:val="21"/>
                <w:szCs w:val="21"/>
                <w:lang w:val="en-US" w:eastAsia="zh-CN"/>
              </w:rPr>
            </w:pPr>
            <w:r>
              <w:rPr>
                <w:rFonts w:hint="eastAsia" w:cs="Times New Roman"/>
                <w:color w:val="auto"/>
                <w:sz w:val="21"/>
                <w:szCs w:val="21"/>
                <w:lang w:val="en-US" w:eastAsia="zh-CN"/>
              </w:rPr>
              <w:t>4</w:t>
            </w:r>
            <w:r>
              <w:rPr>
                <w:rFonts w:hint="eastAsia" w:ascii="Times New Roman" w:hAnsi="Times New Roman" w:cs="Times New Roman"/>
                <w:color w:val="auto"/>
                <w:kern w:val="2"/>
                <w:sz w:val="21"/>
                <w:szCs w:val="21"/>
                <w:lang w:val="en-US" w:eastAsia="zh-CN" w:bidi="ar-SA"/>
              </w:rPr>
              <w:t>t/a</w:t>
            </w:r>
          </w:p>
        </w:tc>
        <w:tc>
          <w:tcPr>
            <w:tcW w:w="1290" w:type="dxa"/>
            <w:shd w:val="clear" w:color="auto" w:fill="auto"/>
            <w:vAlign w:val="center"/>
          </w:tcPr>
          <w:p w14:paraId="5C646B09">
            <w:pPr>
              <w:jc w:val="center"/>
              <w:rPr>
                <w:rFonts w:hint="eastAsia" w:cs="Times New Roman"/>
                <w:color w:val="auto"/>
                <w:sz w:val="21"/>
                <w:szCs w:val="21"/>
                <w:lang w:val="en-US" w:eastAsia="zh-CN"/>
              </w:rPr>
            </w:pPr>
            <w:r>
              <w:rPr>
                <w:rFonts w:hint="eastAsia" w:cs="Times New Roman"/>
                <w:color w:val="auto"/>
                <w:sz w:val="21"/>
                <w:szCs w:val="21"/>
                <w:lang w:val="en-US" w:eastAsia="zh-CN"/>
              </w:rPr>
              <w:t>+4</w:t>
            </w:r>
            <w:r>
              <w:rPr>
                <w:rFonts w:hint="eastAsia" w:ascii="Times New Roman" w:hAnsi="Times New Roman" w:cs="Times New Roman"/>
                <w:color w:val="auto"/>
                <w:kern w:val="2"/>
                <w:sz w:val="21"/>
                <w:szCs w:val="21"/>
                <w:lang w:val="en-US" w:eastAsia="zh-CN" w:bidi="ar-SA"/>
              </w:rPr>
              <w:t>t/a</w:t>
            </w:r>
          </w:p>
        </w:tc>
      </w:tr>
      <w:tr w14:paraId="2A598E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92" w:type="dxa"/>
            <w:vMerge w:val="continue"/>
            <w:vAlign w:val="center"/>
          </w:tcPr>
          <w:p w14:paraId="134F61E4">
            <w:pPr>
              <w:pStyle w:val="58"/>
              <w:spacing w:beforeLines="0" w:afterLines="0" w:line="240" w:lineRule="auto"/>
              <w:rPr>
                <w:rFonts w:ascii="Times New Roman"/>
                <w:snapToGrid w:val="0"/>
                <w:color w:val="auto"/>
                <w:kern w:val="21"/>
                <w:szCs w:val="21"/>
              </w:rPr>
            </w:pPr>
          </w:p>
        </w:tc>
        <w:tc>
          <w:tcPr>
            <w:tcW w:w="1922" w:type="dxa"/>
            <w:shd w:val="clear" w:color="auto" w:fill="auto"/>
            <w:vAlign w:val="center"/>
          </w:tcPr>
          <w:p w14:paraId="6F660500">
            <w:pPr>
              <w:jc w:val="center"/>
              <w:rPr>
                <w:rFonts w:hint="eastAsia" w:ascii="Times New Roman" w:hAnsi="Times New Roman"/>
                <w:color w:val="auto"/>
                <w:sz w:val="21"/>
                <w:szCs w:val="21"/>
              </w:rPr>
            </w:pPr>
            <w:r>
              <w:rPr>
                <w:rFonts w:hint="eastAsia" w:cs="Times New Roman"/>
                <w:color w:val="auto"/>
                <w:sz w:val="21"/>
                <w:szCs w:val="21"/>
                <w:lang w:eastAsia="zh-CN"/>
              </w:rPr>
              <w:t>脱脂清洗废液</w:t>
            </w:r>
          </w:p>
        </w:tc>
        <w:tc>
          <w:tcPr>
            <w:tcW w:w="1452" w:type="dxa"/>
            <w:shd w:val="clear" w:color="auto" w:fill="auto"/>
            <w:vAlign w:val="center"/>
          </w:tcPr>
          <w:p w14:paraId="74133DB1">
            <w:pPr>
              <w:jc w:val="center"/>
              <w:rPr>
                <w:rFonts w:hint="default"/>
                <w:color w:val="auto"/>
                <w:lang w:val="en-US" w:eastAsia="zh-CN"/>
              </w:rPr>
            </w:pPr>
            <w:r>
              <w:rPr>
                <w:snapToGrid w:val="0"/>
                <w:color w:val="auto"/>
                <w:kern w:val="21"/>
                <w:szCs w:val="21"/>
              </w:rPr>
              <w:t>/</w:t>
            </w:r>
          </w:p>
        </w:tc>
        <w:tc>
          <w:tcPr>
            <w:tcW w:w="1023" w:type="dxa"/>
            <w:vAlign w:val="center"/>
          </w:tcPr>
          <w:p w14:paraId="2BEF644B">
            <w:pPr>
              <w:jc w:val="center"/>
              <w:rPr>
                <w:rFonts w:hint="eastAsia" w:eastAsia="宋体"/>
                <w:snapToGrid w:val="0"/>
                <w:color w:val="auto"/>
                <w:kern w:val="21"/>
                <w:szCs w:val="21"/>
                <w:lang w:val="en-US" w:eastAsia="zh-CN"/>
              </w:rPr>
            </w:pPr>
            <w:r>
              <w:rPr>
                <w:snapToGrid w:val="0"/>
                <w:color w:val="auto"/>
                <w:kern w:val="21"/>
                <w:szCs w:val="21"/>
              </w:rPr>
              <w:t>/</w:t>
            </w:r>
          </w:p>
        </w:tc>
        <w:tc>
          <w:tcPr>
            <w:tcW w:w="1472" w:type="dxa"/>
            <w:vAlign w:val="center"/>
          </w:tcPr>
          <w:p w14:paraId="696C5F58">
            <w:pPr>
              <w:jc w:val="center"/>
              <w:rPr>
                <w:rFonts w:hint="eastAsia" w:eastAsia="宋体"/>
                <w:snapToGrid w:val="0"/>
                <w:color w:val="auto"/>
                <w:kern w:val="21"/>
                <w:szCs w:val="21"/>
                <w:lang w:val="en-US" w:eastAsia="zh-CN"/>
              </w:rPr>
            </w:pPr>
            <w:r>
              <w:rPr>
                <w:snapToGrid w:val="0"/>
                <w:color w:val="auto"/>
                <w:kern w:val="21"/>
                <w:szCs w:val="21"/>
              </w:rPr>
              <w:t>/</w:t>
            </w:r>
          </w:p>
        </w:tc>
        <w:tc>
          <w:tcPr>
            <w:tcW w:w="1470" w:type="dxa"/>
            <w:shd w:val="clear" w:color="auto" w:fill="auto"/>
            <w:vAlign w:val="center"/>
          </w:tcPr>
          <w:p w14:paraId="2A6A5F5C">
            <w:pPr>
              <w:jc w:val="center"/>
              <w:rPr>
                <w:rFonts w:hint="default"/>
                <w:color w:val="auto"/>
                <w:highlight w:val="none"/>
                <w:lang w:val="en-US" w:eastAsia="zh-CN"/>
              </w:rPr>
            </w:pPr>
            <w:r>
              <w:rPr>
                <w:rFonts w:hint="eastAsia" w:cs="Times New Roman"/>
                <w:color w:val="auto"/>
                <w:sz w:val="21"/>
                <w:szCs w:val="21"/>
                <w:lang w:val="en-US" w:eastAsia="zh-CN"/>
              </w:rPr>
              <w:t>4.8</w:t>
            </w:r>
            <w:r>
              <w:rPr>
                <w:rFonts w:hint="eastAsia" w:ascii="Times New Roman" w:hAnsi="Times New Roman" w:cs="Times New Roman"/>
                <w:color w:val="auto"/>
                <w:kern w:val="2"/>
                <w:sz w:val="21"/>
                <w:szCs w:val="21"/>
                <w:lang w:val="en-US" w:eastAsia="zh-CN" w:bidi="ar-SA"/>
              </w:rPr>
              <w:t>t/a</w:t>
            </w:r>
          </w:p>
        </w:tc>
        <w:tc>
          <w:tcPr>
            <w:tcW w:w="1568" w:type="dxa"/>
            <w:shd w:val="clear" w:color="auto" w:fill="auto"/>
            <w:vAlign w:val="center"/>
          </w:tcPr>
          <w:p w14:paraId="13ED2FD0">
            <w:pPr>
              <w:pStyle w:val="9"/>
              <w:ind w:firstLine="0" w:firstLineChars="0"/>
              <w:jc w:val="center"/>
              <w:rPr>
                <w:rFonts w:hint="default" w:ascii="Times New Roman" w:hAnsi="Times New Roman"/>
                <w:color w:val="auto"/>
                <w:szCs w:val="21"/>
                <w:lang w:val="en-US" w:eastAsia="zh-CN"/>
              </w:rPr>
            </w:pPr>
            <w:r>
              <w:rPr>
                <w:rFonts w:hint="eastAsia" w:ascii="Times New Roman" w:hAnsi="Times New Roman"/>
                <w:color w:val="auto"/>
                <w:szCs w:val="21"/>
                <w:lang w:val="en-US" w:eastAsia="zh-CN"/>
              </w:rPr>
              <w:t>/</w:t>
            </w:r>
          </w:p>
        </w:tc>
        <w:tc>
          <w:tcPr>
            <w:tcW w:w="1547" w:type="dxa"/>
            <w:shd w:val="clear" w:color="auto" w:fill="auto"/>
            <w:vAlign w:val="center"/>
          </w:tcPr>
          <w:p w14:paraId="000C396F">
            <w:pPr>
              <w:jc w:val="center"/>
              <w:rPr>
                <w:rFonts w:hint="default"/>
                <w:color w:val="auto"/>
                <w:highlight w:val="none"/>
                <w:lang w:val="en-US" w:eastAsia="zh-CN"/>
              </w:rPr>
            </w:pPr>
            <w:r>
              <w:rPr>
                <w:rFonts w:hint="eastAsia" w:cs="Times New Roman"/>
                <w:color w:val="auto"/>
                <w:sz w:val="21"/>
                <w:szCs w:val="21"/>
                <w:lang w:val="en-US" w:eastAsia="zh-CN"/>
              </w:rPr>
              <w:t>4.8</w:t>
            </w:r>
            <w:r>
              <w:rPr>
                <w:rFonts w:hint="eastAsia" w:ascii="Times New Roman" w:hAnsi="Times New Roman" w:cs="Times New Roman"/>
                <w:color w:val="auto"/>
                <w:kern w:val="2"/>
                <w:sz w:val="21"/>
                <w:szCs w:val="21"/>
                <w:lang w:val="en-US" w:eastAsia="zh-CN" w:bidi="ar-SA"/>
              </w:rPr>
              <w:t>t/a</w:t>
            </w:r>
          </w:p>
        </w:tc>
        <w:tc>
          <w:tcPr>
            <w:tcW w:w="1290" w:type="dxa"/>
            <w:shd w:val="clear" w:color="auto" w:fill="auto"/>
            <w:vAlign w:val="center"/>
          </w:tcPr>
          <w:p w14:paraId="587C6EA7">
            <w:pPr>
              <w:jc w:val="center"/>
              <w:rPr>
                <w:rFonts w:hint="default"/>
                <w:color w:val="auto"/>
                <w:highlight w:val="none"/>
                <w:lang w:val="en-US" w:eastAsia="zh-CN"/>
              </w:rPr>
            </w:pPr>
            <w:r>
              <w:rPr>
                <w:rFonts w:hint="eastAsia" w:cs="Times New Roman"/>
                <w:color w:val="auto"/>
                <w:sz w:val="21"/>
                <w:szCs w:val="21"/>
                <w:lang w:val="en-US" w:eastAsia="zh-CN"/>
              </w:rPr>
              <w:t>+4.8</w:t>
            </w:r>
            <w:r>
              <w:rPr>
                <w:rFonts w:hint="eastAsia" w:ascii="Times New Roman" w:hAnsi="Times New Roman" w:cs="Times New Roman"/>
                <w:color w:val="auto"/>
                <w:kern w:val="2"/>
                <w:sz w:val="21"/>
                <w:szCs w:val="21"/>
                <w:lang w:val="en-US" w:eastAsia="zh-CN" w:bidi="ar-SA"/>
              </w:rPr>
              <w:t>t/a</w:t>
            </w:r>
          </w:p>
        </w:tc>
      </w:tr>
      <w:tr w14:paraId="6901EE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92" w:type="dxa"/>
            <w:vMerge w:val="continue"/>
            <w:vAlign w:val="center"/>
          </w:tcPr>
          <w:p w14:paraId="18DE26B4">
            <w:pPr>
              <w:pStyle w:val="58"/>
              <w:spacing w:beforeLines="0" w:afterLines="0" w:line="240" w:lineRule="auto"/>
              <w:rPr>
                <w:rFonts w:hint="default" w:ascii="Times New Roman" w:eastAsia="宋体"/>
                <w:snapToGrid w:val="0"/>
                <w:color w:val="auto"/>
                <w:kern w:val="21"/>
                <w:szCs w:val="21"/>
                <w:lang w:val="en-US" w:eastAsia="zh-CN"/>
              </w:rPr>
            </w:pPr>
          </w:p>
        </w:tc>
        <w:tc>
          <w:tcPr>
            <w:tcW w:w="1922" w:type="dxa"/>
            <w:shd w:val="clear" w:color="auto" w:fill="auto"/>
            <w:vAlign w:val="center"/>
          </w:tcPr>
          <w:p w14:paraId="1143AA3E">
            <w:pPr>
              <w:jc w:val="center"/>
              <w:rPr>
                <w:rFonts w:hint="eastAsia" w:ascii="Times New Roman" w:hAnsi="Times New Roman"/>
                <w:color w:val="auto"/>
                <w:sz w:val="21"/>
                <w:szCs w:val="21"/>
                <w:lang w:eastAsia="zh-CN"/>
              </w:rPr>
            </w:pPr>
            <w:r>
              <w:rPr>
                <w:rFonts w:hint="default" w:ascii="Times New Roman" w:hAnsi="Times New Roman" w:eastAsia="宋体" w:cs="Times New Roman"/>
                <w:color w:val="auto"/>
                <w:sz w:val="21"/>
                <w:szCs w:val="21"/>
                <w:lang w:eastAsia="zh-CN"/>
              </w:rPr>
              <w:t>废</w:t>
            </w:r>
            <w:r>
              <w:rPr>
                <w:rFonts w:hint="eastAsia" w:cs="Times New Roman"/>
                <w:color w:val="auto"/>
                <w:sz w:val="21"/>
                <w:szCs w:val="21"/>
                <w:lang w:eastAsia="zh-CN"/>
              </w:rPr>
              <w:t>润滑</w:t>
            </w:r>
            <w:r>
              <w:rPr>
                <w:rFonts w:hint="default" w:ascii="Times New Roman" w:hAnsi="Times New Roman" w:eastAsia="宋体" w:cs="Times New Roman"/>
                <w:color w:val="auto"/>
                <w:sz w:val="21"/>
                <w:szCs w:val="21"/>
                <w:lang w:eastAsia="zh-CN"/>
              </w:rPr>
              <w:t>油</w:t>
            </w:r>
          </w:p>
        </w:tc>
        <w:tc>
          <w:tcPr>
            <w:tcW w:w="1452" w:type="dxa"/>
            <w:shd w:val="clear" w:color="auto" w:fill="auto"/>
            <w:vAlign w:val="center"/>
          </w:tcPr>
          <w:p w14:paraId="43F7BBCE">
            <w:pPr>
              <w:jc w:val="center"/>
              <w:rPr>
                <w:rFonts w:hint="default"/>
                <w:color w:val="auto"/>
                <w:lang w:val="en-US" w:eastAsia="zh-CN"/>
              </w:rPr>
            </w:pPr>
            <w:r>
              <w:rPr>
                <w:snapToGrid w:val="0"/>
                <w:color w:val="auto"/>
                <w:kern w:val="21"/>
                <w:szCs w:val="21"/>
              </w:rPr>
              <w:t>/</w:t>
            </w:r>
          </w:p>
        </w:tc>
        <w:tc>
          <w:tcPr>
            <w:tcW w:w="1023" w:type="dxa"/>
            <w:vAlign w:val="center"/>
          </w:tcPr>
          <w:p w14:paraId="3B5E9361">
            <w:pPr>
              <w:jc w:val="center"/>
              <w:rPr>
                <w:rFonts w:hint="eastAsia"/>
                <w:snapToGrid w:val="0"/>
                <w:color w:val="auto"/>
                <w:kern w:val="21"/>
                <w:szCs w:val="21"/>
                <w:lang w:val="en-US" w:eastAsia="zh-CN"/>
              </w:rPr>
            </w:pPr>
            <w:r>
              <w:rPr>
                <w:snapToGrid w:val="0"/>
                <w:color w:val="auto"/>
                <w:kern w:val="21"/>
                <w:szCs w:val="21"/>
              </w:rPr>
              <w:t>/</w:t>
            </w:r>
          </w:p>
        </w:tc>
        <w:tc>
          <w:tcPr>
            <w:tcW w:w="1472" w:type="dxa"/>
            <w:vAlign w:val="center"/>
          </w:tcPr>
          <w:p w14:paraId="15FE55D8">
            <w:pPr>
              <w:jc w:val="center"/>
              <w:rPr>
                <w:rFonts w:hint="eastAsia"/>
                <w:snapToGrid w:val="0"/>
                <w:color w:val="auto"/>
                <w:kern w:val="21"/>
                <w:szCs w:val="21"/>
                <w:lang w:val="en-US" w:eastAsia="zh-CN"/>
              </w:rPr>
            </w:pPr>
            <w:r>
              <w:rPr>
                <w:snapToGrid w:val="0"/>
                <w:color w:val="auto"/>
                <w:kern w:val="21"/>
                <w:szCs w:val="21"/>
              </w:rPr>
              <w:t>/</w:t>
            </w:r>
          </w:p>
        </w:tc>
        <w:tc>
          <w:tcPr>
            <w:tcW w:w="1470" w:type="dxa"/>
            <w:shd w:val="clear" w:color="auto" w:fill="auto"/>
            <w:vAlign w:val="center"/>
          </w:tcPr>
          <w:p w14:paraId="7B49D7C1">
            <w:pPr>
              <w:jc w:val="center"/>
              <w:rPr>
                <w:rFonts w:hint="default"/>
                <w:color w:val="auto"/>
                <w:highlight w:val="none"/>
                <w:lang w:val="en-US" w:eastAsia="zh-CN"/>
              </w:rPr>
            </w:pPr>
            <w:r>
              <w:rPr>
                <w:rFonts w:hint="default" w:ascii="Times New Roman" w:hAnsi="Times New Roman" w:cs="Times New Roman"/>
                <w:color w:val="auto"/>
                <w:sz w:val="21"/>
                <w:szCs w:val="21"/>
                <w:lang w:val="en-US" w:eastAsia="zh-CN"/>
              </w:rPr>
              <w:t>0.1</w:t>
            </w:r>
            <w:r>
              <w:rPr>
                <w:rFonts w:hint="eastAsia" w:ascii="Times New Roman" w:hAnsi="Times New Roman" w:cs="Times New Roman"/>
                <w:color w:val="auto"/>
                <w:kern w:val="2"/>
                <w:sz w:val="21"/>
                <w:szCs w:val="21"/>
                <w:lang w:val="en-US" w:eastAsia="zh-CN" w:bidi="ar-SA"/>
              </w:rPr>
              <w:t>t/a</w:t>
            </w:r>
          </w:p>
        </w:tc>
        <w:tc>
          <w:tcPr>
            <w:tcW w:w="1568" w:type="dxa"/>
            <w:shd w:val="clear" w:color="auto" w:fill="auto"/>
            <w:vAlign w:val="center"/>
          </w:tcPr>
          <w:p w14:paraId="264C7284">
            <w:pPr>
              <w:ind w:firstLine="0" w:firstLineChars="0"/>
              <w:jc w:val="center"/>
              <w:rPr>
                <w:rFonts w:hint="eastAsia" w:ascii="Times New Roman" w:hAnsi="Times New Roman"/>
                <w:color w:val="auto"/>
                <w:szCs w:val="21"/>
                <w:lang w:val="en-US" w:eastAsia="zh-CN"/>
              </w:rPr>
            </w:pPr>
            <w:r>
              <w:rPr>
                <w:rFonts w:hint="eastAsia" w:ascii="Times New Roman" w:hAnsi="Times New Roman"/>
                <w:color w:val="auto"/>
                <w:szCs w:val="21"/>
                <w:lang w:val="en-US" w:eastAsia="zh-CN"/>
              </w:rPr>
              <w:t>/</w:t>
            </w:r>
          </w:p>
        </w:tc>
        <w:tc>
          <w:tcPr>
            <w:tcW w:w="1547" w:type="dxa"/>
            <w:shd w:val="clear" w:color="auto" w:fill="auto"/>
            <w:vAlign w:val="center"/>
          </w:tcPr>
          <w:p w14:paraId="6C151E72">
            <w:pPr>
              <w:jc w:val="center"/>
              <w:rPr>
                <w:rFonts w:hint="default"/>
                <w:color w:val="auto"/>
                <w:highlight w:val="none"/>
                <w:lang w:val="en-US" w:eastAsia="zh-CN"/>
              </w:rPr>
            </w:pPr>
            <w:r>
              <w:rPr>
                <w:rFonts w:hint="default" w:ascii="Times New Roman" w:hAnsi="Times New Roman" w:cs="Times New Roman"/>
                <w:color w:val="auto"/>
                <w:sz w:val="21"/>
                <w:szCs w:val="21"/>
                <w:lang w:val="en-US" w:eastAsia="zh-CN"/>
              </w:rPr>
              <w:t>0.1</w:t>
            </w:r>
            <w:r>
              <w:rPr>
                <w:rFonts w:hint="eastAsia" w:ascii="Times New Roman" w:hAnsi="Times New Roman" w:cs="Times New Roman"/>
                <w:color w:val="auto"/>
                <w:kern w:val="2"/>
                <w:sz w:val="21"/>
                <w:szCs w:val="21"/>
                <w:lang w:val="en-US" w:eastAsia="zh-CN" w:bidi="ar-SA"/>
              </w:rPr>
              <w:t>t/a</w:t>
            </w:r>
          </w:p>
        </w:tc>
        <w:tc>
          <w:tcPr>
            <w:tcW w:w="1290" w:type="dxa"/>
            <w:shd w:val="clear" w:color="auto" w:fill="auto"/>
            <w:vAlign w:val="center"/>
          </w:tcPr>
          <w:p w14:paraId="5CD1C787">
            <w:pPr>
              <w:jc w:val="center"/>
              <w:rPr>
                <w:rFonts w:hint="eastAsia"/>
                <w:color w:val="auto"/>
                <w:highlight w:val="none"/>
                <w:lang w:val="en-US" w:eastAsia="zh-CN"/>
              </w:rPr>
            </w:pP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0.1</w:t>
            </w:r>
            <w:r>
              <w:rPr>
                <w:rFonts w:hint="eastAsia" w:ascii="Times New Roman" w:hAnsi="Times New Roman" w:cs="Times New Roman"/>
                <w:color w:val="auto"/>
                <w:kern w:val="2"/>
                <w:sz w:val="21"/>
                <w:szCs w:val="21"/>
                <w:lang w:val="en-US" w:eastAsia="zh-CN" w:bidi="ar-SA"/>
              </w:rPr>
              <w:t>t/a</w:t>
            </w:r>
          </w:p>
        </w:tc>
      </w:tr>
      <w:tr w14:paraId="022817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92" w:type="dxa"/>
            <w:vMerge w:val="continue"/>
            <w:vAlign w:val="center"/>
          </w:tcPr>
          <w:p w14:paraId="26279404">
            <w:pPr>
              <w:pStyle w:val="58"/>
              <w:spacing w:beforeLines="0" w:afterLines="0" w:line="240" w:lineRule="auto"/>
              <w:rPr>
                <w:rFonts w:ascii="Times New Roman"/>
                <w:snapToGrid w:val="0"/>
                <w:color w:val="auto"/>
                <w:kern w:val="21"/>
                <w:szCs w:val="21"/>
              </w:rPr>
            </w:pPr>
          </w:p>
        </w:tc>
        <w:tc>
          <w:tcPr>
            <w:tcW w:w="1922" w:type="dxa"/>
            <w:shd w:val="clear" w:color="auto" w:fill="auto"/>
            <w:vAlign w:val="center"/>
          </w:tcPr>
          <w:p w14:paraId="375ECE53">
            <w:pPr>
              <w:jc w:val="center"/>
              <w:rPr>
                <w:rFonts w:hint="eastAsia" w:ascii="Times New Roman" w:hAnsi="Times New Roman"/>
                <w:color w:val="auto"/>
                <w:sz w:val="21"/>
                <w:szCs w:val="21"/>
                <w:lang w:eastAsia="zh-CN"/>
              </w:rPr>
            </w:pPr>
            <w:r>
              <w:rPr>
                <w:rFonts w:hint="default" w:ascii="Times New Roman" w:hAnsi="Times New Roman" w:cs="Times New Roman"/>
                <w:color w:val="auto"/>
                <w:sz w:val="21"/>
                <w:szCs w:val="21"/>
                <w:lang w:val="en-US" w:eastAsia="zh-CN"/>
              </w:rPr>
              <w:t>废</w:t>
            </w:r>
            <w:r>
              <w:rPr>
                <w:rFonts w:hint="eastAsia" w:cs="Times New Roman"/>
                <w:color w:val="auto"/>
                <w:sz w:val="21"/>
                <w:szCs w:val="21"/>
                <w:lang w:val="en-US" w:eastAsia="zh-CN"/>
              </w:rPr>
              <w:t>润滑油</w:t>
            </w:r>
            <w:r>
              <w:rPr>
                <w:rFonts w:hint="default" w:ascii="Times New Roman" w:hAnsi="Times New Roman" w:cs="Times New Roman"/>
                <w:color w:val="auto"/>
                <w:sz w:val="21"/>
                <w:szCs w:val="21"/>
                <w:lang w:val="en-US" w:eastAsia="zh-CN"/>
              </w:rPr>
              <w:t>空桶</w:t>
            </w:r>
          </w:p>
        </w:tc>
        <w:tc>
          <w:tcPr>
            <w:tcW w:w="1452" w:type="dxa"/>
            <w:shd w:val="clear" w:color="auto" w:fill="auto"/>
            <w:vAlign w:val="center"/>
          </w:tcPr>
          <w:p w14:paraId="41EC1D4B">
            <w:pPr>
              <w:jc w:val="center"/>
              <w:rPr>
                <w:rFonts w:hint="default"/>
                <w:color w:val="auto"/>
                <w:lang w:val="en-US" w:eastAsia="zh-CN"/>
              </w:rPr>
            </w:pPr>
            <w:r>
              <w:rPr>
                <w:snapToGrid w:val="0"/>
                <w:color w:val="auto"/>
                <w:kern w:val="21"/>
                <w:szCs w:val="21"/>
              </w:rPr>
              <w:t>/</w:t>
            </w:r>
          </w:p>
        </w:tc>
        <w:tc>
          <w:tcPr>
            <w:tcW w:w="1023" w:type="dxa"/>
            <w:vAlign w:val="center"/>
          </w:tcPr>
          <w:p w14:paraId="01D5A19A">
            <w:pPr>
              <w:jc w:val="center"/>
              <w:rPr>
                <w:rFonts w:hint="eastAsia"/>
                <w:snapToGrid w:val="0"/>
                <w:color w:val="auto"/>
                <w:kern w:val="21"/>
                <w:szCs w:val="21"/>
                <w:lang w:val="en-US" w:eastAsia="zh-CN"/>
              </w:rPr>
            </w:pPr>
            <w:r>
              <w:rPr>
                <w:snapToGrid w:val="0"/>
                <w:color w:val="auto"/>
                <w:kern w:val="21"/>
                <w:szCs w:val="21"/>
              </w:rPr>
              <w:t>/</w:t>
            </w:r>
          </w:p>
        </w:tc>
        <w:tc>
          <w:tcPr>
            <w:tcW w:w="1472" w:type="dxa"/>
            <w:vAlign w:val="center"/>
          </w:tcPr>
          <w:p w14:paraId="17FE77CC">
            <w:pPr>
              <w:jc w:val="center"/>
              <w:rPr>
                <w:rFonts w:hint="eastAsia"/>
                <w:snapToGrid w:val="0"/>
                <w:color w:val="auto"/>
                <w:kern w:val="21"/>
                <w:szCs w:val="21"/>
                <w:lang w:val="en-US" w:eastAsia="zh-CN"/>
              </w:rPr>
            </w:pPr>
            <w:r>
              <w:rPr>
                <w:snapToGrid w:val="0"/>
                <w:color w:val="auto"/>
                <w:kern w:val="21"/>
                <w:szCs w:val="21"/>
              </w:rPr>
              <w:t>/</w:t>
            </w:r>
          </w:p>
        </w:tc>
        <w:tc>
          <w:tcPr>
            <w:tcW w:w="1470" w:type="dxa"/>
            <w:shd w:val="clear" w:color="auto" w:fill="auto"/>
            <w:vAlign w:val="center"/>
          </w:tcPr>
          <w:p w14:paraId="7319D85F">
            <w:pPr>
              <w:jc w:val="center"/>
              <w:rPr>
                <w:rFonts w:hint="default"/>
                <w:color w:val="auto"/>
                <w:highlight w:val="none"/>
                <w:lang w:val="en-US" w:eastAsia="zh-CN"/>
              </w:rPr>
            </w:pPr>
            <w:r>
              <w:rPr>
                <w:rFonts w:hint="default" w:ascii="Times New Roman" w:hAnsi="Times New Roman" w:cs="Times New Roman"/>
                <w:color w:val="auto"/>
                <w:sz w:val="21"/>
                <w:szCs w:val="21"/>
                <w:lang w:val="en-US" w:eastAsia="zh-CN"/>
              </w:rPr>
              <w:t>0.5</w:t>
            </w:r>
            <w:r>
              <w:rPr>
                <w:rFonts w:hint="eastAsia" w:ascii="Times New Roman" w:hAnsi="Times New Roman" w:cs="Times New Roman"/>
                <w:color w:val="auto"/>
                <w:kern w:val="2"/>
                <w:sz w:val="21"/>
                <w:szCs w:val="21"/>
                <w:lang w:val="en-US" w:eastAsia="zh-CN" w:bidi="ar-SA"/>
              </w:rPr>
              <w:t>t/a</w:t>
            </w:r>
          </w:p>
        </w:tc>
        <w:tc>
          <w:tcPr>
            <w:tcW w:w="1568" w:type="dxa"/>
            <w:shd w:val="clear" w:color="auto" w:fill="auto"/>
            <w:vAlign w:val="center"/>
          </w:tcPr>
          <w:p w14:paraId="36644F99">
            <w:pPr>
              <w:ind w:firstLine="0" w:firstLineChars="0"/>
              <w:jc w:val="center"/>
              <w:rPr>
                <w:rFonts w:hint="eastAsia" w:ascii="Times New Roman" w:hAnsi="Times New Roman"/>
                <w:color w:val="auto"/>
                <w:szCs w:val="21"/>
                <w:lang w:val="en-US" w:eastAsia="zh-CN"/>
              </w:rPr>
            </w:pPr>
            <w:r>
              <w:rPr>
                <w:rFonts w:hint="eastAsia" w:ascii="Times New Roman" w:hAnsi="Times New Roman"/>
                <w:color w:val="auto"/>
                <w:szCs w:val="21"/>
                <w:lang w:val="en-US" w:eastAsia="zh-CN"/>
              </w:rPr>
              <w:t>/</w:t>
            </w:r>
          </w:p>
        </w:tc>
        <w:tc>
          <w:tcPr>
            <w:tcW w:w="1547" w:type="dxa"/>
            <w:shd w:val="clear" w:color="auto" w:fill="auto"/>
            <w:vAlign w:val="center"/>
          </w:tcPr>
          <w:p w14:paraId="4C844E12">
            <w:pPr>
              <w:jc w:val="center"/>
              <w:rPr>
                <w:rFonts w:hint="default"/>
                <w:color w:val="auto"/>
                <w:highlight w:val="none"/>
                <w:lang w:val="en-US" w:eastAsia="zh-CN"/>
              </w:rPr>
            </w:pPr>
            <w:r>
              <w:rPr>
                <w:rFonts w:hint="default" w:ascii="Times New Roman" w:hAnsi="Times New Roman" w:cs="Times New Roman"/>
                <w:color w:val="auto"/>
                <w:sz w:val="21"/>
                <w:szCs w:val="21"/>
                <w:lang w:val="en-US" w:eastAsia="zh-CN"/>
              </w:rPr>
              <w:t>0.5</w:t>
            </w:r>
            <w:r>
              <w:rPr>
                <w:rFonts w:hint="eastAsia" w:ascii="Times New Roman" w:hAnsi="Times New Roman" w:cs="Times New Roman"/>
                <w:color w:val="auto"/>
                <w:kern w:val="2"/>
                <w:sz w:val="21"/>
                <w:szCs w:val="21"/>
                <w:lang w:val="en-US" w:eastAsia="zh-CN" w:bidi="ar-SA"/>
              </w:rPr>
              <w:t>t/a</w:t>
            </w:r>
          </w:p>
        </w:tc>
        <w:tc>
          <w:tcPr>
            <w:tcW w:w="1290" w:type="dxa"/>
            <w:shd w:val="clear" w:color="auto" w:fill="auto"/>
            <w:vAlign w:val="center"/>
          </w:tcPr>
          <w:p w14:paraId="3608503C">
            <w:pPr>
              <w:jc w:val="center"/>
              <w:rPr>
                <w:rFonts w:hint="eastAsia"/>
                <w:color w:val="auto"/>
                <w:highlight w:val="none"/>
                <w:lang w:val="en-US" w:eastAsia="zh-CN"/>
              </w:rPr>
            </w:pP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0.5</w:t>
            </w:r>
            <w:r>
              <w:rPr>
                <w:rFonts w:hint="eastAsia" w:ascii="Times New Roman" w:hAnsi="Times New Roman" w:cs="Times New Roman"/>
                <w:color w:val="auto"/>
                <w:kern w:val="2"/>
                <w:sz w:val="21"/>
                <w:szCs w:val="21"/>
                <w:lang w:val="en-US" w:eastAsia="zh-CN" w:bidi="ar-SA"/>
              </w:rPr>
              <w:t>t/a</w:t>
            </w:r>
          </w:p>
        </w:tc>
      </w:tr>
      <w:tr w14:paraId="763CBA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92" w:type="dxa"/>
            <w:vMerge w:val="continue"/>
            <w:vAlign w:val="center"/>
          </w:tcPr>
          <w:p w14:paraId="34070C0C">
            <w:pPr>
              <w:pStyle w:val="58"/>
              <w:spacing w:beforeLines="0" w:afterLines="0" w:line="240" w:lineRule="auto"/>
              <w:rPr>
                <w:rFonts w:ascii="Times New Roman"/>
                <w:snapToGrid w:val="0"/>
                <w:color w:val="auto"/>
                <w:kern w:val="21"/>
                <w:szCs w:val="21"/>
              </w:rPr>
            </w:pPr>
          </w:p>
        </w:tc>
        <w:tc>
          <w:tcPr>
            <w:tcW w:w="1922" w:type="dxa"/>
            <w:shd w:val="clear" w:color="auto" w:fill="auto"/>
            <w:vAlign w:val="center"/>
          </w:tcPr>
          <w:p w14:paraId="0F803DBA">
            <w:pPr>
              <w:jc w:val="center"/>
              <w:rPr>
                <w:rFonts w:hint="eastAsia" w:ascii="Times New Roman" w:hAnsi="Times New Roman"/>
                <w:color w:val="auto"/>
                <w:sz w:val="21"/>
                <w:szCs w:val="21"/>
                <w:lang w:eastAsia="zh-CN"/>
              </w:rPr>
            </w:pPr>
            <w:r>
              <w:rPr>
                <w:rFonts w:hint="eastAsia" w:cs="Times New Roman"/>
                <w:color w:val="auto"/>
                <w:sz w:val="21"/>
                <w:szCs w:val="21"/>
                <w:lang w:val="en-US" w:eastAsia="zh-CN"/>
              </w:rPr>
              <w:t>废柴油</w:t>
            </w:r>
          </w:p>
        </w:tc>
        <w:tc>
          <w:tcPr>
            <w:tcW w:w="1452" w:type="dxa"/>
            <w:shd w:val="clear" w:color="auto" w:fill="auto"/>
            <w:vAlign w:val="center"/>
          </w:tcPr>
          <w:p w14:paraId="7145B7E6">
            <w:pPr>
              <w:jc w:val="center"/>
              <w:rPr>
                <w:rFonts w:hint="default"/>
                <w:color w:val="auto"/>
                <w:lang w:val="en-US" w:eastAsia="zh-CN"/>
              </w:rPr>
            </w:pPr>
            <w:r>
              <w:rPr>
                <w:snapToGrid w:val="0"/>
                <w:color w:val="auto"/>
                <w:kern w:val="21"/>
                <w:szCs w:val="21"/>
              </w:rPr>
              <w:t>/</w:t>
            </w:r>
          </w:p>
        </w:tc>
        <w:tc>
          <w:tcPr>
            <w:tcW w:w="1023" w:type="dxa"/>
            <w:vAlign w:val="center"/>
          </w:tcPr>
          <w:p w14:paraId="4734D4DD">
            <w:pPr>
              <w:jc w:val="center"/>
              <w:rPr>
                <w:rFonts w:hint="eastAsia"/>
                <w:snapToGrid w:val="0"/>
                <w:color w:val="auto"/>
                <w:kern w:val="21"/>
                <w:szCs w:val="21"/>
                <w:lang w:val="en-US" w:eastAsia="zh-CN"/>
              </w:rPr>
            </w:pPr>
            <w:r>
              <w:rPr>
                <w:snapToGrid w:val="0"/>
                <w:color w:val="auto"/>
                <w:kern w:val="21"/>
                <w:szCs w:val="21"/>
              </w:rPr>
              <w:t>/</w:t>
            </w:r>
          </w:p>
        </w:tc>
        <w:tc>
          <w:tcPr>
            <w:tcW w:w="1472" w:type="dxa"/>
            <w:vAlign w:val="center"/>
          </w:tcPr>
          <w:p w14:paraId="41E25296">
            <w:pPr>
              <w:jc w:val="center"/>
              <w:rPr>
                <w:rFonts w:hint="eastAsia"/>
                <w:snapToGrid w:val="0"/>
                <w:color w:val="auto"/>
                <w:kern w:val="21"/>
                <w:szCs w:val="21"/>
                <w:lang w:val="en-US" w:eastAsia="zh-CN"/>
              </w:rPr>
            </w:pPr>
            <w:r>
              <w:rPr>
                <w:snapToGrid w:val="0"/>
                <w:color w:val="auto"/>
                <w:kern w:val="21"/>
                <w:szCs w:val="21"/>
              </w:rPr>
              <w:t>/</w:t>
            </w:r>
          </w:p>
        </w:tc>
        <w:tc>
          <w:tcPr>
            <w:tcW w:w="1470" w:type="dxa"/>
            <w:shd w:val="clear" w:color="auto" w:fill="auto"/>
            <w:vAlign w:val="center"/>
          </w:tcPr>
          <w:p w14:paraId="49D26AF4">
            <w:pPr>
              <w:jc w:val="center"/>
              <w:rPr>
                <w:rFonts w:hint="default"/>
                <w:color w:val="auto"/>
                <w:highlight w:val="none"/>
                <w:lang w:val="en-US" w:eastAsia="zh-CN"/>
              </w:rPr>
            </w:pPr>
            <w:r>
              <w:rPr>
                <w:rFonts w:hint="default" w:ascii="Times New Roman" w:hAnsi="Times New Roman" w:cs="Times New Roman"/>
                <w:color w:val="auto"/>
                <w:sz w:val="21"/>
                <w:szCs w:val="21"/>
                <w:lang w:val="en-US" w:eastAsia="zh-CN"/>
              </w:rPr>
              <w:t>0.</w:t>
            </w:r>
            <w:r>
              <w:rPr>
                <w:rFonts w:hint="eastAsia" w:ascii="Times New Roman" w:hAnsi="Times New Roman" w:cs="Times New Roman"/>
                <w:color w:val="auto"/>
                <w:sz w:val="21"/>
                <w:szCs w:val="21"/>
                <w:lang w:val="en-US" w:eastAsia="zh-CN"/>
              </w:rPr>
              <w:t>2</w:t>
            </w:r>
            <w:r>
              <w:rPr>
                <w:rFonts w:hint="eastAsia" w:ascii="Times New Roman" w:hAnsi="Times New Roman" w:cs="Times New Roman"/>
                <w:color w:val="auto"/>
                <w:kern w:val="2"/>
                <w:sz w:val="21"/>
                <w:szCs w:val="21"/>
                <w:lang w:val="en-US" w:eastAsia="zh-CN" w:bidi="ar-SA"/>
              </w:rPr>
              <w:t>t/a</w:t>
            </w:r>
          </w:p>
        </w:tc>
        <w:tc>
          <w:tcPr>
            <w:tcW w:w="1568" w:type="dxa"/>
            <w:shd w:val="clear" w:color="auto" w:fill="auto"/>
            <w:vAlign w:val="center"/>
          </w:tcPr>
          <w:p w14:paraId="0878E809">
            <w:pPr>
              <w:ind w:firstLine="0" w:firstLineChars="0"/>
              <w:jc w:val="center"/>
              <w:rPr>
                <w:rFonts w:hint="eastAsia" w:ascii="Times New Roman" w:hAnsi="Times New Roman"/>
                <w:color w:val="auto"/>
                <w:szCs w:val="21"/>
                <w:lang w:val="en-US" w:eastAsia="zh-CN"/>
              </w:rPr>
            </w:pPr>
            <w:r>
              <w:rPr>
                <w:rFonts w:hint="eastAsia" w:ascii="Times New Roman" w:hAnsi="Times New Roman"/>
                <w:color w:val="auto"/>
                <w:szCs w:val="21"/>
                <w:lang w:val="en-US" w:eastAsia="zh-CN"/>
              </w:rPr>
              <w:t>/</w:t>
            </w:r>
          </w:p>
        </w:tc>
        <w:tc>
          <w:tcPr>
            <w:tcW w:w="1547" w:type="dxa"/>
            <w:shd w:val="clear" w:color="auto" w:fill="auto"/>
            <w:vAlign w:val="center"/>
          </w:tcPr>
          <w:p w14:paraId="49F59749">
            <w:pPr>
              <w:jc w:val="center"/>
              <w:rPr>
                <w:rFonts w:hint="default"/>
                <w:color w:val="auto"/>
                <w:highlight w:val="none"/>
                <w:lang w:val="en-US" w:eastAsia="zh-CN"/>
              </w:rPr>
            </w:pPr>
            <w:r>
              <w:rPr>
                <w:rFonts w:hint="default" w:ascii="Times New Roman" w:hAnsi="Times New Roman" w:cs="Times New Roman"/>
                <w:color w:val="auto"/>
                <w:sz w:val="21"/>
                <w:szCs w:val="21"/>
                <w:lang w:val="en-US" w:eastAsia="zh-CN"/>
              </w:rPr>
              <w:t>0.</w:t>
            </w:r>
            <w:r>
              <w:rPr>
                <w:rFonts w:hint="eastAsia" w:ascii="Times New Roman" w:hAnsi="Times New Roman" w:cs="Times New Roman"/>
                <w:color w:val="auto"/>
                <w:sz w:val="21"/>
                <w:szCs w:val="21"/>
                <w:lang w:val="en-US" w:eastAsia="zh-CN"/>
              </w:rPr>
              <w:t>2</w:t>
            </w:r>
            <w:r>
              <w:rPr>
                <w:rFonts w:hint="eastAsia" w:ascii="Times New Roman" w:hAnsi="Times New Roman" w:cs="Times New Roman"/>
                <w:color w:val="auto"/>
                <w:kern w:val="2"/>
                <w:sz w:val="21"/>
                <w:szCs w:val="21"/>
                <w:lang w:val="en-US" w:eastAsia="zh-CN" w:bidi="ar-SA"/>
              </w:rPr>
              <w:t>t/a</w:t>
            </w:r>
          </w:p>
        </w:tc>
        <w:tc>
          <w:tcPr>
            <w:tcW w:w="1290" w:type="dxa"/>
            <w:shd w:val="clear" w:color="auto" w:fill="auto"/>
            <w:vAlign w:val="center"/>
          </w:tcPr>
          <w:p w14:paraId="6C20B239">
            <w:pPr>
              <w:jc w:val="center"/>
              <w:rPr>
                <w:rFonts w:hint="eastAsia"/>
                <w:color w:val="auto"/>
                <w:highlight w:val="none"/>
                <w:lang w:val="en-US" w:eastAsia="zh-CN"/>
              </w:rPr>
            </w:pP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0.</w:t>
            </w:r>
            <w:r>
              <w:rPr>
                <w:rFonts w:hint="eastAsia" w:ascii="Times New Roman" w:hAnsi="Times New Roman" w:cs="Times New Roman"/>
                <w:color w:val="auto"/>
                <w:sz w:val="21"/>
                <w:szCs w:val="21"/>
                <w:lang w:val="en-US" w:eastAsia="zh-CN"/>
              </w:rPr>
              <w:t>2</w:t>
            </w:r>
            <w:r>
              <w:rPr>
                <w:rFonts w:hint="eastAsia" w:ascii="Times New Roman" w:hAnsi="Times New Roman" w:cs="Times New Roman"/>
                <w:color w:val="auto"/>
                <w:kern w:val="2"/>
                <w:sz w:val="21"/>
                <w:szCs w:val="21"/>
                <w:lang w:val="en-US" w:eastAsia="zh-CN" w:bidi="ar-SA"/>
              </w:rPr>
              <w:t>t/a</w:t>
            </w:r>
          </w:p>
        </w:tc>
      </w:tr>
      <w:tr w14:paraId="5E72C7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92" w:type="dxa"/>
            <w:vMerge w:val="continue"/>
            <w:vAlign w:val="center"/>
          </w:tcPr>
          <w:p w14:paraId="7D7D905F">
            <w:pPr>
              <w:pStyle w:val="58"/>
              <w:spacing w:beforeLines="0" w:afterLines="0" w:line="240" w:lineRule="auto"/>
              <w:rPr>
                <w:rFonts w:ascii="Times New Roman"/>
                <w:snapToGrid w:val="0"/>
                <w:color w:val="auto"/>
                <w:kern w:val="21"/>
                <w:szCs w:val="21"/>
              </w:rPr>
            </w:pPr>
          </w:p>
        </w:tc>
        <w:tc>
          <w:tcPr>
            <w:tcW w:w="1922" w:type="dxa"/>
            <w:shd w:val="clear" w:color="auto" w:fill="auto"/>
            <w:vAlign w:val="center"/>
          </w:tcPr>
          <w:p w14:paraId="6335801C">
            <w:pPr>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eastAsia="zh-CN"/>
              </w:rPr>
              <w:t>废</w:t>
            </w:r>
            <w:r>
              <w:rPr>
                <w:rFonts w:hint="default" w:ascii="Times New Roman" w:hAnsi="Times New Roman" w:cs="Times New Roman"/>
                <w:color w:val="auto"/>
                <w:sz w:val="21"/>
                <w:szCs w:val="21"/>
                <w:lang w:eastAsia="zh-CN"/>
              </w:rPr>
              <w:t>矾基催化剂</w:t>
            </w:r>
          </w:p>
        </w:tc>
        <w:tc>
          <w:tcPr>
            <w:tcW w:w="1452" w:type="dxa"/>
            <w:shd w:val="clear" w:color="auto" w:fill="auto"/>
            <w:vAlign w:val="center"/>
          </w:tcPr>
          <w:p w14:paraId="2071C63E">
            <w:pPr>
              <w:jc w:val="center"/>
              <w:rPr>
                <w:rFonts w:hint="default" w:ascii="Times New Roman" w:hAnsi="Times New Roman" w:eastAsia="宋体" w:cs="Times New Roman"/>
                <w:color w:val="auto"/>
                <w:kern w:val="2"/>
                <w:sz w:val="21"/>
                <w:szCs w:val="24"/>
                <w:lang w:val="en-US" w:eastAsia="zh-CN" w:bidi="ar-SA"/>
              </w:rPr>
            </w:pPr>
            <w:r>
              <w:rPr>
                <w:snapToGrid w:val="0"/>
                <w:color w:val="auto"/>
                <w:kern w:val="21"/>
                <w:szCs w:val="21"/>
              </w:rPr>
              <w:t>/</w:t>
            </w:r>
          </w:p>
        </w:tc>
        <w:tc>
          <w:tcPr>
            <w:tcW w:w="1023" w:type="dxa"/>
            <w:shd w:val="clear" w:color="auto" w:fill="auto"/>
            <w:vAlign w:val="center"/>
          </w:tcPr>
          <w:p w14:paraId="061F5693">
            <w:pPr>
              <w:jc w:val="center"/>
              <w:rPr>
                <w:rFonts w:hint="eastAsia" w:ascii="Times New Roman" w:hAnsi="Times New Roman" w:eastAsia="宋体" w:cs="Times New Roman"/>
                <w:snapToGrid w:val="0"/>
                <w:color w:val="auto"/>
                <w:kern w:val="21"/>
                <w:sz w:val="21"/>
                <w:szCs w:val="21"/>
                <w:lang w:val="en-US" w:eastAsia="zh-CN" w:bidi="ar-SA"/>
              </w:rPr>
            </w:pPr>
            <w:r>
              <w:rPr>
                <w:snapToGrid w:val="0"/>
                <w:color w:val="auto"/>
                <w:kern w:val="21"/>
                <w:szCs w:val="21"/>
              </w:rPr>
              <w:t>/</w:t>
            </w:r>
          </w:p>
        </w:tc>
        <w:tc>
          <w:tcPr>
            <w:tcW w:w="1472" w:type="dxa"/>
            <w:shd w:val="clear" w:color="auto" w:fill="auto"/>
            <w:vAlign w:val="center"/>
          </w:tcPr>
          <w:p w14:paraId="2A3436D1">
            <w:pPr>
              <w:jc w:val="center"/>
              <w:rPr>
                <w:rFonts w:hint="eastAsia" w:ascii="Times New Roman" w:hAnsi="Times New Roman" w:eastAsia="宋体" w:cs="Times New Roman"/>
                <w:snapToGrid w:val="0"/>
                <w:color w:val="auto"/>
                <w:kern w:val="21"/>
                <w:sz w:val="21"/>
                <w:szCs w:val="21"/>
                <w:lang w:val="en-US" w:eastAsia="zh-CN" w:bidi="ar-SA"/>
              </w:rPr>
            </w:pPr>
            <w:r>
              <w:rPr>
                <w:snapToGrid w:val="0"/>
                <w:color w:val="auto"/>
                <w:kern w:val="21"/>
                <w:szCs w:val="21"/>
              </w:rPr>
              <w:t>/</w:t>
            </w:r>
          </w:p>
        </w:tc>
        <w:tc>
          <w:tcPr>
            <w:tcW w:w="1470" w:type="dxa"/>
            <w:shd w:val="clear" w:color="auto" w:fill="auto"/>
            <w:vAlign w:val="center"/>
          </w:tcPr>
          <w:p w14:paraId="71478CB7">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cs="Times New Roman"/>
                <w:color w:val="auto"/>
                <w:sz w:val="21"/>
                <w:szCs w:val="21"/>
                <w:lang w:val="en-US" w:eastAsia="zh-CN"/>
              </w:rPr>
              <w:t>0.</w:t>
            </w:r>
            <w:r>
              <w:rPr>
                <w:rFonts w:hint="eastAsia" w:cs="Times New Roman"/>
                <w:color w:val="auto"/>
                <w:sz w:val="21"/>
                <w:szCs w:val="21"/>
                <w:lang w:val="en-US" w:eastAsia="zh-CN"/>
              </w:rPr>
              <w:t>2</w:t>
            </w:r>
            <w:r>
              <w:rPr>
                <w:rFonts w:hint="eastAsia" w:ascii="Times New Roman" w:hAnsi="Times New Roman" w:cs="Times New Roman"/>
                <w:color w:val="auto"/>
                <w:kern w:val="2"/>
                <w:sz w:val="21"/>
                <w:szCs w:val="21"/>
                <w:lang w:val="en-US" w:eastAsia="zh-CN" w:bidi="ar-SA"/>
              </w:rPr>
              <w:t>t/a</w:t>
            </w:r>
          </w:p>
        </w:tc>
        <w:tc>
          <w:tcPr>
            <w:tcW w:w="1568" w:type="dxa"/>
            <w:shd w:val="clear" w:color="auto" w:fill="auto"/>
            <w:vAlign w:val="center"/>
          </w:tcPr>
          <w:p w14:paraId="6CFA30DB">
            <w:pPr>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olor w:val="auto"/>
                <w:szCs w:val="21"/>
                <w:lang w:val="en-US" w:eastAsia="zh-CN"/>
              </w:rPr>
              <w:t>/</w:t>
            </w:r>
          </w:p>
        </w:tc>
        <w:tc>
          <w:tcPr>
            <w:tcW w:w="1547" w:type="dxa"/>
            <w:shd w:val="clear" w:color="auto" w:fill="auto"/>
            <w:vAlign w:val="center"/>
          </w:tcPr>
          <w:p w14:paraId="1DFFCCD5">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cs="Times New Roman"/>
                <w:color w:val="auto"/>
                <w:sz w:val="21"/>
                <w:szCs w:val="21"/>
                <w:lang w:val="en-US" w:eastAsia="zh-CN"/>
              </w:rPr>
              <w:t>0.</w:t>
            </w:r>
            <w:r>
              <w:rPr>
                <w:rFonts w:hint="eastAsia" w:cs="Times New Roman"/>
                <w:color w:val="auto"/>
                <w:sz w:val="21"/>
                <w:szCs w:val="21"/>
                <w:lang w:val="en-US" w:eastAsia="zh-CN"/>
              </w:rPr>
              <w:t>2</w:t>
            </w:r>
            <w:r>
              <w:rPr>
                <w:rFonts w:hint="eastAsia" w:ascii="Times New Roman" w:hAnsi="Times New Roman" w:cs="Times New Roman"/>
                <w:color w:val="auto"/>
                <w:kern w:val="2"/>
                <w:sz w:val="21"/>
                <w:szCs w:val="21"/>
                <w:lang w:val="en-US" w:eastAsia="zh-CN" w:bidi="ar-SA"/>
              </w:rPr>
              <w:t>t/a</w:t>
            </w:r>
          </w:p>
        </w:tc>
        <w:tc>
          <w:tcPr>
            <w:tcW w:w="1290" w:type="dxa"/>
            <w:shd w:val="clear" w:color="auto" w:fill="auto"/>
            <w:vAlign w:val="center"/>
          </w:tcPr>
          <w:p w14:paraId="2515CE7B">
            <w:pPr>
              <w:jc w:val="center"/>
              <w:rPr>
                <w:rFonts w:hint="eastAsia" w:ascii="Times New Roman" w:hAnsi="Times New Roman" w:eastAsia="宋体" w:cs="Times New Roman"/>
                <w:color w:val="auto"/>
                <w:kern w:val="2"/>
                <w:sz w:val="21"/>
                <w:szCs w:val="24"/>
                <w:highlight w:val="none"/>
                <w:lang w:val="en-US" w:eastAsia="zh-CN" w:bidi="ar-SA"/>
              </w:rPr>
            </w:pP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0.</w:t>
            </w:r>
            <w:r>
              <w:rPr>
                <w:rFonts w:hint="eastAsia" w:cs="Times New Roman"/>
                <w:color w:val="auto"/>
                <w:sz w:val="21"/>
                <w:szCs w:val="21"/>
                <w:lang w:val="en-US" w:eastAsia="zh-CN"/>
              </w:rPr>
              <w:t>2</w:t>
            </w:r>
            <w:r>
              <w:rPr>
                <w:rFonts w:hint="eastAsia" w:ascii="Times New Roman" w:hAnsi="Times New Roman" w:cs="Times New Roman"/>
                <w:color w:val="auto"/>
                <w:kern w:val="2"/>
                <w:sz w:val="21"/>
                <w:szCs w:val="21"/>
                <w:lang w:val="en-US" w:eastAsia="zh-CN" w:bidi="ar-SA"/>
              </w:rPr>
              <w:t>t/a</w:t>
            </w:r>
          </w:p>
        </w:tc>
      </w:tr>
      <w:tr w14:paraId="6B04EE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92" w:type="dxa"/>
            <w:vMerge w:val="continue"/>
            <w:vAlign w:val="center"/>
          </w:tcPr>
          <w:p w14:paraId="4CCA890B">
            <w:pPr>
              <w:pStyle w:val="58"/>
              <w:spacing w:beforeLines="0" w:afterLines="0" w:line="240" w:lineRule="auto"/>
              <w:rPr>
                <w:rFonts w:ascii="Times New Roman"/>
                <w:snapToGrid w:val="0"/>
                <w:color w:val="auto"/>
                <w:kern w:val="21"/>
                <w:szCs w:val="21"/>
              </w:rPr>
            </w:pPr>
          </w:p>
        </w:tc>
        <w:tc>
          <w:tcPr>
            <w:tcW w:w="1922" w:type="dxa"/>
            <w:shd w:val="clear" w:color="auto" w:fill="auto"/>
            <w:vAlign w:val="center"/>
          </w:tcPr>
          <w:p w14:paraId="48EDF662">
            <w:pPr>
              <w:jc w:val="center"/>
              <w:rPr>
                <w:rFonts w:hint="eastAsia" w:ascii="Times New Roman" w:hAnsi="Times New Roman"/>
                <w:color w:val="auto"/>
                <w:sz w:val="21"/>
                <w:szCs w:val="21"/>
                <w:lang w:eastAsia="zh-CN"/>
              </w:rPr>
            </w:pPr>
            <w:r>
              <w:rPr>
                <w:rFonts w:hint="eastAsia" w:cs="Times New Roman"/>
                <w:color w:val="auto"/>
                <w:sz w:val="21"/>
                <w:szCs w:val="21"/>
                <w:lang w:eastAsia="zh-CN"/>
              </w:rPr>
              <w:t>槽渣</w:t>
            </w:r>
          </w:p>
        </w:tc>
        <w:tc>
          <w:tcPr>
            <w:tcW w:w="1452" w:type="dxa"/>
            <w:shd w:val="clear" w:color="auto" w:fill="auto"/>
            <w:vAlign w:val="center"/>
          </w:tcPr>
          <w:p w14:paraId="5F5C8076">
            <w:pPr>
              <w:jc w:val="center"/>
              <w:rPr>
                <w:rFonts w:hint="default" w:ascii="Times New Roman" w:hAnsi="Times New Roman" w:eastAsia="宋体" w:cs="Times New Roman"/>
                <w:color w:val="auto"/>
                <w:kern w:val="2"/>
                <w:sz w:val="21"/>
                <w:szCs w:val="24"/>
                <w:lang w:val="en-US" w:eastAsia="zh-CN" w:bidi="ar-SA"/>
              </w:rPr>
            </w:pPr>
            <w:r>
              <w:rPr>
                <w:snapToGrid w:val="0"/>
                <w:color w:val="auto"/>
                <w:kern w:val="21"/>
                <w:szCs w:val="21"/>
              </w:rPr>
              <w:t>/</w:t>
            </w:r>
          </w:p>
        </w:tc>
        <w:tc>
          <w:tcPr>
            <w:tcW w:w="1023" w:type="dxa"/>
            <w:shd w:val="clear" w:color="auto" w:fill="auto"/>
            <w:vAlign w:val="center"/>
          </w:tcPr>
          <w:p w14:paraId="2728B242">
            <w:pPr>
              <w:jc w:val="center"/>
              <w:rPr>
                <w:rFonts w:hint="eastAsia" w:ascii="Times New Roman" w:hAnsi="Times New Roman" w:eastAsia="宋体" w:cs="Times New Roman"/>
                <w:snapToGrid w:val="0"/>
                <w:color w:val="auto"/>
                <w:kern w:val="21"/>
                <w:sz w:val="21"/>
                <w:szCs w:val="21"/>
                <w:lang w:val="en-US" w:eastAsia="zh-CN" w:bidi="ar-SA"/>
              </w:rPr>
            </w:pPr>
            <w:r>
              <w:rPr>
                <w:snapToGrid w:val="0"/>
                <w:color w:val="auto"/>
                <w:kern w:val="21"/>
                <w:szCs w:val="21"/>
              </w:rPr>
              <w:t>/</w:t>
            </w:r>
          </w:p>
        </w:tc>
        <w:tc>
          <w:tcPr>
            <w:tcW w:w="1472" w:type="dxa"/>
            <w:shd w:val="clear" w:color="auto" w:fill="auto"/>
            <w:vAlign w:val="center"/>
          </w:tcPr>
          <w:p w14:paraId="50A59C53">
            <w:pPr>
              <w:jc w:val="center"/>
              <w:rPr>
                <w:rFonts w:hint="eastAsia" w:ascii="Times New Roman" w:hAnsi="Times New Roman" w:eastAsia="宋体" w:cs="Times New Roman"/>
                <w:snapToGrid w:val="0"/>
                <w:color w:val="auto"/>
                <w:kern w:val="21"/>
                <w:sz w:val="21"/>
                <w:szCs w:val="21"/>
                <w:lang w:val="en-US" w:eastAsia="zh-CN" w:bidi="ar-SA"/>
              </w:rPr>
            </w:pPr>
            <w:r>
              <w:rPr>
                <w:snapToGrid w:val="0"/>
                <w:color w:val="auto"/>
                <w:kern w:val="21"/>
                <w:szCs w:val="21"/>
              </w:rPr>
              <w:t>/</w:t>
            </w:r>
          </w:p>
        </w:tc>
        <w:tc>
          <w:tcPr>
            <w:tcW w:w="1470" w:type="dxa"/>
            <w:shd w:val="clear" w:color="auto" w:fill="auto"/>
            <w:vAlign w:val="center"/>
          </w:tcPr>
          <w:p w14:paraId="2F649381">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cs="Times New Roman"/>
                <w:color w:val="auto"/>
                <w:sz w:val="21"/>
                <w:szCs w:val="21"/>
                <w:lang w:val="en-US" w:eastAsia="zh-CN"/>
              </w:rPr>
              <w:t>0.</w:t>
            </w:r>
            <w:r>
              <w:rPr>
                <w:rFonts w:hint="eastAsia" w:cs="Times New Roman"/>
                <w:color w:val="auto"/>
                <w:sz w:val="21"/>
                <w:szCs w:val="21"/>
                <w:lang w:val="en-US" w:eastAsia="zh-CN"/>
              </w:rPr>
              <w:t>5</w:t>
            </w:r>
            <w:r>
              <w:rPr>
                <w:rFonts w:hint="eastAsia" w:ascii="Times New Roman" w:hAnsi="Times New Roman" w:cs="Times New Roman"/>
                <w:color w:val="auto"/>
                <w:kern w:val="2"/>
                <w:sz w:val="21"/>
                <w:szCs w:val="21"/>
                <w:lang w:val="en-US" w:eastAsia="zh-CN" w:bidi="ar-SA"/>
              </w:rPr>
              <w:t>t/a</w:t>
            </w:r>
          </w:p>
        </w:tc>
        <w:tc>
          <w:tcPr>
            <w:tcW w:w="1568" w:type="dxa"/>
            <w:shd w:val="clear" w:color="auto" w:fill="auto"/>
            <w:vAlign w:val="center"/>
          </w:tcPr>
          <w:p w14:paraId="2BF2A75A">
            <w:pPr>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olor w:val="auto"/>
                <w:szCs w:val="21"/>
                <w:lang w:val="en-US" w:eastAsia="zh-CN"/>
              </w:rPr>
              <w:t>/</w:t>
            </w:r>
          </w:p>
        </w:tc>
        <w:tc>
          <w:tcPr>
            <w:tcW w:w="1547" w:type="dxa"/>
            <w:shd w:val="clear" w:color="auto" w:fill="auto"/>
            <w:vAlign w:val="center"/>
          </w:tcPr>
          <w:p w14:paraId="3C5C1C74">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cs="Times New Roman"/>
                <w:color w:val="auto"/>
                <w:sz w:val="21"/>
                <w:szCs w:val="21"/>
                <w:lang w:val="en-US" w:eastAsia="zh-CN"/>
              </w:rPr>
              <w:t>0.</w:t>
            </w:r>
            <w:r>
              <w:rPr>
                <w:rFonts w:hint="eastAsia" w:cs="Times New Roman"/>
                <w:color w:val="auto"/>
                <w:sz w:val="21"/>
                <w:szCs w:val="21"/>
                <w:lang w:val="en-US" w:eastAsia="zh-CN"/>
              </w:rPr>
              <w:t>5</w:t>
            </w:r>
            <w:r>
              <w:rPr>
                <w:rFonts w:hint="eastAsia" w:ascii="Times New Roman" w:hAnsi="Times New Roman" w:cs="Times New Roman"/>
                <w:color w:val="auto"/>
                <w:kern w:val="2"/>
                <w:sz w:val="21"/>
                <w:szCs w:val="21"/>
                <w:lang w:val="en-US" w:eastAsia="zh-CN" w:bidi="ar-SA"/>
              </w:rPr>
              <w:t>t/a</w:t>
            </w:r>
          </w:p>
        </w:tc>
        <w:tc>
          <w:tcPr>
            <w:tcW w:w="1290" w:type="dxa"/>
            <w:shd w:val="clear" w:color="auto" w:fill="auto"/>
            <w:vAlign w:val="center"/>
          </w:tcPr>
          <w:p w14:paraId="15D6FBD5">
            <w:pPr>
              <w:jc w:val="center"/>
              <w:rPr>
                <w:rFonts w:hint="eastAsia" w:ascii="Times New Roman" w:hAnsi="Times New Roman" w:eastAsia="宋体" w:cs="Times New Roman"/>
                <w:color w:val="auto"/>
                <w:kern w:val="2"/>
                <w:sz w:val="21"/>
                <w:szCs w:val="24"/>
                <w:highlight w:val="none"/>
                <w:lang w:val="en-US" w:eastAsia="zh-CN" w:bidi="ar-SA"/>
              </w:rPr>
            </w:pP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0.</w:t>
            </w:r>
            <w:r>
              <w:rPr>
                <w:rFonts w:hint="eastAsia" w:cs="Times New Roman"/>
                <w:color w:val="auto"/>
                <w:sz w:val="21"/>
                <w:szCs w:val="21"/>
                <w:lang w:val="en-US" w:eastAsia="zh-CN"/>
              </w:rPr>
              <w:t>5</w:t>
            </w:r>
            <w:r>
              <w:rPr>
                <w:rFonts w:hint="eastAsia" w:ascii="Times New Roman" w:hAnsi="Times New Roman" w:cs="Times New Roman"/>
                <w:color w:val="auto"/>
                <w:kern w:val="2"/>
                <w:sz w:val="21"/>
                <w:szCs w:val="21"/>
                <w:lang w:val="en-US" w:eastAsia="zh-CN" w:bidi="ar-SA"/>
              </w:rPr>
              <w:t>t/a</w:t>
            </w:r>
          </w:p>
        </w:tc>
      </w:tr>
      <w:tr w14:paraId="116B71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92" w:type="dxa"/>
            <w:vAlign w:val="center"/>
          </w:tcPr>
          <w:p w14:paraId="7A337336">
            <w:pPr>
              <w:pStyle w:val="58"/>
              <w:spacing w:beforeLines="0" w:afterLines="0" w:line="240" w:lineRule="auto"/>
              <w:rPr>
                <w:rFonts w:ascii="Times New Roman"/>
                <w:snapToGrid w:val="0"/>
                <w:color w:val="auto"/>
                <w:kern w:val="21"/>
                <w:szCs w:val="21"/>
                <w:lang w:val="en-US"/>
              </w:rPr>
            </w:pPr>
            <w:r>
              <w:rPr>
                <w:rFonts w:hint="eastAsia" w:ascii="Times New Roman"/>
                <w:snapToGrid w:val="0"/>
                <w:color w:val="auto"/>
                <w:kern w:val="21"/>
                <w:szCs w:val="21"/>
                <w:lang w:val="en-US"/>
              </w:rPr>
              <w:t>生活垃圾</w:t>
            </w:r>
          </w:p>
        </w:tc>
        <w:tc>
          <w:tcPr>
            <w:tcW w:w="1922" w:type="dxa"/>
            <w:shd w:val="clear" w:color="auto" w:fill="auto"/>
            <w:vAlign w:val="center"/>
          </w:tcPr>
          <w:p w14:paraId="3C927101">
            <w:pPr>
              <w:pStyle w:val="58"/>
              <w:spacing w:beforeLines="0" w:afterLines="0" w:line="240" w:lineRule="auto"/>
              <w:rPr>
                <w:color w:val="auto"/>
                <w:szCs w:val="21"/>
                <w:lang w:val="en-US"/>
              </w:rPr>
            </w:pPr>
            <w:r>
              <w:rPr>
                <w:rFonts w:hint="eastAsia" w:ascii="Times New Roman"/>
                <w:snapToGrid w:val="0"/>
                <w:color w:val="auto"/>
                <w:kern w:val="21"/>
                <w:szCs w:val="21"/>
                <w:lang w:val="en-US"/>
              </w:rPr>
              <w:t>生活垃圾</w:t>
            </w:r>
          </w:p>
        </w:tc>
        <w:tc>
          <w:tcPr>
            <w:tcW w:w="1452" w:type="dxa"/>
            <w:shd w:val="clear" w:color="auto" w:fill="auto"/>
            <w:vAlign w:val="center"/>
          </w:tcPr>
          <w:p w14:paraId="6EDBE654">
            <w:pPr>
              <w:jc w:val="center"/>
              <w:rPr>
                <w:color w:val="auto"/>
              </w:rPr>
            </w:pPr>
            <w:r>
              <w:rPr>
                <w:snapToGrid w:val="0"/>
                <w:color w:val="auto"/>
                <w:kern w:val="21"/>
                <w:szCs w:val="21"/>
              </w:rPr>
              <w:t>/</w:t>
            </w:r>
          </w:p>
        </w:tc>
        <w:tc>
          <w:tcPr>
            <w:tcW w:w="1023" w:type="dxa"/>
            <w:vAlign w:val="center"/>
          </w:tcPr>
          <w:p w14:paraId="36A4B4F6">
            <w:pPr>
              <w:jc w:val="center"/>
              <w:rPr>
                <w:snapToGrid w:val="0"/>
                <w:color w:val="auto"/>
                <w:kern w:val="21"/>
                <w:szCs w:val="21"/>
              </w:rPr>
            </w:pPr>
            <w:r>
              <w:rPr>
                <w:snapToGrid w:val="0"/>
                <w:color w:val="auto"/>
                <w:kern w:val="21"/>
                <w:szCs w:val="21"/>
              </w:rPr>
              <w:t>/</w:t>
            </w:r>
          </w:p>
        </w:tc>
        <w:tc>
          <w:tcPr>
            <w:tcW w:w="1472" w:type="dxa"/>
            <w:vAlign w:val="center"/>
          </w:tcPr>
          <w:p w14:paraId="734D3894">
            <w:pPr>
              <w:jc w:val="center"/>
              <w:rPr>
                <w:rFonts w:hint="default" w:eastAsia="宋体"/>
                <w:snapToGrid w:val="0"/>
                <w:color w:val="auto"/>
                <w:kern w:val="21"/>
                <w:szCs w:val="21"/>
                <w:lang w:val="en-US" w:eastAsia="zh-CN"/>
              </w:rPr>
            </w:pPr>
            <w:r>
              <w:rPr>
                <w:snapToGrid w:val="0"/>
                <w:color w:val="auto"/>
                <w:kern w:val="21"/>
                <w:szCs w:val="21"/>
              </w:rPr>
              <w:t>/</w:t>
            </w:r>
          </w:p>
        </w:tc>
        <w:tc>
          <w:tcPr>
            <w:tcW w:w="1470" w:type="dxa"/>
            <w:shd w:val="clear" w:color="auto" w:fill="auto"/>
            <w:vAlign w:val="center"/>
          </w:tcPr>
          <w:p w14:paraId="32634D34">
            <w:pPr>
              <w:jc w:val="center"/>
              <w:rPr>
                <w:rFonts w:hint="default" w:ascii="Times New Roman" w:hAnsi="Times New Roman" w:eastAsia="宋体" w:cs="Times New Roman"/>
                <w:color w:val="auto"/>
                <w:kern w:val="2"/>
                <w:sz w:val="21"/>
                <w:szCs w:val="21"/>
                <w:lang w:val="en-US" w:eastAsia="zh-CN" w:bidi="ar-SA"/>
              </w:rPr>
            </w:pPr>
            <w:r>
              <w:rPr>
                <w:rFonts w:hint="eastAsia"/>
                <w:color w:val="auto"/>
                <w:highlight w:val="none"/>
                <w:lang w:val="en-US" w:eastAsia="zh-CN"/>
              </w:rPr>
              <w:t>45</w:t>
            </w:r>
            <w:r>
              <w:rPr>
                <w:rFonts w:hint="eastAsia"/>
                <w:bCs/>
                <w:color w:val="auto"/>
                <w:szCs w:val="21"/>
              </w:rPr>
              <w:t>t/a</w:t>
            </w:r>
          </w:p>
        </w:tc>
        <w:tc>
          <w:tcPr>
            <w:tcW w:w="1568" w:type="dxa"/>
            <w:shd w:val="clear" w:color="auto" w:fill="auto"/>
            <w:vAlign w:val="center"/>
          </w:tcPr>
          <w:p w14:paraId="75134F39">
            <w:pPr>
              <w:pStyle w:val="9"/>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olor w:val="auto"/>
                <w:szCs w:val="21"/>
                <w:lang w:eastAsia="zh-CN"/>
              </w:rPr>
              <w:t>/</w:t>
            </w:r>
          </w:p>
        </w:tc>
        <w:tc>
          <w:tcPr>
            <w:tcW w:w="1547" w:type="dxa"/>
            <w:shd w:val="clear" w:color="auto" w:fill="auto"/>
            <w:vAlign w:val="center"/>
          </w:tcPr>
          <w:p w14:paraId="6463BD9E">
            <w:pPr>
              <w:jc w:val="center"/>
              <w:rPr>
                <w:rFonts w:hint="default" w:ascii="Times New Roman" w:hAnsi="Times New Roman" w:eastAsia="宋体" w:cs="Times New Roman"/>
                <w:color w:val="auto"/>
                <w:kern w:val="2"/>
                <w:sz w:val="21"/>
                <w:szCs w:val="24"/>
                <w:highlight w:val="none"/>
                <w:lang w:val="en-US" w:eastAsia="zh-CN" w:bidi="ar-SA"/>
              </w:rPr>
            </w:pPr>
            <w:r>
              <w:rPr>
                <w:rFonts w:hint="eastAsia"/>
                <w:color w:val="auto"/>
                <w:highlight w:val="none"/>
                <w:lang w:val="en-US" w:eastAsia="zh-CN"/>
              </w:rPr>
              <w:t>45</w:t>
            </w:r>
            <w:r>
              <w:rPr>
                <w:rFonts w:hint="eastAsia"/>
                <w:bCs/>
                <w:color w:val="auto"/>
                <w:szCs w:val="21"/>
              </w:rPr>
              <w:t>t/a</w:t>
            </w:r>
          </w:p>
        </w:tc>
        <w:tc>
          <w:tcPr>
            <w:tcW w:w="1290" w:type="dxa"/>
            <w:shd w:val="clear" w:color="auto" w:fill="auto"/>
            <w:vAlign w:val="center"/>
          </w:tcPr>
          <w:p w14:paraId="51C447A3">
            <w:pPr>
              <w:jc w:val="center"/>
              <w:rPr>
                <w:rFonts w:hint="default" w:ascii="Times New Roman" w:hAnsi="Times New Roman" w:eastAsia="宋体" w:cs="Times New Roman"/>
                <w:color w:val="auto"/>
                <w:kern w:val="2"/>
                <w:sz w:val="21"/>
                <w:szCs w:val="21"/>
                <w:lang w:val="en-US" w:eastAsia="zh-CN" w:bidi="ar-SA"/>
              </w:rPr>
            </w:pPr>
            <w:r>
              <w:rPr>
                <w:rFonts w:hint="eastAsia"/>
                <w:color w:val="auto"/>
                <w:highlight w:val="none"/>
                <w:lang w:val="en-US" w:eastAsia="zh-CN"/>
              </w:rPr>
              <w:t>+45</w:t>
            </w:r>
            <w:r>
              <w:rPr>
                <w:rFonts w:hint="eastAsia"/>
                <w:bCs/>
                <w:color w:val="auto"/>
                <w:szCs w:val="21"/>
              </w:rPr>
              <w:t>t/a</w:t>
            </w:r>
          </w:p>
        </w:tc>
      </w:tr>
    </w:tbl>
    <w:p w14:paraId="1F275406">
      <w:pPr>
        <w:pStyle w:val="58"/>
        <w:spacing w:before="192" w:beforeLines="80" w:after="24"/>
        <w:jc w:val="left"/>
        <w:rPr>
          <w:rFonts w:hint="eastAsia" w:hAnsi="宋体"/>
          <w:snapToGrid w:val="0"/>
          <w:color w:val="auto"/>
          <w:spacing w:val="-6"/>
          <w:kern w:val="21"/>
          <w:szCs w:val="21"/>
        </w:rPr>
        <w:sectPr>
          <w:footerReference r:id="rId6" w:type="default"/>
          <w:pgSz w:w="16838" w:h="11906" w:orient="landscape"/>
          <w:pgMar w:top="1417" w:right="1701" w:bottom="1417" w:left="1701" w:header="851" w:footer="850" w:gutter="0"/>
          <w:pgBorders>
            <w:top w:val="none" w:sz="0" w:space="0"/>
            <w:left w:val="none" w:sz="0" w:space="0"/>
            <w:bottom w:val="none" w:sz="0" w:space="0"/>
            <w:right w:val="none" w:sz="0" w:space="0"/>
          </w:pgBorders>
          <w:pgNumType w:fmt="decimal"/>
          <w:cols w:space="720" w:num="1"/>
          <w:docGrid w:linePitch="312" w:charSpace="0"/>
        </w:sectPr>
      </w:pPr>
      <w:r>
        <w:rPr>
          <w:rFonts w:hAnsi="宋体"/>
          <w:snapToGrid w:val="0"/>
          <w:color w:val="auto"/>
          <w:kern w:val="21"/>
          <w:szCs w:val="21"/>
        </w:rPr>
        <w:t>注：</w:t>
      </w:r>
      <w:r>
        <w:rPr>
          <w:rFonts w:hAnsi="宋体"/>
          <w:snapToGrid w:val="0"/>
          <w:color w:val="auto"/>
          <w:spacing w:val="-16"/>
          <w:kern w:val="21"/>
          <w:szCs w:val="21"/>
        </w:rPr>
        <w:fldChar w:fldCharType="begin"/>
      </w:r>
      <w:r>
        <w:rPr>
          <w:rFonts w:hAnsi="宋体"/>
          <w:snapToGrid w:val="0"/>
          <w:color w:val="auto"/>
          <w:spacing w:val="-16"/>
          <w:kern w:val="21"/>
          <w:szCs w:val="21"/>
        </w:rPr>
        <w:instrText xml:space="preserve"> = 6 \* GB3 \* MERGEFORMAT </w:instrText>
      </w:r>
      <w:r>
        <w:rPr>
          <w:rFonts w:hAnsi="宋体"/>
          <w:snapToGrid w:val="0"/>
          <w:color w:val="auto"/>
          <w:spacing w:val="-16"/>
          <w:kern w:val="21"/>
          <w:szCs w:val="21"/>
        </w:rPr>
        <w:fldChar w:fldCharType="separate"/>
      </w:r>
      <w:r>
        <w:rPr>
          <w:rFonts w:hint="eastAsia" w:hAnsi="宋体"/>
          <w:color w:val="auto"/>
          <w:szCs w:val="21"/>
        </w:rPr>
        <w:t>⑥</w:t>
      </w:r>
      <w:r>
        <w:rPr>
          <w:rFonts w:hAnsi="宋体"/>
          <w:snapToGrid w:val="0"/>
          <w:color w:val="auto"/>
          <w:spacing w:val="-16"/>
          <w:kern w:val="21"/>
          <w:szCs w:val="21"/>
        </w:rPr>
        <w:fldChar w:fldCharType="end"/>
      </w:r>
      <w:r>
        <w:rPr>
          <w:rFonts w:hAnsi="宋体"/>
          <w:snapToGrid w:val="0"/>
          <w:color w:val="auto"/>
          <w:spacing w:val="-1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1 \* GB3 \* MERGEFORMAT </w:instrText>
      </w:r>
      <w:r>
        <w:rPr>
          <w:rFonts w:hAnsi="宋体"/>
          <w:snapToGrid w:val="0"/>
          <w:color w:val="auto"/>
          <w:spacing w:val="-6"/>
          <w:kern w:val="21"/>
          <w:szCs w:val="21"/>
        </w:rPr>
        <w:fldChar w:fldCharType="separate"/>
      </w:r>
      <w:r>
        <w:rPr>
          <w:rFonts w:hint="eastAsia" w:hAnsi="宋体"/>
          <w:color w:val="auto"/>
          <w:szCs w:val="21"/>
        </w:rPr>
        <w:t>①</w:t>
      </w:r>
      <w:r>
        <w:rPr>
          <w:rFonts w:hAnsi="宋体"/>
          <w:snapToGrid w:val="0"/>
          <w:color w:val="auto"/>
          <w:spacing w:val="-6"/>
          <w:kern w:val="21"/>
          <w:szCs w:val="21"/>
        </w:rPr>
        <w:fldChar w:fldCharType="end"/>
      </w:r>
      <w:r>
        <w:rPr>
          <w:rFonts w:hAnsi="宋体"/>
          <w:snapToGrid w:val="0"/>
          <w:color w:val="auto"/>
          <w:spacing w:val="-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3 \* GB3 \* MERGEFORMAT </w:instrText>
      </w:r>
      <w:r>
        <w:rPr>
          <w:rFonts w:hAnsi="宋体"/>
          <w:snapToGrid w:val="0"/>
          <w:color w:val="auto"/>
          <w:spacing w:val="-6"/>
          <w:kern w:val="21"/>
          <w:szCs w:val="21"/>
        </w:rPr>
        <w:fldChar w:fldCharType="separate"/>
      </w:r>
      <w:r>
        <w:rPr>
          <w:rFonts w:hint="eastAsia" w:hAnsi="宋体"/>
          <w:color w:val="auto"/>
          <w:szCs w:val="21"/>
        </w:rPr>
        <w:t>③</w:t>
      </w:r>
      <w:r>
        <w:rPr>
          <w:rFonts w:hAnsi="宋体"/>
          <w:snapToGrid w:val="0"/>
          <w:color w:val="auto"/>
          <w:spacing w:val="-6"/>
          <w:kern w:val="21"/>
          <w:szCs w:val="21"/>
        </w:rPr>
        <w:fldChar w:fldCharType="end"/>
      </w:r>
      <w:r>
        <w:rPr>
          <w:rFonts w:hAnsi="宋体"/>
          <w:snapToGrid w:val="0"/>
          <w:color w:val="auto"/>
          <w:spacing w:val="-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4 \* GB3 \* MERGEFORMAT </w:instrText>
      </w:r>
      <w:r>
        <w:rPr>
          <w:rFonts w:hAnsi="宋体"/>
          <w:snapToGrid w:val="0"/>
          <w:color w:val="auto"/>
          <w:spacing w:val="-6"/>
          <w:kern w:val="21"/>
          <w:szCs w:val="21"/>
        </w:rPr>
        <w:fldChar w:fldCharType="separate"/>
      </w:r>
      <w:r>
        <w:rPr>
          <w:rFonts w:hint="eastAsia" w:hAnsi="宋体"/>
          <w:color w:val="auto"/>
          <w:szCs w:val="21"/>
        </w:rPr>
        <w:t>④</w:t>
      </w:r>
      <w:r>
        <w:rPr>
          <w:rFonts w:hAnsi="宋体"/>
          <w:snapToGrid w:val="0"/>
          <w:color w:val="auto"/>
          <w:spacing w:val="-6"/>
          <w:kern w:val="21"/>
          <w:szCs w:val="21"/>
        </w:rPr>
        <w:fldChar w:fldCharType="end"/>
      </w:r>
      <w:r>
        <w:rPr>
          <w:rFonts w:hAnsi="宋体"/>
          <w:snapToGrid w:val="0"/>
          <w:color w:val="auto"/>
          <w:spacing w:val="-6"/>
          <w:kern w:val="21"/>
          <w:szCs w:val="21"/>
        </w:rPr>
        <w:t>-</w:t>
      </w:r>
      <w:r>
        <w:rPr>
          <w:rFonts w:hAnsi="宋体"/>
          <w:snapToGrid w:val="0"/>
          <w:color w:val="auto"/>
          <w:spacing w:val="-16"/>
          <w:kern w:val="21"/>
          <w:szCs w:val="21"/>
        </w:rPr>
        <w:fldChar w:fldCharType="begin"/>
      </w:r>
      <w:r>
        <w:rPr>
          <w:rFonts w:hAnsi="宋体"/>
          <w:snapToGrid w:val="0"/>
          <w:color w:val="auto"/>
          <w:spacing w:val="-16"/>
          <w:kern w:val="21"/>
          <w:szCs w:val="21"/>
        </w:rPr>
        <w:instrText xml:space="preserve"> = 5 \* GB3 \* MERGEFORMAT </w:instrText>
      </w:r>
      <w:r>
        <w:rPr>
          <w:rFonts w:hAnsi="宋体"/>
          <w:snapToGrid w:val="0"/>
          <w:color w:val="auto"/>
          <w:spacing w:val="-16"/>
          <w:kern w:val="21"/>
          <w:szCs w:val="21"/>
        </w:rPr>
        <w:fldChar w:fldCharType="separate"/>
      </w:r>
      <w:r>
        <w:rPr>
          <w:rFonts w:hint="eastAsia" w:hAnsi="宋体"/>
          <w:color w:val="auto"/>
          <w:szCs w:val="21"/>
        </w:rPr>
        <w:t>⑤</w:t>
      </w:r>
      <w:r>
        <w:rPr>
          <w:rFonts w:hAnsi="宋体"/>
          <w:snapToGrid w:val="0"/>
          <w:color w:val="auto"/>
          <w:spacing w:val="-16"/>
          <w:kern w:val="21"/>
          <w:szCs w:val="21"/>
        </w:rPr>
        <w:fldChar w:fldCharType="end"/>
      </w:r>
      <w:r>
        <w:rPr>
          <w:rFonts w:hAnsi="宋体"/>
          <w:snapToGrid w:val="0"/>
          <w:color w:val="auto"/>
          <w:spacing w:val="-1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7 \* GB3 \* MERGEFORMAT </w:instrText>
      </w:r>
      <w:r>
        <w:rPr>
          <w:rFonts w:hAnsi="宋体"/>
          <w:snapToGrid w:val="0"/>
          <w:color w:val="auto"/>
          <w:spacing w:val="-6"/>
          <w:kern w:val="21"/>
          <w:szCs w:val="21"/>
        </w:rPr>
        <w:fldChar w:fldCharType="separate"/>
      </w:r>
      <w:r>
        <w:rPr>
          <w:rFonts w:hint="eastAsia" w:hAnsi="宋体"/>
          <w:color w:val="auto"/>
          <w:szCs w:val="21"/>
        </w:rPr>
        <w:t>⑦</w:t>
      </w:r>
      <w:r>
        <w:rPr>
          <w:rFonts w:hAnsi="宋体"/>
          <w:snapToGrid w:val="0"/>
          <w:color w:val="auto"/>
          <w:spacing w:val="-6"/>
          <w:kern w:val="21"/>
          <w:szCs w:val="21"/>
        </w:rPr>
        <w:fldChar w:fldCharType="end"/>
      </w:r>
      <w:r>
        <w:rPr>
          <w:rFonts w:hAnsi="宋体"/>
          <w:snapToGrid w:val="0"/>
          <w:color w:val="auto"/>
          <w:spacing w:val="-6"/>
          <w:kern w:val="21"/>
          <w:szCs w:val="21"/>
        </w:rPr>
        <w:t>=</w:t>
      </w:r>
      <w:r>
        <w:rPr>
          <w:rFonts w:hAnsi="宋体"/>
          <w:snapToGrid w:val="0"/>
          <w:color w:val="auto"/>
          <w:spacing w:val="-16"/>
          <w:kern w:val="21"/>
          <w:szCs w:val="21"/>
        </w:rPr>
        <w:fldChar w:fldCharType="begin"/>
      </w:r>
      <w:r>
        <w:rPr>
          <w:rFonts w:hAnsi="宋体"/>
          <w:snapToGrid w:val="0"/>
          <w:color w:val="auto"/>
          <w:spacing w:val="-16"/>
          <w:kern w:val="21"/>
          <w:szCs w:val="21"/>
        </w:rPr>
        <w:instrText xml:space="preserve"> = 6 \* GB3 \* MERGEFORMAT </w:instrText>
      </w:r>
      <w:r>
        <w:rPr>
          <w:rFonts w:hAnsi="宋体"/>
          <w:snapToGrid w:val="0"/>
          <w:color w:val="auto"/>
          <w:spacing w:val="-16"/>
          <w:kern w:val="21"/>
          <w:szCs w:val="21"/>
        </w:rPr>
        <w:fldChar w:fldCharType="separate"/>
      </w:r>
      <w:r>
        <w:rPr>
          <w:rFonts w:hint="eastAsia" w:hAnsi="宋体"/>
          <w:color w:val="auto"/>
          <w:szCs w:val="21"/>
        </w:rPr>
        <w:t>⑥</w:t>
      </w:r>
      <w:r>
        <w:rPr>
          <w:rFonts w:hAnsi="宋体"/>
          <w:snapToGrid w:val="0"/>
          <w:color w:val="auto"/>
          <w:spacing w:val="-16"/>
          <w:kern w:val="21"/>
          <w:szCs w:val="21"/>
        </w:rPr>
        <w:fldChar w:fldCharType="end"/>
      </w:r>
      <w:r>
        <w:rPr>
          <w:rFonts w:hAnsi="宋体"/>
          <w:snapToGrid w:val="0"/>
          <w:color w:val="auto"/>
          <w:spacing w:val="-1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1 \* GB3 \* MERGEFORMAT </w:instrText>
      </w:r>
      <w:r>
        <w:rPr>
          <w:rFonts w:hAnsi="宋体"/>
          <w:snapToGrid w:val="0"/>
          <w:color w:val="auto"/>
          <w:spacing w:val="-6"/>
          <w:kern w:val="21"/>
          <w:szCs w:val="21"/>
        </w:rPr>
        <w:fldChar w:fldCharType="separate"/>
      </w:r>
      <w:r>
        <w:rPr>
          <w:rFonts w:hint="eastAsia" w:hAnsi="宋体"/>
          <w:color w:val="auto"/>
          <w:szCs w:val="21"/>
        </w:rPr>
        <w:t>①</w:t>
      </w:r>
      <w:r>
        <w:rPr>
          <w:rFonts w:hAnsi="宋体"/>
          <w:snapToGrid w:val="0"/>
          <w:color w:val="auto"/>
          <w:spacing w:val="-6"/>
          <w:kern w:val="21"/>
          <w:szCs w:val="21"/>
        </w:rPr>
        <w:fldChar w:fldCharType="end"/>
      </w:r>
    </w:p>
    <w:p w14:paraId="34041842">
      <w:pPr>
        <w:pStyle w:val="41"/>
        <w:spacing w:before="0" w:after="0"/>
        <w:jc w:val="left"/>
        <w:rPr>
          <w:rFonts w:eastAsia="宋体"/>
          <w:color w:val="auto"/>
        </w:rPr>
      </w:pPr>
      <w:r>
        <w:rPr>
          <w:rFonts w:eastAsia="宋体"/>
          <w:color w:val="auto"/>
        </w:rPr>
        <w:t>附图1项目地理位置图</w:t>
      </w:r>
    </w:p>
    <w:tbl>
      <w:tblPr>
        <w:tblStyle w:val="32"/>
        <w:tblW w:w="952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24"/>
      </w:tblGrid>
      <w:tr w14:paraId="08A60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24" w:type="dxa"/>
          </w:tcPr>
          <w:p w14:paraId="407D7436">
            <w:pPr>
              <w:rPr>
                <w:rFonts w:hint="eastAsia" w:eastAsia="宋体"/>
                <w:color w:val="auto"/>
                <w:vertAlign w:val="baseline"/>
                <w:lang w:eastAsia="zh-CN"/>
              </w:rPr>
            </w:pPr>
            <w:r>
              <w:rPr>
                <w:rFonts w:eastAsia="宋体"/>
                <w:color w:val="auto"/>
              </w:rPr>
              <mc:AlternateContent>
                <mc:Choice Requires="wps">
                  <w:drawing>
                    <wp:anchor distT="0" distB="0" distL="114300" distR="114300" simplePos="0" relativeHeight="251669504" behindDoc="0" locked="0" layoutInCell="1" allowOverlap="1">
                      <wp:simplePos x="0" y="0"/>
                      <wp:positionH relativeFrom="column">
                        <wp:posOffset>2249805</wp:posOffset>
                      </wp:positionH>
                      <wp:positionV relativeFrom="paragraph">
                        <wp:posOffset>3713480</wp:posOffset>
                      </wp:positionV>
                      <wp:extent cx="1063625" cy="381000"/>
                      <wp:effectExtent l="0" t="0" r="0" b="0"/>
                      <wp:wrapNone/>
                      <wp:docPr id="156" name="文本框 156"/>
                      <wp:cNvGraphicFramePr/>
                      <a:graphic xmlns:a="http://schemas.openxmlformats.org/drawingml/2006/main">
                        <a:graphicData uri="http://schemas.microsoft.com/office/word/2010/wordprocessingShape">
                          <wps:wsp>
                            <wps:cNvSpPr txBox="1"/>
                            <wps:spPr>
                              <a:xfrm>
                                <a:off x="0" y="0"/>
                                <a:ext cx="1063625" cy="3810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050055">
                                  <w:pPr>
                                    <w:rPr>
                                      <w:rFonts w:hint="eastAsia" w:eastAsia="宋体"/>
                                      <w:color w:val="FF0000"/>
                                      <w:lang w:eastAsia="zh-CN"/>
                                    </w:rPr>
                                  </w:pPr>
                                  <w:r>
                                    <w:rPr>
                                      <w:rFonts w:hint="eastAsia"/>
                                      <w:color w:val="FF0000"/>
                                    </w:rPr>
                                    <w:t>本项目</w:t>
                                  </w:r>
                                  <w:r>
                                    <w:rPr>
                                      <w:rFonts w:hint="eastAsia"/>
                                      <w:color w:val="FF0000"/>
                                      <w:lang w:eastAsia="zh-CN"/>
                                    </w:rPr>
                                    <w:t>所在地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7.15pt;margin-top:292.4pt;height:30pt;width:83.75pt;z-index:251669504;mso-width-relative:page;mso-height-relative:page;" filled="f" stroked="f" coordsize="21600,21600" o:gfxdata="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pBk7M9wAAAALAQAADwAAAAAAAAABACAAAAAiAAAA&#10;ZHJzL2Rvd25yZXYueG1sUEsBAhQAFAAAAAgAh07iQFHGNvI8AgAAagQAAA4AAAAAAAAAAQAgAAAA&#10;KwEAAGRycy9lMm9Eb2MueG1sUEsFBgAAAAAGAAYAWQEAANkFAAAAAA==&#10;">
                      <v:fill on="f" focussize="0,0"/>
                      <v:stroke on="f" weight="0.5pt"/>
                      <v:imagedata o:title=""/>
                      <o:lock v:ext="edit" aspectratio="f"/>
                      <v:textbox>
                        <w:txbxContent>
                          <w:p w14:paraId="27050055">
                            <w:pPr>
                              <w:rPr>
                                <w:rFonts w:hint="eastAsia" w:eastAsia="宋体"/>
                                <w:color w:val="FF0000"/>
                                <w:lang w:eastAsia="zh-CN"/>
                              </w:rPr>
                            </w:pPr>
                            <w:r>
                              <w:rPr>
                                <w:rFonts w:hint="eastAsia"/>
                                <w:color w:val="FF0000"/>
                              </w:rPr>
                              <w:t>本项目</w:t>
                            </w:r>
                            <w:r>
                              <w:rPr>
                                <w:rFonts w:hint="eastAsia"/>
                                <w:color w:val="FF0000"/>
                                <w:lang w:eastAsia="zh-CN"/>
                              </w:rPr>
                              <w:t>所在地</w:t>
                            </w:r>
                          </w:p>
                        </w:txbxContent>
                      </v:textbox>
                    </v:shape>
                  </w:pict>
                </mc:Fallback>
              </mc:AlternateContent>
            </w:r>
            <w:r>
              <w:rPr>
                <w:color w:val="auto"/>
                <w:sz w:val="21"/>
              </w:rPr>
              <mc:AlternateContent>
                <mc:Choice Requires="wps">
                  <w:drawing>
                    <wp:anchor distT="0" distB="0" distL="114300" distR="114300" simplePos="0" relativeHeight="251671552" behindDoc="0" locked="0" layoutInCell="1" allowOverlap="1">
                      <wp:simplePos x="0" y="0"/>
                      <wp:positionH relativeFrom="column">
                        <wp:posOffset>2952750</wp:posOffset>
                      </wp:positionH>
                      <wp:positionV relativeFrom="paragraph">
                        <wp:posOffset>3672840</wp:posOffset>
                      </wp:positionV>
                      <wp:extent cx="288925" cy="126365"/>
                      <wp:effectExtent l="2540" t="11430" r="13335" b="14605"/>
                      <wp:wrapNone/>
                      <wp:docPr id="158" name="直接箭头连接符 158"/>
                      <wp:cNvGraphicFramePr/>
                      <a:graphic xmlns:a="http://schemas.openxmlformats.org/drawingml/2006/main">
                        <a:graphicData uri="http://schemas.microsoft.com/office/word/2010/wordprocessingShape">
                          <wps:wsp>
                            <wps:cNvCnPr/>
                            <wps:spPr>
                              <a:xfrm flipV="1">
                                <a:off x="3516630" y="6686550"/>
                                <a:ext cx="288925" cy="126365"/>
                              </a:xfrm>
                              <a:prstGeom prst="straightConnector1">
                                <a:avLst/>
                              </a:prstGeom>
                              <a:ln>
                                <a:solidFill>
                                  <a:srgbClr val="FF0000"/>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232.5pt;margin-top:289.2pt;height:9.95pt;width:22.75pt;z-index:251671552;mso-width-relative:page;mso-height-relative:page;" filled="f" stroked="t" coordsize="21600,21600" o:gfxdata="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oz5dN&#10;2QAAAAsBAAAPAAAAAAAAAAEAIAAAACIAAABkcnMvZG93bnJldi54bWxQSwECFAAUAAAACACHTuJA&#10;pvbzMCACAAD9AwAADgAAAAAAAAABACAAAAAoAQAAZHJzL2Uyb0RvYy54bWxQSwUGAAAAAAYABgBZ&#10;AQAAugUAAAAA&#10;">
                      <v:fill on="f" focussize="0,0"/>
                      <v:stroke weight="1pt" color="#FF0000 [3204]" miterlimit="8" joinstyle="miter" endarrow="open"/>
                      <v:imagedata o:title=""/>
                      <o:lock v:ext="edit" aspectratio="f"/>
                    </v:shape>
                  </w:pict>
                </mc:Fallback>
              </mc:AlternateContent>
            </w:r>
            <w:r>
              <w:rPr>
                <w:rFonts w:eastAsia="宋体"/>
                <w:color w:val="auto"/>
              </w:rPr>
              <mc:AlternateContent>
                <mc:Choice Requires="wps">
                  <w:drawing>
                    <wp:anchor distT="0" distB="0" distL="114300" distR="114300" simplePos="0" relativeHeight="251670528" behindDoc="0" locked="0" layoutInCell="1" allowOverlap="1">
                      <wp:simplePos x="0" y="0"/>
                      <wp:positionH relativeFrom="column">
                        <wp:posOffset>3258820</wp:posOffset>
                      </wp:positionH>
                      <wp:positionV relativeFrom="paragraph">
                        <wp:posOffset>3587115</wp:posOffset>
                      </wp:positionV>
                      <wp:extent cx="126365" cy="126365"/>
                      <wp:effectExtent l="13970" t="15875" r="31115" b="29210"/>
                      <wp:wrapNone/>
                      <wp:docPr id="157" name="五角星 157"/>
                      <wp:cNvGraphicFramePr/>
                      <a:graphic xmlns:a="http://schemas.openxmlformats.org/drawingml/2006/main">
                        <a:graphicData uri="http://schemas.microsoft.com/office/word/2010/wordprocessingShape">
                          <wps:wsp>
                            <wps:cNvSpPr/>
                            <wps:spPr>
                              <a:xfrm>
                                <a:off x="0" y="0"/>
                                <a:ext cx="126365" cy="126365"/>
                              </a:xfrm>
                              <a:prstGeom prst="star5">
                                <a:avLst/>
                              </a:prstGeom>
                              <a:solidFill>
                                <a:srgbClr val="FF0000"/>
                              </a:solid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56.6pt;margin-top:282.45pt;height:9.95pt;width:9.95pt;z-index:251670528;v-text-anchor:middle;mso-width-relative:page;mso-height-relative:page;" fillcolor="#FF0000" filled="t" stroked="t" coordsize="126365,126365" o:gfxdata="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BA4wn12wAAAAsBAAAPAAAAAAAAAAEAIAAAACIAAABk&#10;cnMvZG93bnJldi54bWxQSwECFAAUAAAACACHTuJATzjl9nUCAAD6BAAADgAAAAAAAAABACAAAAAq&#10;AQAAZHJzL2Uyb0RvYy54bWxQSwUGAAAAAAYABgBZAQAAEQYAAAAA&#10;" path="m0,48267l48267,48267,63182,0,78097,48267,126364,48267,87315,78097,102231,126364,63182,96533,24133,126364,39049,78097xe">
                      <v:path o:connectlocs="63182,0;0,48267;24133,126364;102231,126364;126364,48267" o:connectangles="247,164,82,82,0"/>
                      <v:fill on="t" focussize="0,0"/>
                      <v:stroke weight="0.5pt" color="#000000 [3213]" miterlimit="8" joinstyle="miter"/>
                      <v:imagedata o:title=""/>
                      <o:lock v:ext="edit" aspectratio="f"/>
                    </v:shape>
                  </w:pict>
                </mc:Fallback>
              </mc:AlternateContent>
            </w:r>
            <w:r>
              <w:rPr>
                <w:rFonts w:eastAsia="宋体"/>
                <w:color w:val="auto"/>
              </w:rPr>
              <mc:AlternateContent>
                <mc:Choice Requires="wps">
                  <w:drawing>
                    <wp:anchor distT="0" distB="0" distL="114300" distR="114300" simplePos="0" relativeHeight="251662336" behindDoc="0" locked="0" layoutInCell="1" allowOverlap="1">
                      <wp:simplePos x="0" y="0"/>
                      <wp:positionH relativeFrom="column">
                        <wp:posOffset>2045970</wp:posOffset>
                      </wp:positionH>
                      <wp:positionV relativeFrom="paragraph">
                        <wp:posOffset>4672965</wp:posOffset>
                      </wp:positionV>
                      <wp:extent cx="1063625" cy="292100"/>
                      <wp:effectExtent l="0" t="0" r="0" b="0"/>
                      <wp:wrapNone/>
                      <wp:docPr id="26" name="文本框 26"/>
                      <wp:cNvGraphicFramePr/>
                      <a:graphic xmlns:a="http://schemas.openxmlformats.org/drawingml/2006/main">
                        <a:graphicData uri="http://schemas.microsoft.com/office/word/2010/wordprocessingShape">
                          <wps:wsp>
                            <wps:cNvSpPr txBox="1"/>
                            <wps:spPr>
                              <a:xfrm>
                                <a:off x="5067300" y="2713355"/>
                                <a:ext cx="1063625" cy="2921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A12F32">
                                  <w:pPr>
                                    <w:rPr>
                                      <w:rFonts w:hint="eastAsia" w:eastAsia="宋体"/>
                                      <w:color w:val="FF0000"/>
                                      <w:lang w:eastAsia="zh-CN"/>
                                    </w:rPr>
                                  </w:pPr>
                                  <w:r>
                                    <w:rPr>
                                      <w:rFonts w:hint="eastAsia"/>
                                      <w:color w:val="FF0000"/>
                                    </w:rPr>
                                    <w:t>本项目</w:t>
                                  </w:r>
                                  <w:r>
                                    <w:rPr>
                                      <w:rFonts w:hint="eastAsia"/>
                                      <w:color w:val="FF0000"/>
                                      <w:lang w:eastAsia="zh-CN"/>
                                    </w:rPr>
                                    <w:t>所在地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1.1pt;margin-top:367.95pt;height:23pt;width:83.75pt;z-index:251662336;mso-width-relative:page;mso-height-relative:page;" filled="f" stroked="f" coordsize="21600,21600" o:gfxdata="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tbSEn3AAAAAsBAAAPAAAAAAAA&#10;AAEAIAAAACIAAABkcnMvZG93bnJldi54bWxQSwECFAAUAAAACACHTuJAPS0NBUcCAAB0BAAADgAA&#10;AAAAAAABACAAAAArAQAAZHJzL2Uyb0RvYy54bWxQSwUGAAAAAAYABgBZAQAA5AUAAAAA&#10;">
                      <v:fill on="f" focussize="0,0"/>
                      <v:stroke on="f" weight="0.5pt"/>
                      <v:imagedata o:title=""/>
                      <o:lock v:ext="edit" aspectratio="f"/>
                      <v:textbox>
                        <w:txbxContent>
                          <w:p w14:paraId="59A12F32">
                            <w:pPr>
                              <w:rPr>
                                <w:rFonts w:hint="eastAsia" w:eastAsia="宋体"/>
                                <w:color w:val="FF0000"/>
                                <w:lang w:eastAsia="zh-CN"/>
                              </w:rPr>
                            </w:pPr>
                            <w:r>
                              <w:rPr>
                                <w:rFonts w:hint="eastAsia"/>
                                <w:color w:val="FF0000"/>
                              </w:rPr>
                              <w:t>本项目</w:t>
                            </w:r>
                            <w:r>
                              <w:rPr>
                                <w:rFonts w:hint="eastAsia"/>
                                <w:color w:val="FF0000"/>
                                <w:lang w:eastAsia="zh-CN"/>
                              </w:rPr>
                              <w:t>所在地</w:t>
                            </w:r>
                          </w:p>
                        </w:txbxContent>
                      </v:textbox>
                    </v:shape>
                  </w:pict>
                </mc:Fallback>
              </mc:AlternateContent>
            </w:r>
            <w:r>
              <w:rPr>
                <w:rFonts w:eastAsia="宋体"/>
                <w:color w:val="auto"/>
              </w:rPr>
              <mc:AlternateContent>
                <mc:Choice Requires="wps">
                  <w:drawing>
                    <wp:anchor distT="0" distB="0" distL="114300" distR="114300" simplePos="0" relativeHeight="251661312" behindDoc="0" locked="0" layoutInCell="1" allowOverlap="1">
                      <wp:simplePos x="0" y="0"/>
                      <wp:positionH relativeFrom="column">
                        <wp:posOffset>2564765</wp:posOffset>
                      </wp:positionH>
                      <wp:positionV relativeFrom="paragraph">
                        <wp:posOffset>4611370</wp:posOffset>
                      </wp:positionV>
                      <wp:extent cx="75565" cy="75565"/>
                      <wp:effectExtent l="13970" t="15875" r="24765" b="22860"/>
                      <wp:wrapNone/>
                      <wp:docPr id="23" name="五角星 23"/>
                      <wp:cNvGraphicFramePr/>
                      <a:graphic xmlns:a="http://schemas.openxmlformats.org/drawingml/2006/main">
                        <a:graphicData uri="http://schemas.microsoft.com/office/word/2010/wordprocessingShape">
                          <wps:wsp>
                            <wps:cNvSpPr/>
                            <wps:spPr>
                              <a:xfrm>
                                <a:off x="5560060" y="3268345"/>
                                <a:ext cx="75565" cy="75565"/>
                              </a:xfrm>
                              <a:prstGeom prst="star5">
                                <a:avLst/>
                              </a:prstGeom>
                              <a:solidFill>
                                <a:srgbClr val="FF0000"/>
                              </a:solid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01.95pt;margin-top:363.1pt;height:5.95pt;width:5.95pt;z-index:251661312;v-text-anchor:middle;mso-width-relative:page;mso-height-relative:page;" fillcolor="#FF0000" filled="t" stroked="t" coordsize="75565,75565" o:gfxdata="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KQTtOvdAAAACwEAAA8AAAAAAAAA&#10;AQAgAAAAIgAAAGRycy9kb3ducmV2LnhtbFBLAQIUABQAAAAIAIdO4kBYkyC2fgIAAAIFAAAOAAAA&#10;AAAAAAEAIAAAACwBAABkcnMvZTJvRG9jLnhtbFBLBQYAAAAABgAGAFkBAAAcBgAAAAA=&#10;" path="m0,28863l28863,28863,37782,0,46701,28863,75564,28863,52213,46701,61133,75564,37782,57726,14431,75564,23351,46701xe">
                      <v:path o:connectlocs="37782,0;0,28863;14431,75564;61133,75564;75564,28863" o:connectangles="247,164,82,82,0"/>
                      <v:fill on="t" focussize="0,0"/>
                      <v:stroke weight="0.5pt" color="#000000 [3213]" miterlimit="8" joinstyle="miter"/>
                      <v:imagedata o:title=""/>
                      <o:lock v:ext="edit" aspectratio="f"/>
                    </v:shape>
                  </w:pict>
                </mc:Fallback>
              </mc:AlternateContent>
            </w:r>
            <w:r>
              <w:rPr>
                <w:color w:val="auto"/>
                <w:sz w:val="21"/>
              </w:rPr>
              <mc:AlternateContent>
                <mc:Choice Requires="wps">
                  <w:drawing>
                    <wp:anchor distT="0" distB="0" distL="114300" distR="114300" simplePos="0" relativeHeight="251668480" behindDoc="0" locked="0" layoutInCell="1" allowOverlap="1">
                      <wp:simplePos x="0" y="0"/>
                      <wp:positionH relativeFrom="column">
                        <wp:posOffset>2176145</wp:posOffset>
                      </wp:positionH>
                      <wp:positionV relativeFrom="paragraph">
                        <wp:posOffset>2454275</wp:posOffset>
                      </wp:positionV>
                      <wp:extent cx="2558415" cy="1701800"/>
                      <wp:effectExtent l="6350" t="6350" r="6985" b="482600"/>
                      <wp:wrapNone/>
                      <wp:docPr id="154" name="矩形标注 154"/>
                      <wp:cNvGraphicFramePr/>
                      <a:graphic xmlns:a="http://schemas.openxmlformats.org/drawingml/2006/main">
                        <a:graphicData uri="http://schemas.microsoft.com/office/word/2010/wordprocessingShape">
                          <wps:wsp>
                            <wps:cNvSpPr/>
                            <wps:spPr>
                              <a:xfrm>
                                <a:off x="3053080" y="5981065"/>
                                <a:ext cx="2558415" cy="1701800"/>
                              </a:xfrm>
                              <a:prstGeom prst="wedgeRectCallout">
                                <a:avLst>
                                  <a:gd name="adj1" fmla="val -31533"/>
                                  <a:gd name="adj2" fmla="val 76567"/>
                                </a:avLst>
                              </a:prstGeom>
                              <a:solidFill>
                                <a:schemeClr val="bg1"/>
                              </a:solid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1B311CC3">
                                  <w:pPr>
                                    <w:jc w:val="center"/>
                                  </w:pPr>
                                  <w:r>
                                    <w:drawing>
                                      <wp:inline distT="0" distB="0" distL="114300" distR="114300">
                                        <wp:extent cx="2359025" cy="1995805"/>
                                        <wp:effectExtent l="0" t="0" r="3175" b="4445"/>
                                        <wp:docPr id="14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5"/>
                                                <pic:cNvPicPr>
                                                  <a:picLocks noChangeAspect="1"/>
                                                </pic:cNvPicPr>
                                              </pic:nvPicPr>
                                              <pic:blipFill>
                                                <a:blip r:embed="rId47"/>
                                                <a:stretch>
                                                  <a:fillRect/>
                                                </a:stretch>
                                              </pic:blipFill>
                                              <pic:spPr>
                                                <a:xfrm>
                                                  <a:off x="0" y="0"/>
                                                  <a:ext cx="2359025" cy="19958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171.35pt;margin-top:193.25pt;height:134pt;width:201.45pt;z-index:251668480;v-text-anchor:middle;mso-width-relative:page;mso-height-relative:page;" fillcolor="#FFFFFF [3212]" filled="t" stroked="t" coordsize="21600,21600" o:gfxdata="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B6flqN0AAAALAQAA&#10;DwAAAAAAAAABACAAAAAiAAAAZHJzL2Rvd25yZXYueG1sUEsBAhQAFAAAAAgAh07iQAOfGui/AgAA&#10;dAUAAA4AAAAAAAAAAQAgAAAALAEAAGRycy9lMm9Eb2MueG1sUEsFBgAAAAAGAAYAWQEAAF0GAAAA&#10;AA==&#10;" adj="3989,27338">
                      <v:fill on="t" focussize="0,0"/>
                      <v:stroke weight="1pt" color="#000000 [3213]" miterlimit="8" joinstyle="miter"/>
                      <v:imagedata o:title=""/>
                      <o:lock v:ext="edit" aspectratio="f"/>
                      <v:textbox>
                        <w:txbxContent>
                          <w:p w14:paraId="1B311CC3">
                            <w:pPr>
                              <w:jc w:val="center"/>
                            </w:pPr>
                            <w:r>
                              <w:drawing>
                                <wp:inline distT="0" distB="0" distL="114300" distR="114300">
                                  <wp:extent cx="2359025" cy="1995805"/>
                                  <wp:effectExtent l="0" t="0" r="3175" b="4445"/>
                                  <wp:docPr id="14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5"/>
                                          <pic:cNvPicPr>
                                            <a:picLocks noChangeAspect="1"/>
                                          </pic:cNvPicPr>
                                        </pic:nvPicPr>
                                        <pic:blipFill>
                                          <a:blip r:embed="rId47"/>
                                          <a:stretch>
                                            <a:fillRect/>
                                          </a:stretch>
                                        </pic:blipFill>
                                        <pic:spPr>
                                          <a:xfrm>
                                            <a:off x="0" y="0"/>
                                            <a:ext cx="2359025" cy="1995805"/>
                                          </a:xfrm>
                                          <a:prstGeom prst="rect">
                                            <a:avLst/>
                                          </a:prstGeom>
                                          <a:noFill/>
                                          <a:ln>
                                            <a:noFill/>
                                          </a:ln>
                                        </pic:spPr>
                                      </pic:pic>
                                    </a:graphicData>
                                  </a:graphic>
                                </wp:inline>
                              </w:drawing>
                            </w:r>
                          </w:p>
                        </w:txbxContent>
                      </v:textbox>
                    </v:shape>
                  </w:pict>
                </mc:Fallback>
              </mc:AlternateContent>
            </w:r>
            <w:r>
              <w:rPr>
                <w:rFonts w:hint="eastAsia" w:eastAsia="宋体"/>
                <w:color w:val="auto"/>
                <w:vertAlign w:val="baseline"/>
                <w:lang w:eastAsia="zh-CN"/>
              </w:rPr>
              <w:drawing>
                <wp:inline distT="0" distB="0" distL="114300" distR="114300">
                  <wp:extent cx="5639435" cy="7967345"/>
                  <wp:effectExtent l="0" t="0" r="18415" b="14605"/>
                  <wp:docPr id="6" name="图片 6" descr="闽侯县地图_基本要素版_16开_1_40万_2025年_闽S[2025]239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闽侯县地图_基本要素版_16开_1_40万_2025年_闽S[2025]239号"/>
                          <pic:cNvPicPr>
                            <a:picLocks noChangeAspect="1"/>
                          </pic:cNvPicPr>
                        </pic:nvPicPr>
                        <pic:blipFill>
                          <a:blip r:embed="rId48"/>
                          <a:stretch>
                            <a:fillRect/>
                          </a:stretch>
                        </pic:blipFill>
                        <pic:spPr>
                          <a:xfrm>
                            <a:off x="0" y="0"/>
                            <a:ext cx="5639435" cy="7967345"/>
                          </a:xfrm>
                          <a:prstGeom prst="rect">
                            <a:avLst/>
                          </a:prstGeom>
                        </pic:spPr>
                      </pic:pic>
                    </a:graphicData>
                  </a:graphic>
                </wp:inline>
              </w:drawing>
            </w:r>
          </w:p>
        </w:tc>
      </w:tr>
    </w:tbl>
    <w:p w14:paraId="42ABE056">
      <w:pPr>
        <w:pStyle w:val="2"/>
        <w:ind w:left="0" w:leftChars="0" w:firstLine="0" w:firstLineChars="0"/>
        <w:rPr>
          <w:rFonts w:hint="eastAsia"/>
          <w:lang w:eastAsia="zh-CN"/>
        </w:rPr>
      </w:pPr>
    </w:p>
    <w:sectPr>
      <w:pgSz w:w="11906" w:h="16838"/>
      <w:pgMar w:top="1701" w:right="1531" w:bottom="1701" w:left="1531" w:header="851" w:footer="850"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新宋体-18030">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MingLiU">
    <w:panose1 w:val="02020509000000000000"/>
    <w:charset w:val="88"/>
    <w:family w:val="modern"/>
    <w:pitch w:val="default"/>
    <w:sig w:usb0="A00002FF" w:usb1="28CFFCFA" w:usb2="00000016" w:usb3="00000000" w:csb0="00100001" w:csb1="00000000"/>
  </w:font>
  <w:font w:name="_x000B__x000C_">
    <w:altName w:val="Times New Roman"/>
    <w:panose1 w:val="00000000000000000000"/>
    <w:charset w:val="00"/>
    <w:family w:val="roman"/>
    <w:pitch w:val="default"/>
    <w:sig w:usb0="00000000" w:usb1="00000000" w:usb2="00000000" w:usb3="00000000" w:csb0="00040001" w:csb1="00000000"/>
  </w:font>
  <w:font w:name="新宋体">
    <w:panose1 w:val="02010609030101010101"/>
    <w:charset w:val="86"/>
    <w:family w:val="modern"/>
    <w:pitch w:val="default"/>
    <w:sig w:usb0="00000003" w:usb1="288F0000" w:usb2="0000000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方正小标宋_GBK">
    <w:altName w:val="微软雅黑"/>
    <w:panose1 w:val="02000000000000000000"/>
    <w:charset w:val="86"/>
    <w:family w:val="script"/>
    <w:pitch w:val="default"/>
    <w:sig w:usb0="00000000" w:usb1="00000000" w:usb2="00082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03B3C">
    <w:pPr>
      <w:pStyle w:val="20"/>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73357">
    <w:pPr>
      <w:pStyle w:val="20"/>
      <w:ind w:right="360"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C47E3E">
                          <w:pPr>
                            <w:pStyle w:val="20"/>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44C47E3E">
                    <w:pPr>
                      <w:pStyle w:val="20"/>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239026">
    <w:pPr>
      <w:pStyle w:val="20"/>
      <w:ind w:right="360"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57245A">
                          <w:pPr>
                            <w:pStyle w:val="20"/>
                          </w:pPr>
                          <w:r>
                            <w:t xml:space="preserve">第 </w:t>
                          </w:r>
                          <w:r>
                            <w:fldChar w:fldCharType="begin"/>
                          </w:r>
                          <w:r>
                            <w:instrText xml:space="preserve"> PAGE  \* MERGEFORMAT </w:instrText>
                          </w:r>
                          <w:r>
                            <w:fldChar w:fldCharType="separate"/>
                          </w:r>
                          <w:r>
                            <w:t>82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0MQeM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NJYZpVPz04/vp&#10;58Pp1zeCMwjUuDBD3L1DZGzf2RZtM5wHHCbebeV1+oIRgR/yHi/yijYSni5NJ9NpDheHb9gAP3u8&#10;7nyI74XVJBkF9ahfJys7bELsQ4eQlM3YtVSqq6EypAGJ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0MQeMzAgAAYwQAAA4AAAAAAAAAAQAgAAAAHwEAAGRycy9lMm9Eb2MueG1sUEsF&#10;BgAAAAAGAAYAWQEAAMQFAAAAAA==&#10;">
              <v:fill on="f" focussize="0,0"/>
              <v:stroke on="f" weight="0.5pt"/>
              <v:imagedata o:title=""/>
              <o:lock v:ext="edit" aspectratio="f"/>
              <v:textbox inset="0mm,0mm,0mm,0mm" style="mso-fit-shape-to-text:t;">
                <w:txbxContent>
                  <w:p w14:paraId="5457245A">
                    <w:pPr>
                      <w:pStyle w:val="20"/>
                    </w:pPr>
                    <w:r>
                      <w:t xml:space="preserve">第 </w:t>
                    </w:r>
                    <w:r>
                      <w:fldChar w:fldCharType="begin"/>
                    </w:r>
                    <w:r>
                      <w:instrText xml:space="preserve"> PAGE  \* MERGEFORMAT </w:instrText>
                    </w:r>
                    <w:r>
                      <w:fldChar w:fldCharType="separate"/>
                    </w:r>
                    <w:r>
                      <w:t>82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AF30C">
    <w:pPr>
      <w:pStyle w:val="2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2C17BD"/>
    <w:multiLevelType w:val="singleLevel"/>
    <w:tmpl w:val="862C17BD"/>
    <w:lvl w:ilvl="0" w:tentative="0">
      <w:start w:val="2"/>
      <w:numFmt w:val="decimal"/>
      <w:suff w:val="nothing"/>
      <w:lvlText w:val="（%1）"/>
      <w:lvlJc w:val="left"/>
    </w:lvl>
  </w:abstractNum>
  <w:abstractNum w:abstractNumId="1">
    <w:nsid w:val="A173B3AF"/>
    <w:multiLevelType w:val="singleLevel"/>
    <w:tmpl w:val="A173B3AF"/>
    <w:lvl w:ilvl="0" w:tentative="0">
      <w:start w:val="9"/>
      <w:numFmt w:val="decimal"/>
      <w:suff w:val="nothing"/>
      <w:lvlText w:val="（%1）"/>
      <w:lvlJc w:val="left"/>
    </w:lvl>
  </w:abstractNum>
  <w:abstractNum w:abstractNumId="2">
    <w:nsid w:val="DE1936B5"/>
    <w:multiLevelType w:val="singleLevel"/>
    <w:tmpl w:val="DE1936B5"/>
    <w:lvl w:ilvl="0" w:tentative="0">
      <w:start w:val="5"/>
      <w:numFmt w:val="chineseCounting"/>
      <w:suff w:val="nothing"/>
      <w:lvlText w:val="%1、"/>
      <w:lvlJc w:val="left"/>
      <w:rPr>
        <w:rFonts w:hint="eastAsia"/>
      </w:rPr>
    </w:lvl>
  </w:abstractNum>
  <w:abstractNum w:abstractNumId="3">
    <w:nsid w:val="F0660BBC"/>
    <w:multiLevelType w:val="singleLevel"/>
    <w:tmpl w:val="F0660BBC"/>
    <w:lvl w:ilvl="0" w:tentative="0">
      <w:start w:val="1"/>
      <w:numFmt w:val="decimal"/>
      <w:suff w:val="nothing"/>
      <w:lvlText w:val="%1、"/>
      <w:lvlJc w:val="left"/>
    </w:lvl>
  </w:abstractNum>
  <w:abstractNum w:abstractNumId="4">
    <w:nsid w:val="22BD23EC"/>
    <w:multiLevelType w:val="singleLevel"/>
    <w:tmpl w:val="22BD23EC"/>
    <w:lvl w:ilvl="0" w:tentative="0">
      <w:start w:val="1"/>
      <w:numFmt w:val="decimal"/>
      <w:suff w:val="nothing"/>
      <w:lvlText w:val="（%1）"/>
      <w:lvlJc w:val="left"/>
    </w:lvl>
  </w:abstractNum>
  <w:abstractNum w:abstractNumId="5">
    <w:nsid w:val="7EEBE16D"/>
    <w:multiLevelType w:val="singleLevel"/>
    <w:tmpl w:val="7EEBE16D"/>
    <w:lvl w:ilvl="0" w:tentative="0">
      <w:start w:val="3"/>
      <w:numFmt w:val="decimal"/>
      <w:suff w:val="nothing"/>
      <w:lvlText w:val="（%1）"/>
      <w:lvlJc w:val="left"/>
    </w:lvl>
  </w:abstractNum>
  <w:num w:numId="1">
    <w:abstractNumId w:val="0"/>
  </w:num>
  <w:num w:numId="2">
    <w:abstractNumId w:val="4"/>
  </w:num>
  <w:num w:numId="3">
    <w:abstractNumId w:val="5"/>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bordersDoNotSurroundHeader w:val="0"/>
  <w:bordersDoNotSurroundFooter w:val="0"/>
  <w:hideSpellingErrors/>
  <w:documentProtection w:edit="trackedChanges" w:enforcement="0"/>
  <w:defaultTabStop w:val="420"/>
  <w:doNotHyphenateCaps/>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hiZDAxNzQ5MDE0MTljY2ZjYjM4N2EzNzQ5YTk0NmMifQ=="/>
  </w:docVars>
  <w:rsids>
    <w:rsidRoot w:val="00A14947"/>
    <w:rsid w:val="000060B3"/>
    <w:rsid w:val="0002681C"/>
    <w:rsid w:val="0004364B"/>
    <w:rsid w:val="00045A91"/>
    <w:rsid w:val="00061B1F"/>
    <w:rsid w:val="000718B4"/>
    <w:rsid w:val="000733C4"/>
    <w:rsid w:val="00074783"/>
    <w:rsid w:val="0008070B"/>
    <w:rsid w:val="000810AC"/>
    <w:rsid w:val="00081A02"/>
    <w:rsid w:val="00082231"/>
    <w:rsid w:val="00092D38"/>
    <w:rsid w:val="0009377B"/>
    <w:rsid w:val="000A20C9"/>
    <w:rsid w:val="000B058F"/>
    <w:rsid w:val="000B4467"/>
    <w:rsid w:val="000B4DB9"/>
    <w:rsid w:val="000C09AC"/>
    <w:rsid w:val="000C767F"/>
    <w:rsid w:val="000D5A44"/>
    <w:rsid w:val="000E3ED2"/>
    <w:rsid w:val="00131F42"/>
    <w:rsid w:val="00135562"/>
    <w:rsid w:val="001357F1"/>
    <w:rsid w:val="00140FA8"/>
    <w:rsid w:val="00142FEB"/>
    <w:rsid w:val="00143A2D"/>
    <w:rsid w:val="00145A41"/>
    <w:rsid w:val="00151675"/>
    <w:rsid w:val="00157435"/>
    <w:rsid w:val="00163CE3"/>
    <w:rsid w:val="0017504D"/>
    <w:rsid w:val="0017671A"/>
    <w:rsid w:val="00177422"/>
    <w:rsid w:val="00184590"/>
    <w:rsid w:val="0018536F"/>
    <w:rsid w:val="00186FD8"/>
    <w:rsid w:val="001870D1"/>
    <w:rsid w:val="0018781E"/>
    <w:rsid w:val="0019262D"/>
    <w:rsid w:val="001A1B35"/>
    <w:rsid w:val="001A48A2"/>
    <w:rsid w:val="001A6F61"/>
    <w:rsid w:val="001B4DA0"/>
    <w:rsid w:val="001B72B8"/>
    <w:rsid w:val="001C69B3"/>
    <w:rsid w:val="001D5595"/>
    <w:rsid w:val="001D7874"/>
    <w:rsid w:val="001D7F22"/>
    <w:rsid w:val="001F0F17"/>
    <w:rsid w:val="001F3347"/>
    <w:rsid w:val="001F69E4"/>
    <w:rsid w:val="00211C6A"/>
    <w:rsid w:val="002125B4"/>
    <w:rsid w:val="0021465A"/>
    <w:rsid w:val="002155B8"/>
    <w:rsid w:val="00224839"/>
    <w:rsid w:val="002249B2"/>
    <w:rsid w:val="00226574"/>
    <w:rsid w:val="002278EC"/>
    <w:rsid w:val="0023280E"/>
    <w:rsid w:val="00233651"/>
    <w:rsid w:val="002377D1"/>
    <w:rsid w:val="002506BC"/>
    <w:rsid w:val="00254345"/>
    <w:rsid w:val="00264557"/>
    <w:rsid w:val="002805AB"/>
    <w:rsid w:val="00284204"/>
    <w:rsid w:val="00290338"/>
    <w:rsid w:val="00291773"/>
    <w:rsid w:val="002A168C"/>
    <w:rsid w:val="002A3DC7"/>
    <w:rsid w:val="002B49E2"/>
    <w:rsid w:val="002B7B00"/>
    <w:rsid w:val="002B7C44"/>
    <w:rsid w:val="002C2B17"/>
    <w:rsid w:val="002D3DD0"/>
    <w:rsid w:val="002E1F3A"/>
    <w:rsid w:val="002E298A"/>
    <w:rsid w:val="002E2AF4"/>
    <w:rsid w:val="00301978"/>
    <w:rsid w:val="0030332C"/>
    <w:rsid w:val="003051C2"/>
    <w:rsid w:val="00312296"/>
    <w:rsid w:val="00314F0E"/>
    <w:rsid w:val="00321D8E"/>
    <w:rsid w:val="00325928"/>
    <w:rsid w:val="00332863"/>
    <w:rsid w:val="0033684D"/>
    <w:rsid w:val="00337B42"/>
    <w:rsid w:val="00341B42"/>
    <w:rsid w:val="0034348F"/>
    <w:rsid w:val="0035274D"/>
    <w:rsid w:val="00356653"/>
    <w:rsid w:val="0035743F"/>
    <w:rsid w:val="00357BE2"/>
    <w:rsid w:val="0036170C"/>
    <w:rsid w:val="00366E0F"/>
    <w:rsid w:val="00381A72"/>
    <w:rsid w:val="00382BE3"/>
    <w:rsid w:val="00384676"/>
    <w:rsid w:val="00390857"/>
    <w:rsid w:val="003A4BF3"/>
    <w:rsid w:val="003B420D"/>
    <w:rsid w:val="003C5FFF"/>
    <w:rsid w:val="003C6C16"/>
    <w:rsid w:val="003D794D"/>
    <w:rsid w:val="003E2A48"/>
    <w:rsid w:val="003E3058"/>
    <w:rsid w:val="003E76A9"/>
    <w:rsid w:val="003F0809"/>
    <w:rsid w:val="003F6A8C"/>
    <w:rsid w:val="003F755C"/>
    <w:rsid w:val="00406F01"/>
    <w:rsid w:val="004138C2"/>
    <w:rsid w:val="00416D50"/>
    <w:rsid w:val="00416FD5"/>
    <w:rsid w:val="00417772"/>
    <w:rsid w:val="00420E6A"/>
    <w:rsid w:val="00425A9E"/>
    <w:rsid w:val="00426D6B"/>
    <w:rsid w:val="00431E6C"/>
    <w:rsid w:val="00433CE7"/>
    <w:rsid w:val="00452738"/>
    <w:rsid w:val="00456091"/>
    <w:rsid w:val="00466321"/>
    <w:rsid w:val="0047241D"/>
    <w:rsid w:val="00483572"/>
    <w:rsid w:val="00484B9B"/>
    <w:rsid w:val="004855F6"/>
    <w:rsid w:val="0048661E"/>
    <w:rsid w:val="00494670"/>
    <w:rsid w:val="004A3823"/>
    <w:rsid w:val="004E6946"/>
    <w:rsid w:val="004F1AD8"/>
    <w:rsid w:val="005039CB"/>
    <w:rsid w:val="0050558F"/>
    <w:rsid w:val="00506286"/>
    <w:rsid w:val="00510813"/>
    <w:rsid w:val="00511990"/>
    <w:rsid w:val="00511DE0"/>
    <w:rsid w:val="00514870"/>
    <w:rsid w:val="00514B9B"/>
    <w:rsid w:val="00515624"/>
    <w:rsid w:val="00517F02"/>
    <w:rsid w:val="00524303"/>
    <w:rsid w:val="005258A2"/>
    <w:rsid w:val="005401AE"/>
    <w:rsid w:val="00542E07"/>
    <w:rsid w:val="00543B62"/>
    <w:rsid w:val="00545424"/>
    <w:rsid w:val="00554A7B"/>
    <w:rsid w:val="0055572C"/>
    <w:rsid w:val="0056106A"/>
    <w:rsid w:val="005720AE"/>
    <w:rsid w:val="0058381C"/>
    <w:rsid w:val="00594D77"/>
    <w:rsid w:val="005969E4"/>
    <w:rsid w:val="005A06B7"/>
    <w:rsid w:val="005A1759"/>
    <w:rsid w:val="005A68A7"/>
    <w:rsid w:val="005A72EF"/>
    <w:rsid w:val="005D0886"/>
    <w:rsid w:val="005D36AB"/>
    <w:rsid w:val="005D3CB0"/>
    <w:rsid w:val="005F4476"/>
    <w:rsid w:val="005F645D"/>
    <w:rsid w:val="00617CC3"/>
    <w:rsid w:val="006265EE"/>
    <w:rsid w:val="006377A6"/>
    <w:rsid w:val="00637A3D"/>
    <w:rsid w:val="006411EF"/>
    <w:rsid w:val="0066019D"/>
    <w:rsid w:val="00667B6B"/>
    <w:rsid w:val="006748B8"/>
    <w:rsid w:val="006775C3"/>
    <w:rsid w:val="0069290A"/>
    <w:rsid w:val="0069775A"/>
    <w:rsid w:val="00697813"/>
    <w:rsid w:val="006A3EE8"/>
    <w:rsid w:val="006A72BF"/>
    <w:rsid w:val="006B03F2"/>
    <w:rsid w:val="006B37DC"/>
    <w:rsid w:val="006B4F68"/>
    <w:rsid w:val="006C0592"/>
    <w:rsid w:val="006C272E"/>
    <w:rsid w:val="006C5479"/>
    <w:rsid w:val="006D13B5"/>
    <w:rsid w:val="006E12FF"/>
    <w:rsid w:val="006E607E"/>
    <w:rsid w:val="00706C5D"/>
    <w:rsid w:val="00732922"/>
    <w:rsid w:val="0075162E"/>
    <w:rsid w:val="00754034"/>
    <w:rsid w:val="00756556"/>
    <w:rsid w:val="007618C4"/>
    <w:rsid w:val="00767980"/>
    <w:rsid w:val="00770B19"/>
    <w:rsid w:val="0077463F"/>
    <w:rsid w:val="007836EA"/>
    <w:rsid w:val="00784CDA"/>
    <w:rsid w:val="007906C4"/>
    <w:rsid w:val="007940EA"/>
    <w:rsid w:val="007967E8"/>
    <w:rsid w:val="007A2170"/>
    <w:rsid w:val="007A22BF"/>
    <w:rsid w:val="007A3323"/>
    <w:rsid w:val="007B72B8"/>
    <w:rsid w:val="007B7A58"/>
    <w:rsid w:val="007C21B5"/>
    <w:rsid w:val="007E4BD2"/>
    <w:rsid w:val="007F3843"/>
    <w:rsid w:val="00801393"/>
    <w:rsid w:val="00802F88"/>
    <w:rsid w:val="008052BE"/>
    <w:rsid w:val="0081293E"/>
    <w:rsid w:val="00815465"/>
    <w:rsid w:val="00817E9A"/>
    <w:rsid w:val="008306BD"/>
    <w:rsid w:val="00831A80"/>
    <w:rsid w:val="00833743"/>
    <w:rsid w:val="008340A4"/>
    <w:rsid w:val="008605A4"/>
    <w:rsid w:val="0087135F"/>
    <w:rsid w:val="00872D94"/>
    <w:rsid w:val="00880364"/>
    <w:rsid w:val="00891592"/>
    <w:rsid w:val="00891E9E"/>
    <w:rsid w:val="008A2F68"/>
    <w:rsid w:val="008B4FA6"/>
    <w:rsid w:val="008B5282"/>
    <w:rsid w:val="008B7C17"/>
    <w:rsid w:val="008C2D01"/>
    <w:rsid w:val="008C40E6"/>
    <w:rsid w:val="008C7026"/>
    <w:rsid w:val="008C76D6"/>
    <w:rsid w:val="008D0F7A"/>
    <w:rsid w:val="008D68E4"/>
    <w:rsid w:val="008E0506"/>
    <w:rsid w:val="008E0CFF"/>
    <w:rsid w:val="008E333D"/>
    <w:rsid w:val="008E5D6B"/>
    <w:rsid w:val="008E76F0"/>
    <w:rsid w:val="008F15FE"/>
    <w:rsid w:val="008F2D29"/>
    <w:rsid w:val="008F5187"/>
    <w:rsid w:val="008F60D8"/>
    <w:rsid w:val="00902727"/>
    <w:rsid w:val="0090312B"/>
    <w:rsid w:val="0091736D"/>
    <w:rsid w:val="0093037A"/>
    <w:rsid w:val="0094154D"/>
    <w:rsid w:val="00943AA7"/>
    <w:rsid w:val="0095155F"/>
    <w:rsid w:val="0095315B"/>
    <w:rsid w:val="00954429"/>
    <w:rsid w:val="009563CE"/>
    <w:rsid w:val="00957E73"/>
    <w:rsid w:val="00971AD0"/>
    <w:rsid w:val="00976328"/>
    <w:rsid w:val="0097680D"/>
    <w:rsid w:val="00982438"/>
    <w:rsid w:val="0098404C"/>
    <w:rsid w:val="00985283"/>
    <w:rsid w:val="00995992"/>
    <w:rsid w:val="009A03E5"/>
    <w:rsid w:val="009A0F3B"/>
    <w:rsid w:val="009A1BB4"/>
    <w:rsid w:val="009A2628"/>
    <w:rsid w:val="009A3200"/>
    <w:rsid w:val="009B0897"/>
    <w:rsid w:val="009B7BD9"/>
    <w:rsid w:val="009B7F92"/>
    <w:rsid w:val="009C2F0C"/>
    <w:rsid w:val="009C7DD5"/>
    <w:rsid w:val="009E227D"/>
    <w:rsid w:val="009E5019"/>
    <w:rsid w:val="00A04F1B"/>
    <w:rsid w:val="00A0501B"/>
    <w:rsid w:val="00A14947"/>
    <w:rsid w:val="00A25745"/>
    <w:rsid w:val="00A32A83"/>
    <w:rsid w:val="00A368DB"/>
    <w:rsid w:val="00A423AA"/>
    <w:rsid w:val="00A53EC6"/>
    <w:rsid w:val="00A55C0F"/>
    <w:rsid w:val="00A8713F"/>
    <w:rsid w:val="00A90BA1"/>
    <w:rsid w:val="00A97A9A"/>
    <w:rsid w:val="00AA0671"/>
    <w:rsid w:val="00AA2531"/>
    <w:rsid w:val="00AB1E09"/>
    <w:rsid w:val="00AB5330"/>
    <w:rsid w:val="00AB7747"/>
    <w:rsid w:val="00AC14CE"/>
    <w:rsid w:val="00AC2A56"/>
    <w:rsid w:val="00AD055E"/>
    <w:rsid w:val="00AD47A7"/>
    <w:rsid w:val="00AF0CBF"/>
    <w:rsid w:val="00AF257F"/>
    <w:rsid w:val="00AF33CF"/>
    <w:rsid w:val="00AF4D50"/>
    <w:rsid w:val="00AF6179"/>
    <w:rsid w:val="00B046BA"/>
    <w:rsid w:val="00B1295A"/>
    <w:rsid w:val="00B20A45"/>
    <w:rsid w:val="00B22C5C"/>
    <w:rsid w:val="00B24F30"/>
    <w:rsid w:val="00B31ABF"/>
    <w:rsid w:val="00B33BE3"/>
    <w:rsid w:val="00B53B5D"/>
    <w:rsid w:val="00B6055E"/>
    <w:rsid w:val="00B6317D"/>
    <w:rsid w:val="00B7723F"/>
    <w:rsid w:val="00B80534"/>
    <w:rsid w:val="00B8433C"/>
    <w:rsid w:val="00B87491"/>
    <w:rsid w:val="00BA29E9"/>
    <w:rsid w:val="00BA7142"/>
    <w:rsid w:val="00BB237C"/>
    <w:rsid w:val="00BB41A3"/>
    <w:rsid w:val="00BC32DC"/>
    <w:rsid w:val="00BC35B6"/>
    <w:rsid w:val="00BD1B51"/>
    <w:rsid w:val="00BD4596"/>
    <w:rsid w:val="00BE1405"/>
    <w:rsid w:val="00BE312D"/>
    <w:rsid w:val="00BE640C"/>
    <w:rsid w:val="00BF1C20"/>
    <w:rsid w:val="00C06E0F"/>
    <w:rsid w:val="00C10578"/>
    <w:rsid w:val="00C135BC"/>
    <w:rsid w:val="00C15C95"/>
    <w:rsid w:val="00C2596A"/>
    <w:rsid w:val="00C27537"/>
    <w:rsid w:val="00C328FE"/>
    <w:rsid w:val="00C33507"/>
    <w:rsid w:val="00C4409D"/>
    <w:rsid w:val="00C44E72"/>
    <w:rsid w:val="00C45A06"/>
    <w:rsid w:val="00C47E5B"/>
    <w:rsid w:val="00C61E4B"/>
    <w:rsid w:val="00C64BFF"/>
    <w:rsid w:val="00C704E9"/>
    <w:rsid w:val="00C763C9"/>
    <w:rsid w:val="00C80057"/>
    <w:rsid w:val="00C82232"/>
    <w:rsid w:val="00C82913"/>
    <w:rsid w:val="00C85CAD"/>
    <w:rsid w:val="00C9032D"/>
    <w:rsid w:val="00C972B1"/>
    <w:rsid w:val="00CA2CCE"/>
    <w:rsid w:val="00CA43FD"/>
    <w:rsid w:val="00CA66B3"/>
    <w:rsid w:val="00CA7EF8"/>
    <w:rsid w:val="00CC489B"/>
    <w:rsid w:val="00CD2BCD"/>
    <w:rsid w:val="00CD3A4C"/>
    <w:rsid w:val="00CE10E9"/>
    <w:rsid w:val="00CE2910"/>
    <w:rsid w:val="00CE5393"/>
    <w:rsid w:val="00CF36BE"/>
    <w:rsid w:val="00CF6000"/>
    <w:rsid w:val="00D003F3"/>
    <w:rsid w:val="00D0364F"/>
    <w:rsid w:val="00D06834"/>
    <w:rsid w:val="00D308ED"/>
    <w:rsid w:val="00D36D86"/>
    <w:rsid w:val="00D428AA"/>
    <w:rsid w:val="00D50A34"/>
    <w:rsid w:val="00D53EFA"/>
    <w:rsid w:val="00D94A7C"/>
    <w:rsid w:val="00D95896"/>
    <w:rsid w:val="00DB2983"/>
    <w:rsid w:val="00DC1257"/>
    <w:rsid w:val="00DC3DC0"/>
    <w:rsid w:val="00DC5B2B"/>
    <w:rsid w:val="00DD318D"/>
    <w:rsid w:val="00DF2E12"/>
    <w:rsid w:val="00DF514A"/>
    <w:rsid w:val="00DF6690"/>
    <w:rsid w:val="00DF6804"/>
    <w:rsid w:val="00E0358D"/>
    <w:rsid w:val="00E04323"/>
    <w:rsid w:val="00E070A2"/>
    <w:rsid w:val="00E22FD6"/>
    <w:rsid w:val="00E2656A"/>
    <w:rsid w:val="00E314F7"/>
    <w:rsid w:val="00E412D0"/>
    <w:rsid w:val="00E532B1"/>
    <w:rsid w:val="00E56322"/>
    <w:rsid w:val="00E577E4"/>
    <w:rsid w:val="00E60982"/>
    <w:rsid w:val="00E62C62"/>
    <w:rsid w:val="00E654C1"/>
    <w:rsid w:val="00E65D97"/>
    <w:rsid w:val="00E72A5A"/>
    <w:rsid w:val="00E73354"/>
    <w:rsid w:val="00E9242D"/>
    <w:rsid w:val="00E96477"/>
    <w:rsid w:val="00EB5255"/>
    <w:rsid w:val="00EB5C47"/>
    <w:rsid w:val="00ED0639"/>
    <w:rsid w:val="00EF4755"/>
    <w:rsid w:val="00EF7135"/>
    <w:rsid w:val="00F027DB"/>
    <w:rsid w:val="00F0283C"/>
    <w:rsid w:val="00F14A7A"/>
    <w:rsid w:val="00F20A46"/>
    <w:rsid w:val="00F22985"/>
    <w:rsid w:val="00F3383E"/>
    <w:rsid w:val="00F465A7"/>
    <w:rsid w:val="00F50B7C"/>
    <w:rsid w:val="00F550E6"/>
    <w:rsid w:val="00F74345"/>
    <w:rsid w:val="00F80A0A"/>
    <w:rsid w:val="00F82B19"/>
    <w:rsid w:val="00F9212D"/>
    <w:rsid w:val="00F965DA"/>
    <w:rsid w:val="00FA406A"/>
    <w:rsid w:val="00FA70BD"/>
    <w:rsid w:val="00FB503A"/>
    <w:rsid w:val="00FB516C"/>
    <w:rsid w:val="00FB6786"/>
    <w:rsid w:val="00FC3713"/>
    <w:rsid w:val="00FD0236"/>
    <w:rsid w:val="00FD18F4"/>
    <w:rsid w:val="00FD54DB"/>
    <w:rsid w:val="00FD619F"/>
    <w:rsid w:val="012153E7"/>
    <w:rsid w:val="01290F7E"/>
    <w:rsid w:val="015411C5"/>
    <w:rsid w:val="015711D5"/>
    <w:rsid w:val="015D1E09"/>
    <w:rsid w:val="019D7D29"/>
    <w:rsid w:val="01C26DD5"/>
    <w:rsid w:val="022C0C7C"/>
    <w:rsid w:val="02697903"/>
    <w:rsid w:val="027E3C21"/>
    <w:rsid w:val="028E5E9F"/>
    <w:rsid w:val="02F96569"/>
    <w:rsid w:val="030E0E5C"/>
    <w:rsid w:val="03524728"/>
    <w:rsid w:val="037317E3"/>
    <w:rsid w:val="03D010A3"/>
    <w:rsid w:val="03E2511F"/>
    <w:rsid w:val="03EA7B21"/>
    <w:rsid w:val="04343C8D"/>
    <w:rsid w:val="04863254"/>
    <w:rsid w:val="04CA6527"/>
    <w:rsid w:val="05167156"/>
    <w:rsid w:val="051D4D50"/>
    <w:rsid w:val="0571302A"/>
    <w:rsid w:val="05F83EAE"/>
    <w:rsid w:val="063E7D85"/>
    <w:rsid w:val="064E6EC7"/>
    <w:rsid w:val="06542154"/>
    <w:rsid w:val="068108F9"/>
    <w:rsid w:val="06906489"/>
    <w:rsid w:val="06D7144E"/>
    <w:rsid w:val="06E718C8"/>
    <w:rsid w:val="07120D00"/>
    <w:rsid w:val="07293586"/>
    <w:rsid w:val="07295285"/>
    <w:rsid w:val="07636392"/>
    <w:rsid w:val="077566D6"/>
    <w:rsid w:val="07770C56"/>
    <w:rsid w:val="079F59DC"/>
    <w:rsid w:val="07A657EA"/>
    <w:rsid w:val="07EB5F60"/>
    <w:rsid w:val="08A0750E"/>
    <w:rsid w:val="08A411F5"/>
    <w:rsid w:val="08E47E8F"/>
    <w:rsid w:val="092217DD"/>
    <w:rsid w:val="093A7294"/>
    <w:rsid w:val="0941698B"/>
    <w:rsid w:val="09585CA9"/>
    <w:rsid w:val="09682B9F"/>
    <w:rsid w:val="09762296"/>
    <w:rsid w:val="098F3A5C"/>
    <w:rsid w:val="09906154"/>
    <w:rsid w:val="099850AA"/>
    <w:rsid w:val="09C3736F"/>
    <w:rsid w:val="0A1E7BA8"/>
    <w:rsid w:val="0A263993"/>
    <w:rsid w:val="0A2D3AC2"/>
    <w:rsid w:val="0A5570FE"/>
    <w:rsid w:val="0A737F99"/>
    <w:rsid w:val="0A806DFC"/>
    <w:rsid w:val="0AA755DF"/>
    <w:rsid w:val="0AB245AC"/>
    <w:rsid w:val="0AC554BC"/>
    <w:rsid w:val="0AD83A66"/>
    <w:rsid w:val="0AF939AC"/>
    <w:rsid w:val="0B120D44"/>
    <w:rsid w:val="0B571E01"/>
    <w:rsid w:val="0B7A0D77"/>
    <w:rsid w:val="0B9136C9"/>
    <w:rsid w:val="0BD27BF6"/>
    <w:rsid w:val="0C051C23"/>
    <w:rsid w:val="0C0849EC"/>
    <w:rsid w:val="0C3B3C7D"/>
    <w:rsid w:val="0C731C3B"/>
    <w:rsid w:val="0C8D1555"/>
    <w:rsid w:val="0C9E438E"/>
    <w:rsid w:val="0CAB2EAE"/>
    <w:rsid w:val="0CB43F7B"/>
    <w:rsid w:val="0CE30FA2"/>
    <w:rsid w:val="0D357E30"/>
    <w:rsid w:val="0D3F701D"/>
    <w:rsid w:val="0D4D6BF7"/>
    <w:rsid w:val="0D517D9D"/>
    <w:rsid w:val="0D621C7D"/>
    <w:rsid w:val="0D925CE8"/>
    <w:rsid w:val="0DD23A21"/>
    <w:rsid w:val="0DE32D9D"/>
    <w:rsid w:val="0DE94AD7"/>
    <w:rsid w:val="0E260323"/>
    <w:rsid w:val="0E522F5E"/>
    <w:rsid w:val="0E6754D6"/>
    <w:rsid w:val="0E73034D"/>
    <w:rsid w:val="0EA01045"/>
    <w:rsid w:val="0EBD496C"/>
    <w:rsid w:val="0ED5067C"/>
    <w:rsid w:val="0EE228A3"/>
    <w:rsid w:val="0F115C70"/>
    <w:rsid w:val="0F13775A"/>
    <w:rsid w:val="0F356CB1"/>
    <w:rsid w:val="0F4939CF"/>
    <w:rsid w:val="0F5877ED"/>
    <w:rsid w:val="0F5F45FE"/>
    <w:rsid w:val="0F647B0E"/>
    <w:rsid w:val="0F8E758F"/>
    <w:rsid w:val="0F9A112B"/>
    <w:rsid w:val="0FBD1CE9"/>
    <w:rsid w:val="10185198"/>
    <w:rsid w:val="102435AF"/>
    <w:rsid w:val="10256837"/>
    <w:rsid w:val="102B2DC0"/>
    <w:rsid w:val="103057AB"/>
    <w:rsid w:val="103879E7"/>
    <w:rsid w:val="106D2F64"/>
    <w:rsid w:val="108F175C"/>
    <w:rsid w:val="10B63710"/>
    <w:rsid w:val="10E52A8F"/>
    <w:rsid w:val="10F10820"/>
    <w:rsid w:val="10F793DB"/>
    <w:rsid w:val="10FE4C80"/>
    <w:rsid w:val="110422D5"/>
    <w:rsid w:val="11174014"/>
    <w:rsid w:val="111C2F7A"/>
    <w:rsid w:val="11305326"/>
    <w:rsid w:val="11665CA1"/>
    <w:rsid w:val="116A4932"/>
    <w:rsid w:val="11821E86"/>
    <w:rsid w:val="11D36BCF"/>
    <w:rsid w:val="120862FD"/>
    <w:rsid w:val="1247455D"/>
    <w:rsid w:val="12486388"/>
    <w:rsid w:val="124B54C7"/>
    <w:rsid w:val="124B643A"/>
    <w:rsid w:val="129553F1"/>
    <w:rsid w:val="129B114D"/>
    <w:rsid w:val="12D15108"/>
    <w:rsid w:val="130A6632"/>
    <w:rsid w:val="1342288C"/>
    <w:rsid w:val="13951726"/>
    <w:rsid w:val="13A8576C"/>
    <w:rsid w:val="13B97CAE"/>
    <w:rsid w:val="13C244C9"/>
    <w:rsid w:val="140A100E"/>
    <w:rsid w:val="14396509"/>
    <w:rsid w:val="144C75CB"/>
    <w:rsid w:val="144D7F39"/>
    <w:rsid w:val="145424DA"/>
    <w:rsid w:val="145A413D"/>
    <w:rsid w:val="14737576"/>
    <w:rsid w:val="14A107A4"/>
    <w:rsid w:val="14DD2C3C"/>
    <w:rsid w:val="15007F26"/>
    <w:rsid w:val="1505104C"/>
    <w:rsid w:val="15332CF5"/>
    <w:rsid w:val="154D2390"/>
    <w:rsid w:val="155402C6"/>
    <w:rsid w:val="155C38F5"/>
    <w:rsid w:val="15BF25AC"/>
    <w:rsid w:val="15E26EEC"/>
    <w:rsid w:val="15F35700"/>
    <w:rsid w:val="16087E1D"/>
    <w:rsid w:val="1649797E"/>
    <w:rsid w:val="16722A82"/>
    <w:rsid w:val="16743951"/>
    <w:rsid w:val="169F0C25"/>
    <w:rsid w:val="16A5716A"/>
    <w:rsid w:val="16A62AF9"/>
    <w:rsid w:val="16DA54DE"/>
    <w:rsid w:val="16DB1A7E"/>
    <w:rsid w:val="16E813F8"/>
    <w:rsid w:val="16F83A5D"/>
    <w:rsid w:val="17246B59"/>
    <w:rsid w:val="174A6604"/>
    <w:rsid w:val="17701672"/>
    <w:rsid w:val="17701D14"/>
    <w:rsid w:val="17735226"/>
    <w:rsid w:val="177F5F55"/>
    <w:rsid w:val="179D0863"/>
    <w:rsid w:val="17B97E34"/>
    <w:rsid w:val="17F94A53"/>
    <w:rsid w:val="180D1A9F"/>
    <w:rsid w:val="180D7F45"/>
    <w:rsid w:val="1845486A"/>
    <w:rsid w:val="18576C7B"/>
    <w:rsid w:val="18867EB0"/>
    <w:rsid w:val="18941603"/>
    <w:rsid w:val="189F624C"/>
    <w:rsid w:val="18C16FFA"/>
    <w:rsid w:val="19120228"/>
    <w:rsid w:val="191D72FB"/>
    <w:rsid w:val="194523AC"/>
    <w:rsid w:val="199C0024"/>
    <w:rsid w:val="19B0243D"/>
    <w:rsid w:val="19CB221F"/>
    <w:rsid w:val="1A1C66C0"/>
    <w:rsid w:val="1A42393B"/>
    <w:rsid w:val="1A425F4D"/>
    <w:rsid w:val="1A517529"/>
    <w:rsid w:val="1A75614C"/>
    <w:rsid w:val="1AAD45DE"/>
    <w:rsid w:val="1AB245E7"/>
    <w:rsid w:val="1AF11EF8"/>
    <w:rsid w:val="1AF432EF"/>
    <w:rsid w:val="1B046F80"/>
    <w:rsid w:val="1B3267B5"/>
    <w:rsid w:val="1B40161D"/>
    <w:rsid w:val="1B441859"/>
    <w:rsid w:val="1B6606B1"/>
    <w:rsid w:val="1B765FB2"/>
    <w:rsid w:val="1BC11CA7"/>
    <w:rsid w:val="1BF357C8"/>
    <w:rsid w:val="1C053ABD"/>
    <w:rsid w:val="1C1316BB"/>
    <w:rsid w:val="1C133620"/>
    <w:rsid w:val="1C1A2201"/>
    <w:rsid w:val="1C2135E6"/>
    <w:rsid w:val="1C5C4F5A"/>
    <w:rsid w:val="1C5E7925"/>
    <w:rsid w:val="1C6A3B1F"/>
    <w:rsid w:val="1C77207E"/>
    <w:rsid w:val="1CA44783"/>
    <w:rsid w:val="1CBD687F"/>
    <w:rsid w:val="1CC572D2"/>
    <w:rsid w:val="1CCC67A6"/>
    <w:rsid w:val="1CDA6800"/>
    <w:rsid w:val="1CFD070F"/>
    <w:rsid w:val="1D19047B"/>
    <w:rsid w:val="1D5F6196"/>
    <w:rsid w:val="1D6132A5"/>
    <w:rsid w:val="1D6D22B4"/>
    <w:rsid w:val="1D7A22FD"/>
    <w:rsid w:val="1D7D2235"/>
    <w:rsid w:val="1D8E56D5"/>
    <w:rsid w:val="1DC26EAB"/>
    <w:rsid w:val="1DD501A9"/>
    <w:rsid w:val="1E1876BB"/>
    <w:rsid w:val="1E7A43DA"/>
    <w:rsid w:val="1E965325"/>
    <w:rsid w:val="1EE152BB"/>
    <w:rsid w:val="1F3A4508"/>
    <w:rsid w:val="1F61406A"/>
    <w:rsid w:val="1F6A5DB7"/>
    <w:rsid w:val="1FAF034E"/>
    <w:rsid w:val="1FC07362"/>
    <w:rsid w:val="1FD86EEB"/>
    <w:rsid w:val="1FE05FAE"/>
    <w:rsid w:val="1FE7539E"/>
    <w:rsid w:val="1FEB540F"/>
    <w:rsid w:val="20020FF7"/>
    <w:rsid w:val="200F4200"/>
    <w:rsid w:val="20671BE0"/>
    <w:rsid w:val="207076DD"/>
    <w:rsid w:val="207B4905"/>
    <w:rsid w:val="207C0C13"/>
    <w:rsid w:val="20937974"/>
    <w:rsid w:val="20963CB8"/>
    <w:rsid w:val="20A215C4"/>
    <w:rsid w:val="20A81A1B"/>
    <w:rsid w:val="20B07FB6"/>
    <w:rsid w:val="20B646FB"/>
    <w:rsid w:val="210E200E"/>
    <w:rsid w:val="213B74B1"/>
    <w:rsid w:val="21436C0F"/>
    <w:rsid w:val="2147364C"/>
    <w:rsid w:val="215A2310"/>
    <w:rsid w:val="21613511"/>
    <w:rsid w:val="21A2641D"/>
    <w:rsid w:val="21A85206"/>
    <w:rsid w:val="21DE318A"/>
    <w:rsid w:val="21E309B4"/>
    <w:rsid w:val="21EF5B80"/>
    <w:rsid w:val="22392E23"/>
    <w:rsid w:val="22576990"/>
    <w:rsid w:val="225C47FE"/>
    <w:rsid w:val="22BF24D6"/>
    <w:rsid w:val="22C04851"/>
    <w:rsid w:val="22CD2B36"/>
    <w:rsid w:val="22D171A3"/>
    <w:rsid w:val="22EE5C23"/>
    <w:rsid w:val="22F47480"/>
    <w:rsid w:val="231A2317"/>
    <w:rsid w:val="231A50FC"/>
    <w:rsid w:val="232F1562"/>
    <w:rsid w:val="23A32D29"/>
    <w:rsid w:val="23AA0ABB"/>
    <w:rsid w:val="23B703CE"/>
    <w:rsid w:val="23DE1C48"/>
    <w:rsid w:val="240210CD"/>
    <w:rsid w:val="241C5B22"/>
    <w:rsid w:val="24522A0B"/>
    <w:rsid w:val="24BF09F7"/>
    <w:rsid w:val="24DD612D"/>
    <w:rsid w:val="24DE5F7F"/>
    <w:rsid w:val="24E72767"/>
    <w:rsid w:val="251944FE"/>
    <w:rsid w:val="252D53FE"/>
    <w:rsid w:val="254754EE"/>
    <w:rsid w:val="256A3E9F"/>
    <w:rsid w:val="257051D9"/>
    <w:rsid w:val="258706D4"/>
    <w:rsid w:val="258F07AA"/>
    <w:rsid w:val="259155E8"/>
    <w:rsid w:val="25EC2D81"/>
    <w:rsid w:val="260F3794"/>
    <w:rsid w:val="2618709B"/>
    <w:rsid w:val="26342436"/>
    <w:rsid w:val="26B158B5"/>
    <w:rsid w:val="26BD7A48"/>
    <w:rsid w:val="26C61A12"/>
    <w:rsid w:val="26CA5DFF"/>
    <w:rsid w:val="26CE55DE"/>
    <w:rsid w:val="26DE582F"/>
    <w:rsid w:val="26E04A92"/>
    <w:rsid w:val="26EF7D2D"/>
    <w:rsid w:val="27095411"/>
    <w:rsid w:val="2729436C"/>
    <w:rsid w:val="272D2B62"/>
    <w:rsid w:val="27402F57"/>
    <w:rsid w:val="277057A2"/>
    <w:rsid w:val="277319BF"/>
    <w:rsid w:val="277705DD"/>
    <w:rsid w:val="27786DFF"/>
    <w:rsid w:val="27A02608"/>
    <w:rsid w:val="27E53959"/>
    <w:rsid w:val="282D003A"/>
    <w:rsid w:val="285717B4"/>
    <w:rsid w:val="286E6A8B"/>
    <w:rsid w:val="287E29B6"/>
    <w:rsid w:val="28870697"/>
    <w:rsid w:val="2891187E"/>
    <w:rsid w:val="289D5DF8"/>
    <w:rsid w:val="28D6498F"/>
    <w:rsid w:val="28ED78EB"/>
    <w:rsid w:val="290E2AA2"/>
    <w:rsid w:val="291E22D1"/>
    <w:rsid w:val="29206EB8"/>
    <w:rsid w:val="292A4605"/>
    <w:rsid w:val="29592763"/>
    <w:rsid w:val="29595666"/>
    <w:rsid w:val="2964098D"/>
    <w:rsid w:val="296F1BD7"/>
    <w:rsid w:val="29874881"/>
    <w:rsid w:val="29C459B0"/>
    <w:rsid w:val="29DC582B"/>
    <w:rsid w:val="29E325E0"/>
    <w:rsid w:val="29F66FE5"/>
    <w:rsid w:val="2A060A31"/>
    <w:rsid w:val="2A1040C3"/>
    <w:rsid w:val="2A313471"/>
    <w:rsid w:val="2A452503"/>
    <w:rsid w:val="2A6B62A6"/>
    <w:rsid w:val="2A9F27AA"/>
    <w:rsid w:val="2AD403F1"/>
    <w:rsid w:val="2AEF4CD9"/>
    <w:rsid w:val="2B073965"/>
    <w:rsid w:val="2B096845"/>
    <w:rsid w:val="2B0B3F69"/>
    <w:rsid w:val="2B444276"/>
    <w:rsid w:val="2B57547E"/>
    <w:rsid w:val="2B5C32EC"/>
    <w:rsid w:val="2B7D4349"/>
    <w:rsid w:val="2BA936A8"/>
    <w:rsid w:val="2BBB24DF"/>
    <w:rsid w:val="2BF06C4E"/>
    <w:rsid w:val="2C024811"/>
    <w:rsid w:val="2C054858"/>
    <w:rsid w:val="2C315A5A"/>
    <w:rsid w:val="2C4428F0"/>
    <w:rsid w:val="2C4B1C25"/>
    <w:rsid w:val="2C8B37A0"/>
    <w:rsid w:val="2CB7525E"/>
    <w:rsid w:val="2CD369BC"/>
    <w:rsid w:val="2CE5579C"/>
    <w:rsid w:val="2CFF6BEE"/>
    <w:rsid w:val="2D1A41C9"/>
    <w:rsid w:val="2D3B66B5"/>
    <w:rsid w:val="2D4F0933"/>
    <w:rsid w:val="2D7675BA"/>
    <w:rsid w:val="2D9E56F5"/>
    <w:rsid w:val="2E02522F"/>
    <w:rsid w:val="2E0C4D3B"/>
    <w:rsid w:val="2E16052E"/>
    <w:rsid w:val="2E4D17C7"/>
    <w:rsid w:val="2E667F96"/>
    <w:rsid w:val="2E7E65F3"/>
    <w:rsid w:val="2E8226AB"/>
    <w:rsid w:val="2EA86127"/>
    <w:rsid w:val="2EF40139"/>
    <w:rsid w:val="2F231F0B"/>
    <w:rsid w:val="2F3156FC"/>
    <w:rsid w:val="2F6D6AB7"/>
    <w:rsid w:val="2F9E2F7C"/>
    <w:rsid w:val="2F9F1DA1"/>
    <w:rsid w:val="2FAD5B67"/>
    <w:rsid w:val="2FB64F4E"/>
    <w:rsid w:val="2FD065E6"/>
    <w:rsid w:val="2FD96870"/>
    <w:rsid w:val="2FEA5400"/>
    <w:rsid w:val="2FF146A8"/>
    <w:rsid w:val="30024C38"/>
    <w:rsid w:val="300300E1"/>
    <w:rsid w:val="302623EC"/>
    <w:rsid w:val="30563583"/>
    <w:rsid w:val="30580BC9"/>
    <w:rsid w:val="30677767"/>
    <w:rsid w:val="30754C2E"/>
    <w:rsid w:val="30A27A63"/>
    <w:rsid w:val="30E674FA"/>
    <w:rsid w:val="30E8187D"/>
    <w:rsid w:val="30E84CA0"/>
    <w:rsid w:val="3102018F"/>
    <w:rsid w:val="310E7BF4"/>
    <w:rsid w:val="311E2ED7"/>
    <w:rsid w:val="312A62B8"/>
    <w:rsid w:val="312E1CE5"/>
    <w:rsid w:val="3150173C"/>
    <w:rsid w:val="315619EE"/>
    <w:rsid w:val="315C449C"/>
    <w:rsid w:val="316000BF"/>
    <w:rsid w:val="318D3A34"/>
    <w:rsid w:val="31B82709"/>
    <w:rsid w:val="31CA1B5A"/>
    <w:rsid w:val="31D05482"/>
    <w:rsid w:val="3219799F"/>
    <w:rsid w:val="32235BD5"/>
    <w:rsid w:val="32400B34"/>
    <w:rsid w:val="325859E5"/>
    <w:rsid w:val="325A3C9A"/>
    <w:rsid w:val="326C67A3"/>
    <w:rsid w:val="3289182B"/>
    <w:rsid w:val="329530EF"/>
    <w:rsid w:val="329E6876"/>
    <w:rsid w:val="32B334DF"/>
    <w:rsid w:val="32C1089D"/>
    <w:rsid w:val="32D677C7"/>
    <w:rsid w:val="333015F2"/>
    <w:rsid w:val="334156CB"/>
    <w:rsid w:val="334B6320"/>
    <w:rsid w:val="339E2269"/>
    <w:rsid w:val="33CF32E9"/>
    <w:rsid w:val="33D934D4"/>
    <w:rsid w:val="33E62733"/>
    <w:rsid w:val="33EC1CE6"/>
    <w:rsid w:val="33FE2F6A"/>
    <w:rsid w:val="340E07E5"/>
    <w:rsid w:val="34235BF7"/>
    <w:rsid w:val="34777F6D"/>
    <w:rsid w:val="347F0F65"/>
    <w:rsid w:val="34D2072D"/>
    <w:rsid w:val="34EA6A1B"/>
    <w:rsid w:val="3522556D"/>
    <w:rsid w:val="356A06B7"/>
    <w:rsid w:val="35842899"/>
    <w:rsid w:val="358C5FA8"/>
    <w:rsid w:val="35B63B72"/>
    <w:rsid w:val="35C07028"/>
    <w:rsid w:val="35C15DF1"/>
    <w:rsid w:val="35C41761"/>
    <w:rsid w:val="35CF2B85"/>
    <w:rsid w:val="35FF0CF3"/>
    <w:rsid w:val="36074A7F"/>
    <w:rsid w:val="360B7D37"/>
    <w:rsid w:val="361A491D"/>
    <w:rsid w:val="362416D2"/>
    <w:rsid w:val="365A371D"/>
    <w:rsid w:val="365C0ECC"/>
    <w:rsid w:val="367F656F"/>
    <w:rsid w:val="36923549"/>
    <w:rsid w:val="36B75FBF"/>
    <w:rsid w:val="36BD0C45"/>
    <w:rsid w:val="36DD369F"/>
    <w:rsid w:val="3728528F"/>
    <w:rsid w:val="376673D2"/>
    <w:rsid w:val="37E00298"/>
    <w:rsid w:val="37F537B1"/>
    <w:rsid w:val="3868006C"/>
    <w:rsid w:val="3887644E"/>
    <w:rsid w:val="389023ED"/>
    <w:rsid w:val="38B302F9"/>
    <w:rsid w:val="38F12CD3"/>
    <w:rsid w:val="38F94775"/>
    <w:rsid w:val="39276BA2"/>
    <w:rsid w:val="392971ED"/>
    <w:rsid w:val="39325651"/>
    <w:rsid w:val="393D5691"/>
    <w:rsid w:val="393E60ED"/>
    <w:rsid w:val="39AE4A1B"/>
    <w:rsid w:val="39B72F8C"/>
    <w:rsid w:val="3A10210A"/>
    <w:rsid w:val="3A2B081A"/>
    <w:rsid w:val="3A872856"/>
    <w:rsid w:val="3A956EEA"/>
    <w:rsid w:val="3A9F32B2"/>
    <w:rsid w:val="3B344AFB"/>
    <w:rsid w:val="3B3763D1"/>
    <w:rsid w:val="3B481A4E"/>
    <w:rsid w:val="3B602C78"/>
    <w:rsid w:val="3B612318"/>
    <w:rsid w:val="3BEA2CE9"/>
    <w:rsid w:val="3C232E81"/>
    <w:rsid w:val="3C2F6E1E"/>
    <w:rsid w:val="3C434B4A"/>
    <w:rsid w:val="3C4F64BA"/>
    <w:rsid w:val="3C7B6637"/>
    <w:rsid w:val="3C894FD9"/>
    <w:rsid w:val="3CDA245A"/>
    <w:rsid w:val="3D1E06B7"/>
    <w:rsid w:val="3D76518D"/>
    <w:rsid w:val="3D874827"/>
    <w:rsid w:val="3E1B3888"/>
    <w:rsid w:val="3E31180A"/>
    <w:rsid w:val="3E8C11C3"/>
    <w:rsid w:val="3E9976B5"/>
    <w:rsid w:val="3EDA0523"/>
    <w:rsid w:val="3EF06066"/>
    <w:rsid w:val="3F161F71"/>
    <w:rsid w:val="3F2F36FF"/>
    <w:rsid w:val="3F394A9E"/>
    <w:rsid w:val="3F407734"/>
    <w:rsid w:val="3F634CB3"/>
    <w:rsid w:val="3F8D6AB8"/>
    <w:rsid w:val="3FE02568"/>
    <w:rsid w:val="40065495"/>
    <w:rsid w:val="40260140"/>
    <w:rsid w:val="406638CE"/>
    <w:rsid w:val="40750938"/>
    <w:rsid w:val="407978F2"/>
    <w:rsid w:val="407A6407"/>
    <w:rsid w:val="40DB2B16"/>
    <w:rsid w:val="40ED0A5F"/>
    <w:rsid w:val="40FE492F"/>
    <w:rsid w:val="418D6E40"/>
    <w:rsid w:val="41C37A62"/>
    <w:rsid w:val="41E01022"/>
    <w:rsid w:val="41F97857"/>
    <w:rsid w:val="4200449D"/>
    <w:rsid w:val="420A06E5"/>
    <w:rsid w:val="42271B69"/>
    <w:rsid w:val="423A3BCC"/>
    <w:rsid w:val="423D69FF"/>
    <w:rsid w:val="424E57D2"/>
    <w:rsid w:val="42B26C49"/>
    <w:rsid w:val="42BB5123"/>
    <w:rsid w:val="42E47C90"/>
    <w:rsid w:val="42EB7271"/>
    <w:rsid w:val="433A6FE6"/>
    <w:rsid w:val="43480868"/>
    <w:rsid w:val="43484D22"/>
    <w:rsid w:val="434F5257"/>
    <w:rsid w:val="4350713C"/>
    <w:rsid w:val="436653E0"/>
    <w:rsid w:val="438D7FC8"/>
    <w:rsid w:val="43C4431A"/>
    <w:rsid w:val="43D60B0C"/>
    <w:rsid w:val="43E91A02"/>
    <w:rsid w:val="446E2E4C"/>
    <w:rsid w:val="447A37EF"/>
    <w:rsid w:val="449623F4"/>
    <w:rsid w:val="449F47B6"/>
    <w:rsid w:val="44B951CC"/>
    <w:rsid w:val="44CD14E0"/>
    <w:rsid w:val="44F20B0B"/>
    <w:rsid w:val="45250566"/>
    <w:rsid w:val="452E5F4C"/>
    <w:rsid w:val="45612018"/>
    <w:rsid w:val="458946E9"/>
    <w:rsid w:val="45951BB1"/>
    <w:rsid w:val="45A47C0E"/>
    <w:rsid w:val="45F13C95"/>
    <w:rsid w:val="46291A20"/>
    <w:rsid w:val="46294B40"/>
    <w:rsid w:val="46537EE1"/>
    <w:rsid w:val="46577FD6"/>
    <w:rsid w:val="46696E2A"/>
    <w:rsid w:val="46872B3B"/>
    <w:rsid w:val="46D231A3"/>
    <w:rsid w:val="46D955A7"/>
    <w:rsid w:val="47133957"/>
    <w:rsid w:val="478D6C71"/>
    <w:rsid w:val="479F2023"/>
    <w:rsid w:val="47A07E0C"/>
    <w:rsid w:val="47A45C01"/>
    <w:rsid w:val="47A91A44"/>
    <w:rsid w:val="47EA0445"/>
    <w:rsid w:val="47F042F1"/>
    <w:rsid w:val="4816377C"/>
    <w:rsid w:val="48180D34"/>
    <w:rsid w:val="482C65F8"/>
    <w:rsid w:val="482C6CEE"/>
    <w:rsid w:val="485B3C5B"/>
    <w:rsid w:val="4864115C"/>
    <w:rsid w:val="486863F4"/>
    <w:rsid w:val="4870272E"/>
    <w:rsid w:val="48C339FA"/>
    <w:rsid w:val="48E34123"/>
    <w:rsid w:val="48E5336D"/>
    <w:rsid w:val="49184F24"/>
    <w:rsid w:val="495E4D21"/>
    <w:rsid w:val="499B3E27"/>
    <w:rsid w:val="49A836D5"/>
    <w:rsid w:val="49AE2E73"/>
    <w:rsid w:val="49B10406"/>
    <w:rsid w:val="49C316AB"/>
    <w:rsid w:val="49DC7715"/>
    <w:rsid w:val="49E20049"/>
    <w:rsid w:val="4A023139"/>
    <w:rsid w:val="4A7B576F"/>
    <w:rsid w:val="4A8048F5"/>
    <w:rsid w:val="4AC26EA0"/>
    <w:rsid w:val="4AEC39B8"/>
    <w:rsid w:val="4AF561A9"/>
    <w:rsid w:val="4BBB79AE"/>
    <w:rsid w:val="4BE55741"/>
    <w:rsid w:val="4C0F3FD0"/>
    <w:rsid w:val="4C1D1A13"/>
    <w:rsid w:val="4C3916F3"/>
    <w:rsid w:val="4C4A0649"/>
    <w:rsid w:val="4C746529"/>
    <w:rsid w:val="4C762873"/>
    <w:rsid w:val="4C7E5ECA"/>
    <w:rsid w:val="4C876AA5"/>
    <w:rsid w:val="4CBA252C"/>
    <w:rsid w:val="4CE8363B"/>
    <w:rsid w:val="4D027A90"/>
    <w:rsid w:val="4D082A85"/>
    <w:rsid w:val="4D0E00FB"/>
    <w:rsid w:val="4D131AA5"/>
    <w:rsid w:val="4D176606"/>
    <w:rsid w:val="4D31012C"/>
    <w:rsid w:val="4D6F655E"/>
    <w:rsid w:val="4D896B40"/>
    <w:rsid w:val="4D8C4278"/>
    <w:rsid w:val="4DDE3829"/>
    <w:rsid w:val="4DEC4FB0"/>
    <w:rsid w:val="4DF718C2"/>
    <w:rsid w:val="4DFA160B"/>
    <w:rsid w:val="4E021A0E"/>
    <w:rsid w:val="4E075D8A"/>
    <w:rsid w:val="4E087C6A"/>
    <w:rsid w:val="4E4A4FB0"/>
    <w:rsid w:val="4E5959D6"/>
    <w:rsid w:val="4E8E5A85"/>
    <w:rsid w:val="4EC00FAD"/>
    <w:rsid w:val="4ECD7BC2"/>
    <w:rsid w:val="4ED137BE"/>
    <w:rsid w:val="4F011B1A"/>
    <w:rsid w:val="4F2F0144"/>
    <w:rsid w:val="4F8B0D4F"/>
    <w:rsid w:val="4F9843DC"/>
    <w:rsid w:val="4FAF7F20"/>
    <w:rsid w:val="4FC62A8C"/>
    <w:rsid w:val="4FD63426"/>
    <w:rsid w:val="4FE20F0D"/>
    <w:rsid w:val="4FE51552"/>
    <w:rsid w:val="50326DFE"/>
    <w:rsid w:val="503B276F"/>
    <w:rsid w:val="50504C4B"/>
    <w:rsid w:val="506A23CA"/>
    <w:rsid w:val="50780DED"/>
    <w:rsid w:val="509C6E7C"/>
    <w:rsid w:val="50AD5A59"/>
    <w:rsid w:val="50DE0AB7"/>
    <w:rsid w:val="50E163DF"/>
    <w:rsid w:val="512E165F"/>
    <w:rsid w:val="5162104E"/>
    <w:rsid w:val="5166577A"/>
    <w:rsid w:val="51896B7A"/>
    <w:rsid w:val="518B31D2"/>
    <w:rsid w:val="51B51D64"/>
    <w:rsid w:val="522A251A"/>
    <w:rsid w:val="522C4F1A"/>
    <w:rsid w:val="525B6AED"/>
    <w:rsid w:val="52995311"/>
    <w:rsid w:val="52AD7EAB"/>
    <w:rsid w:val="52FD5AF6"/>
    <w:rsid w:val="53033532"/>
    <w:rsid w:val="532E63B7"/>
    <w:rsid w:val="53526A7A"/>
    <w:rsid w:val="53A039CC"/>
    <w:rsid w:val="53A1505A"/>
    <w:rsid w:val="54063E08"/>
    <w:rsid w:val="54070C4D"/>
    <w:rsid w:val="541571B5"/>
    <w:rsid w:val="543437E8"/>
    <w:rsid w:val="546810E7"/>
    <w:rsid w:val="546A280A"/>
    <w:rsid w:val="547A0955"/>
    <w:rsid w:val="54A51975"/>
    <w:rsid w:val="54AE739C"/>
    <w:rsid w:val="54E560AF"/>
    <w:rsid w:val="54F73313"/>
    <w:rsid w:val="54F80955"/>
    <w:rsid w:val="55073BE1"/>
    <w:rsid w:val="552A715D"/>
    <w:rsid w:val="552E4A1F"/>
    <w:rsid w:val="55515659"/>
    <w:rsid w:val="555170A7"/>
    <w:rsid w:val="555C4224"/>
    <w:rsid w:val="5587536D"/>
    <w:rsid w:val="559B174B"/>
    <w:rsid w:val="55CE0CF4"/>
    <w:rsid w:val="55D902DC"/>
    <w:rsid w:val="566D39BA"/>
    <w:rsid w:val="567B916E"/>
    <w:rsid w:val="56B22A9C"/>
    <w:rsid w:val="56BD2E60"/>
    <w:rsid w:val="56D75C6A"/>
    <w:rsid w:val="572F6B95"/>
    <w:rsid w:val="573C198C"/>
    <w:rsid w:val="57470D47"/>
    <w:rsid w:val="574A2787"/>
    <w:rsid w:val="579914CA"/>
    <w:rsid w:val="57B72A76"/>
    <w:rsid w:val="57C3426C"/>
    <w:rsid w:val="57CA34B8"/>
    <w:rsid w:val="57CE1F93"/>
    <w:rsid w:val="57E40CDA"/>
    <w:rsid w:val="5812712F"/>
    <w:rsid w:val="5814296E"/>
    <w:rsid w:val="5814594F"/>
    <w:rsid w:val="58167A80"/>
    <w:rsid w:val="581D58AE"/>
    <w:rsid w:val="583F5186"/>
    <w:rsid w:val="58610A2C"/>
    <w:rsid w:val="586B2BE2"/>
    <w:rsid w:val="588743D1"/>
    <w:rsid w:val="5887701A"/>
    <w:rsid w:val="589E70D7"/>
    <w:rsid w:val="58A54C29"/>
    <w:rsid w:val="58C22BB5"/>
    <w:rsid w:val="58CB7B00"/>
    <w:rsid w:val="5906298B"/>
    <w:rsid w:val="59212927"/>
    <w:rsid w:val="594F6C9C"/>
    <w:rsid w:val="598C0AC5"/>
    <w:rsid w:val="59BD7DA9"/>
    <w:rsid w:val="59C0439F"/>
    <w:rsid w:val="59D0775B"/>
    <w:rsid w:val="59F7465E"/>
    <w:rsid w:val="59F866DD"/>
    <w:rsid w:val="5A0904B1"/>
    <w:rsid w:val="5A195125"/>
    <w:rsid w:val="5A996D47"/>
    <w:rsid w:val="5A9B028D"/>
    <w:rsid w:val="5ABE2233"/>
    <w:rsid w:val="5ACB2AC1"/>
    <w:rsid w:val="5AE34E01"/>
    <w:rsid w:val="5AE44879"/>
    <w:rsid w:val="5AF926DE"/>
    <w:rsid w:val="5B2B36BA"/>
    <w:rsid w:val="5B37012B"/>
    <w:rsid w:val="5B5557BB"/>
    <w:rsid w:val="5BB115FA"/>
    <w:rsid w:val="5BB2517A"/>
    <w:rsid w:val="5BC502C2"/>
    <w:rsid w:val="5BDF5D95"/>
    <w:rsid w:val="5BEB3201"/>
    <w:rsid w:val="5BFE7528"/>
    <w:rsid w:val="5C583D16"/>
    <w:rsid w:val="5C8E73CE"/>
    <w:rsid w:val="5C9424DA"/>
    <w:rsid w:val="5CAF73FE"/>
    <w:rsid w:val="5CBA70E7"/>
    <w:rsid w:val="5CC30BD3"/>
    <w:rsid w:val="5CD81F25"/>
    <w:rsid w:val="5CFA0384"/>
    <w:rsid w:val="5D585668"/>
    <w:rsid w:val="5D660F7A"/>
    <w:rsid w:val="5D743B24"/>
    <w:rsid w:val="5DA1674A"/>
    <w:rsid w:val="5DE414EA"/>
    <w:rsid w:val="5E2467F1"/>
    <w:rsid w:val="5E425448"/>
    <w:rsid w:val="5E435563"/>
    <w:rsid w:val="5ED03226"/>
    <w:rsid w:val="5EF87428"/>
    <w:rsid w:val="5F0636F5"/>
    <w:rsid w:val="5F1A2B43"/>
    <w:rsid w:val="5F6220C4"/>
    <w:rsid w:val="5F743D6D"/>
    <w:rsid w:val="5FB837BB"/>
    <w:rsid w:val="5FC77D19"/>
    <w:rsid w:val="5FE0669A"/>
    <w:rsid w:val="5FFF3480"/>
    <w:rsid w:val="605C7A83"/>
    <w:rsid w:val="606879E2"/>
    <w:rsid w:val="606B480C"/>
    <w:rsid w:val="607E0E07"/>
    <w:rsid w:val="60867D58"/>
    <w:rsid w:val="60884A27"/>
    <w:rsid w:val="60CC405A"/>
    <w:rsid w:val="60D30461"/>
    <w:rsid w:val="61055DEE"/>
    <w:rsid w:val="61064391"/>
    <w:rsid w:val="611E1325"/>
    <w:rsid w:val="6159427C"/>
    <w:rsid w:val="615B7F5E"/>
    <w:rsid w:val="61655DD2"/>
    <w:rsid w:val="616719B2"/>
    <w:rsid w:val="61B03754"/>
    <w:rsid w:val="61E215D8"/>
    <w:rsid w:val="61E921D8"/>
    <w:rsid w:val="621B3775"/>
    <w:rsid w:val="62364782"/>
    <w:rsid w:val="6260170D"/>
    <w:rsid w:val="628E66AF"/>
    <w:rsid w:val="629A08B2"/>
    <w:rsid w:val="62CF50BD"/>
    <w:rsid w:val="62E0288C"/>
    <w:rsid w:val="62F2456D"/>
    <w:rsid w:val="63555678"/>
    <w:rsid w:val="636C58A3"/>
    <w:rsid w:val="63805D26"/>
    <w:rsid w:val="638C213E"/>
    <w:rsid w:val="6394356A"/>
    <w:rsid w:val="63B82F3F"/>
    <w:rsid w:val="63C61B2C"/>
    <w:rsid w:val="63D40BE9"/>
    <w:rsid w:val="64102431"/>
    <w:rsid w:val="64A5243A"/>
    <w:rsid w:val="64AE6191"/>
    <w:rsid w:val="64B86E4F"/>
    <w:rsid w:val="64F531DE"/>
    <w:rsid w:val="652A0ABE"/>
    <w:rsid w:val="65373578"/>
    <w:rsid w:val="653C4D67"/>
    <w:rsid w:val="654E322D"/>
    <w:rsid w:val="654E74BF"/>
    <w:rsid w:val="657D3408"/>
    <w:rsid w:val="658913C0"/>
    <w:rsid w:val="65BD1551"/>
    <w:rsid w:val="65FF1B05"/>
    <w:rsid w:val="66383443"/>
    <w:rsid w:val="66400D90"/>
    <w:rsid w:val="66447D92"/>
    <w:rsid w:val="667759A4"/>
    <w:rsid w:val="66E66A33"/>
    <w:rsid w:val="66F825B9"/>
    <w:rsid w:val="671407AD"/>
    <w:rsid w:val="671F124A"/>
    <w:rsid w:val="672776D5"/>
    <w:rsid w:val="676A190E"/>
    <w:rsid w:val="677A33C6"/>
    <w:rsid w:val="67A65317"/>
    <w:rsid w:val="67CB2E95"/>
    <w:rsid w:val="67DC47BA"/>
    <w:rsid w:val="67F7706F"/>
    <w:rsid w:val="681F6961"/>
    <w:rsid w:val="68610A2F"/>
    <w:rsid w:val="68805514"/>
    <w:rsid w:val="68937E84"/>
    <w:rsid w:val="69124CA8"/>
    <w:rsid w:val="692B5F5D"/>
    <w:rsid w:val="69316E2F"/>
    <w:rsid w:val="694E2071"/>
    <w:rsid w:val="695F2279"/>
    <w:rsid w:val="69766163"/>
    <w:rsid w:val="697A3B33"/>
    <w:rsid w:val="699902F1"/>
    <w:rsid w:val="69D44760"/>
    <w:rsid w:val="6A076778"/>
    <w:rsid w:val="6A4C7B67"/>
    <w:rsid w:val="6A520EC7"/>
    <w:rsid w:val="6A726F3F"/>
    <w:rsid w:val="6A740072"/>
    <w:rsid w:val="6A740DF7"/>
    <w:rsid w:val="6A865E42"/>
    <w:rsid w:val="6A8C097A"/>
    <w:rsid w:val="6A9832FF"/>
    <w:rsid w:val="6AF87E20"/>
    <w:rsid w:val="6B2A3E5E"/>
    <w:rsid w:val="6B2E1457"/>
    <w:rsid w:val="6B322639"/>
    <w:rsid w:val="6B943965"/>
    <w:rsid w:val="6B9F5ACD"/>
    <w:rsid w:val="6BA50121"/>
    <w:rsid w:val="6BBE626A"/>
    <w:rsid w:val="6BD11F8E"/>
    <w:rsid w:val="6BD3071E"/>
    <w:rsid w:val="6BD90391"/>
    <w:rsid w:val="6C0B54B4"/>
    <w:rsid w:val="6C2C7461"/>
    <w:rsid w:val="6C5A19BE"/>
    <w:rsid w:val="6C5F1F43"/>
    <w:rsid w:val="6C636C38"/>
    <w:rsid w:val="6C64322E"/>
    <w:rsid w:val="6C832718"/>
    <w:rsid w:val="6CAC7696"/>
    <w:rsid w:val="6CB77752"/>
    <w:rsid w:val="6CCE4A51"/>
    <w:rsid w:val="6CF626FE"/>
    <w:rsid w:val="6D04251D"/>
    <w:rsid w:val="6D0B568B"/>
    <w:rsid w:val="6D1559A2"/>
    <w:rsid w:val="6D5576E2"/>
    <w:rsid w:val="6D772419"/>
    <w:rsid w:val="6D840446"/>
    <w:rsid w:val="6D872F14"/>
    <w:rsid w:val="6DB34098"/>
    <w:rsid w:val="6DB545B6"/>
    <w:rsid w:val="6DD663D8"/>
    <w:rsid w:val="6DE02FB4"/>
    <w:rsid w:val="6E514CED"/>
    <w:rsid w:val="6E5876FD"/>
    <w:rsid w:val="6E812104"/>
    <w:rsid w:val="6EB563D5"/>
    <w:rsid w:val="6ED92677"/>
    <w:rsid w:val="6EDC0243"/>
    <w:rsid w:val="6F1A78C6"/>
    <w:rsid w:val="6F225983"/>
    <w:rsid w:val="6F277E3E"/>
    <w:rsid w:val="6F5B4349"/>
    <w:rsid w:val="6F7C00D0"/>
    <w:rsid w:val="6F8C2120"/>
    <w:rsid w:val="6F967E2E"/>
    <w:rsid w:val="6FAA0979"/>
    <w:rsid w:val="6FCD51D3"/>
    <w:rsid w:val="6FDC4C41"/>
    <w:rsid w:val="6FFC5590"/>
    <w:rsid w:val="70227EC6"/>
    <w:rsid w:val="706D1DD0"/>
    <w:rsid w:val="70856B87"/>
    <w:rsid w:val="70907D80"/>
    <w:rsid w:val="70A768F8"/>
    <w:rsid w:val="70D527EE"/>
    <w:rsid w:val="70E417C4"/>
    <w:rsid w:val="711B5F27"/>
    <w:rsid w:val="711C07DB"/>
    <w:rsid w:val="713A52EE"/>
    <w:rsid w:val="715B5300"/>
    <w:rsid w:val="71684BD5"/>
    <w:rsid w:val="717154A7"/>
    <w:rsid w:val="71783906"/>
    <w:rsid w:val="71A55547"/>
    <w:rsid w:val="71A56347"/>
    <w:rsid w:val="71BE707B"/>
    <w:rsid w:val="71C91244"/>
    <w:rsid w:val="71D27F8A"/>
    <w:rsid w:val="71E6005F"/>
    <w:rsid w:val="71EE75D7"/>
    <w:rsid w:val="721455EC"/>
    <w:rsid w:val="72181246"/>
    <w:rsid w:val="722A6C78"/>
    <w:rsid w:val="72354E4C"/>
    <w:rsid w:val="72553024"/>
    <w:rsid w:val="72814508"/>
    <w:rsid w:val="72C2773E"/>
    <w:rsid w:val="72C824F6"/>
    <w:rsid w:val="72DE07DA"/>
    <w:rsid w:val="73122968"/>
    <w:rsid w:val="731F5D5E"/>
    <w:rsid w:val="733A421E"/>
    <w:rsid w:val="736F4F8A"/>
    <w:rsid w:val="73740825"/>
    <w:rsid w:val="73A26E2A"/>
    <w:rsid w:val="73C51AD5"/>
    <w:rsid w:val="7419513C"/>
    <w:rsid w:val="741E793C"/>
    <w:rsid w:val="7425135D"/>
    <w:rsid w:val="745E3944"/>
    <w:rsid w:val="74962955"/>
    <w:rsid w:val="74D96094"/>
    <w:rsid w:val="74E90FB2"/>
    <w:rsid w:val="75330A20"/>
    <w:rsid w:val="756D36D6"/>
    <w:rsid w:val="7575628E"/>
    <w:rsid w:val="75D3234F"/>
    <w:rsid w:val="7609523A"/>
    <w:rsid w:val="761369E3"/>
    <w:rsid w:val="76297253"/>
    <w:rsid w:val="7635099D"/>
    <w:rsid w:val="76526892"/>
    <w:rsid w:val="774E7A33"/>
    <w:rsid w:val="775F37AE"/>
    <w:rsid w:val="77762421"/>
    <w:rsid w:val="77963D45"/>
    <w:rsid w:val="77A318EC"/>
    <w:rsid w:val="77B56B1F"/>
    <w:rsid w:val="77B72E96"/>
    <w:rsid w:val="77C03EAD"/>
    <w:rsid w:val="780F09F4"/>
    <w:rsid w:val="781569ED"/>
    <w:rsid w:val="78741BB3"/>
    <w:rsid w:val="78A90480"/>
    <w:rsid w:val="78D828C3"/>
    <w:rsid w:val="78FB613C"/>
    <w:rsid w:val="78FE53E8"/>
    <w:rsid w:val="790F4305"/>
    <w:rsid w:val="792A4ABA"/>
    <w:rsid w:val="7985467F"/>
    <w:rsid w:val="79B15996"/>
    <w:rsid w:val="79C52F62"/>
    <w:rsid w:val="79FF3C1A"/>
    <w:rsid w:val="7A364017"/>
    <w:rsid w:val="7A6203FA"/>
    <w:rsid w:val="7A621A63"/>
    <w:rsid w:val="7A8265E1"/>
    <w:rsid w:val="7AB91B59"/>
    <w:rsid w:val="7B2247B7"/>
    <w:rsid w:val="7B4D5E76"/>
    <w:rsid w:val="7B686D42"/>
    <w:rsid w:val="7B6B2E98"/>
    <w:rsid w:val="7B841746"/>
    <w:rsid w:val="7BBE1FD6"/>
    <w:rsid w:val="7BEF96B0"/>
    <w:rsid w:val="7C063345"/>
    <w:rsid w:val="7C141CFA"/>
    <w:rsid w:val="7C153E4B"/>
    <w:rsid w:val="7C172F8A"/>
    <w:rsid w:val="7C31419A"/>
    <w:rsid w:val="7C3D240B"/>
    <w:rsid w:val="7C565D29"/>
    <w:rsid w:val="7C636E90"/>
    <w:rsid w:val="7C65489F"/>
    <w:rsid w:val="7C6C5AC7"/>
    <w:rsid w:val="7C6D3FA5"/>
    <w:rsid w:val="7CC6544B"/>
    <w:rsid w:val="7D0239FF"/>
    <w:rsid w:val="7D5C37B8"/>
    <w:rsid w:val="7D5E40CD"/>
    <w:rsid w:val="7DCD56F2"/>
    <w:rsid w:val="7E091837"/>
    <w:rsid w:val="7E864834"/>
    <w:rsid w:val="7EE33248"/>
    <w:rsid w:val="7F001CE7"/>
    <w:rsid w:val="7F1C7FBD"/>
    <w:rsid w:val="7F615C18"/>
    <w:rsid w:val="7F7CFF2D"/>
    <w:rsid w:val="7F845DE2"/>
    <w:rsid w:val="7FA35E19"/>
    <w:rsid w:val="7FAD32E9"/>
    <w:rsid w:val="7FBA527C"/>
    <w:rsid w:val="7FE47E50"/>
    <w:rsid w:val="7FE82D23"/>
    <w:rsid w:val="7FFDD6E2"/>
    <w:rsid w:val="BD7CAA1B"/>
    <w:rsid w:val="F3BF98D9"/>
    <w:rsid w:val="FFD7EE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0" w:semiHidden="0" w:name="heading 2" w:locked="1"/>
    <w:lsdException w:qFormat="1" w:unhideWhenUsed="0" w:uiPriority="0" w:semiHidden="0" w:name="heading 3" w:locked="1"/>
    <w:lsdException w:qFormat="1" w:unhideWhenUsed="0" w:uiPriority="0" w:semiHidden="0" w:name="heading 4" w:locked="1"/>
    <w:lsdException w:qFormat="1" w:unhideWhenUsed="0" w:uiPriority="1" w:semiHidden="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qFormat="1"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nhideWhenUsed="0" w:uiPriority="0" w:semiHidden="0" w:name="caption" w:locked="1"/>
    <w:lsdException w:qFormat="1" w:unhideWhenUsed="0" w:uiPriority="0" w:semiHidden="0" w:name="table of figures" w:locked="1"/>
    <w:lsdException w:unhideWhenUsed="0" w:uiPriority="0" w:semiHidden="0" w:name="envelope address" w:locked="1"/>
    <w:lsdException w:qFormat="1"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qFormat="1"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qFormat="1" w:uiPriority="99" w:semiHidden="0" w:name="Salutation" w:locked="1"/>
    <w:lsdException w:qFormat="1" w:unhideWhenUsed="0" w:uiPriority="0" w:semiHidden="0" w:name="Date"/>
    <w:lsdException w:qFormat="1" w:unhideWhenUsed="0" w:uiPriority="0" w:semiHidden="0" w:name="Body Text First Indent" w:locked="1"/>
    <w:lsdException w:qFormat="1" w:unhideWhenUsed="0" w:uiPriority="0" w:semiHidden="0" w:name="Body Text First Indent 2" w:locked="1"/>
    <w:lsdException w:qFormat="1" w:unhideWhenUsed="0" w:uiPriority="0" w:semiHidden="0" w:name="Note Heading" w:locked="1"/>
    <w:lsdException w:unhideWhenUsed="0" w:uiPriority="0" w:semiHidden="0" w:name="Body Text 2" w:locked="1"/>
    <w:lsdException w:unhideWhenUsed="0" w:uiPriority="0" w:semiHidden="0" w:name="Body Text 3" w:locked="1"/>
    <w:lsdException w:qFormat="1" w:unhideWhenUsed="0" w:uiPriority="0" w:semiHidden="0" w:name="Body Text Indent 2" w:locked="1"/>
    <w:lsdException w:qFormat="1" w:unhideWhenUsed="0" w:uiPriority="99" w:semiHidden="0" w:name="Body Text Indent 3" w:locked="1"/>
    <w:lsdException w:unhideWhenUsed="0" w:uiPriority="0" w:semiHidden="0" w:name="Block Text" w:locked="1"/>
    <w:lsdException w:qFormat="1" w:unhideWhenUsed="0" w:uiPriority="0" w:semiHidden="0" w:name="Hyperlink" w:locked="1"/>
    <w:lsdException w:qFormat="1" w:unhideWhenUsed="0" w:uiPriority="0" w:semiHidden="0" w:name="FollowedHyperlink" w:locked="1"/>
    <w:lsdException w:qFormat="1" w:unhideWhenUsed="0" w:uiPriority="99" w:semiHidden="0" w:name="Strong" w:locked="1"/>
    <w:lsdException w:qFormat="1" w:unhideWhenUsed="0" w:uiPriority="0" w:semiHidden="0" w:name="Emphasis" w:locked="1"/>
    <w:lsdException w:unhideWhenUsed="0" w:uiPriority="0" w:semiHidden="0" w:name="Document Map" w:locked="1"/>
    <w:lsdException w:qFormat="1"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qFormat="1"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qFormat="1"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iPriority="99" w:semiHidden="0" w:name="Normal Table"/>
    <w:lsdException w:qFormat="1" w:unhideWhenUsed="0" w:uiPriority="0" w:semiHidden="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0" w:name="Balloon Text"/>
    <w:lsdException w:qFormat="1" w:unhideWhenUsed="0" w:uiPriority="0" w:semiHidden="0" w:name="Table Grid"/>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2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4">
    <w:name w:val="heading 2"/>
    <w:basedOn w:val="1"/>
    <w:next w:val="1"/>
    <w:link w:val="49"/>
    <w:qFormat/>
    <w:locked/>
    <w:uiPriority w:val="0"/>
    <w:pPr>
      <w:spacing w:line="360" w:lineRule="auto"/>
      <w:ind w:firstLine="180" w:firstLineChars="50"/>
      <w:jc w:val="left"/>
      <w:outlineLvl w:val="1"/>
    </w:pPr>
    <w:rPr>
      <w:rFonts w:hint="eastAsia"/>
      <w:b/>
      <w:kern w:val="0"/>
      <w:sz w:val="24"/>
      <w:szCs w:val="36"/>
    </w:rPr>
  </w:style>
  <w:style w:type="paragraph" w:styleId="5">
    <w:name w:val="heading 3"/>
    <w:basedOn w:val="1"/>
    <w:next w:val="1"/>
    <w:qFormat/>
    <w:locked/>
    <w:uiPriority w:val="0"/>
    <w:pPr>
      <w:keepNext/>
      <w:keepLines/>
      <w:spacing w:line="360" w:lineRule="auto"/>
      <w:ind w:firstLine="360" w:firstLineChars="100"/>
      <w:outlineLvl w:val="2"/>
    </w:pPr>
    <w:rPr>
      <w:rFonts w:hint="eastAsia" w:cs="仿宋_GB2312"/>
      <w:b/>
      <w:sz w:val="24"/>
    </w:rPr>
  </w:style>
  <w:style w:type="paragraph" w:styleId="6">
    <w:name w:val="heading 4"/>
    <w:basedOn w:val="1"/>
    <w:next w:val="1"/>
    <w:qFormat/>
    <w:locked/>
    <w:uiPriority w:val="0"/>
    <w:pPr>
      <w:keepNext/>
      <w:keepLines/>
      <w:spacing w:line="360" w:lineRule="auto"/>
      <w:ind w:firstLine="720" w:firstLineChars="200"/>
      <w:outlineLvl w:val="3"/>
    </w:pPr>
    <w:rPr>
      <w:b/>
      <w:sz w:val="24"/>
    </w:rPr>
  </w:style>
  <w:style w:type="paragraph" w:styleId="7">
    <w:name w:val="heading 5"/>
    <w:basedOn w:val="1"/>
    <w:next w:val="1"/>
    <w:qFormat/>
    <w:locked/>
    <w:uiPriority w:val="1"/>
    <w:pPr>
      <w:outlineLvl w:val="4"/>
    </w:pPr>
    <w:rPr>
      <w:rFonts w:ascii="宋体" w:hAnsi="宋体"/>
      <w:b/>
      <w:bCs/>
    </w:rPr>
  </w:style>
  <w:style w:type="character" w:default="1" w:styleId="33">
    <w:name w:val="Default Paragraph Font"/>
    <w:unhideWhenUsed/>
    <w:qFormat/>
    <w:uiPriority w:val="1"/>
  </w:style>
  <w:style w:type="table" w:default="1" w:styleId="31">
    <w:name w:val="Normal Table"/>
    <w:unhideWhenUsed/>
    <w:qFormat/>
    <w:uiPriority w:val="99"/>
    <w:tblPr>
      <w:tblCellMar>
        <w:top w:w="0" w:type="dxa"/>
        <w:left w:w="108" w:type="dxa"/>
        <w:bottom w:w="0" w:type="dxa"/>
        <w:right w:w="108" w:type="dxa"/>
      </w:tblCellMar>
    </w:tblPr>
  </w:style>
  <w:style w:type="paragraph" w:customStyle="1" w:styleId="2">
    <w:name w:val="正文(首行缩进)"/>
    <w:basedOn w:val="1"/>
    <w:qFormat/>
    <w:uiPriority w:val="0"/>
    <w:pPr>
      <w:adjustRightInd w:val="0"/>
      <w:snapToGrid w:val="0"/>
      <w:spacing w:line="360" w:lineRule="auto"/>
      <w:ind w:firstLine="200" w:firstLineChars="200"/>
    </w:pPr>
    <w:rPr>
      <w:snapToGrid w:val="0"/>
      <w:sz w:val="24"/>
      <w:szCs w:val="25"/>
    </w:rPr>
  </w:style>
  <w:style w:type="paragraph" w:styleId="8">
    <w:name w:val="Note Heading"/>
    <w:basedOn w:val="1"/>
    <w:next w:val="1"/>
    <w:qFormat/>
    <w:locked/>
    <w:uiPriority w:val="0"/>
    <w:pPr>
      <w:jc w:val="center"/>
    </w:pPr>
  </w:style>
  <w:style w:type="paragraph" w:styleId="9">
    <w:name w:val="Normal Indent"/>
    <w:basedOn w:val="1"/>
    <w:next w:val="10"/>
    <w:qFormat/>
    <w:locked/>
    <w:uiPriority w:val="0"/>
    <w:pPr>
      <w:ind w:firstLine="420"/>
    </w:pPr>
    <w:rPr>
      <w:rFonts w:ascii="Calibri" w:hAnsi="Calibri"/>
      <w:szCs w:val="20"/>
    </w:rPr>
  </w:style>
  <w:style w:type="paragraph" w:styleId="10">
    <w:name w:val="envelope return"/>
    <w:basedOn w:val="1"/>
    <w:qFormat/>
    <w:locked/>
    <w:uiPriority w:val="0"/>
    <w:pPr>
      <w:snapToGrid w:val="0"/>
    </w:pPr>
    <w:rPr>
      <w:rFonts w:ascii="Arial" w:hAnsi="Arial"/>
    </w:rPr>
  </w:style>
  <w:style w:type="paragraph" w:styleId="11">
    <w:name w:val="caption"/>
    <w:basedOn w:val="1"/>
    <w:next w:val="1"/>
    <w:qFormat/>
    <w:locked/>
    <w:uiPriority w:val="0"/>
    <w:pPr>
      <w:snapToGrid w:val="0"/>
      <w:spacing w:before="6" w:after="6" w:line="0" w:lineRule="atLeast"/>
    </w:pPr>
    <w:rPr>
      <w:rFonts w:ascii="Arial" w:hAnsi="Arial"/>
      <w:snapToGrid w:val="0"/>
      <w:kern w:val="24"/>
      <w:sz w:val="24"/>
      <w:szCs w:val="28"/>
    </w:rPr>
  </w:style>
  <w:style w:type="paragraph" w:styleId="12">
    <w:name w:val="annotation text"/>
    <w:basedOn w:val="1"/>
    <w:link w:val="59"/>
    <w:semiHidden/>
    <w:qFormat/>
    <w:uiPriority w:val="0"/>
    <w:pPr>
      <w:jc w:val="left"/>
    </w:pPr>
    <w:rPr>
      <w:kern w:val="0"/>
      <w:sz w:val="24"/>
      <w:szCs w:val="20"/>
    </w:rPr>
  </w:style>
  <w:style w:type="paragraph" w:styleId="13">
    <w:name w:val="Salutation"/>
    <w:next w:val="1"/>
    <w:unhideWhenUsed/>
    <w:qFormat/>
    <w:locked/>
    <w:uiPriority w:val="99"/>
    <w:pPr>
      <w:widowControl w:val="0"/>
      <w:spacing w:line="307" w:lineRule="auto"/>
      <w:jc w:val="both"/>
    </w:pPr>
    <w:rPr>
      <w:rFonts w:ascii="Calibri" w:hAnsi="Calibri" w:eastAsia="宋体" w:cs="Times New Roman"/>
      <w:kern w:val="2"/>
      <w:sz w:val="21"/>
      <w:szCs w:val="24"/>
      <w:lang w:val="en-US" w:eastAsia="zh-CN" w:bidi="ar-SA"/>
    </w:rPr>
  </w:style>
  <w:style w:type="paragraph" w:styleId="14">
    <w:name w:val="Body Text"/>
    <w:basedOn w:val="1"/>
    <w:next w:val="15"/>
    <w:link w:val="64"/>
    <w:qFormat/>
    <w:uiPriority w:val="0"/>
    <w:pPr>
      <w:widowControl/>
      <w:snapToGrid w:val="0"/>
      <w:spacing w:before="60" w:after="160" w:line="259" w:lineRule="auto"/>
      <w:ind w:right="113"/>
    </w:pPr>
    <w:rPr>
      <w:kern w:val="0"/>
      <w:sz w:val="18"/>
      <w:szCs w:val="20"/>
    </w:rPr>
  </w:style>
  <w:style w:type="paragraph" w:styleId="15">
    <w:name w:val="Plain Text"/>
    <w:basedOn w:val="1"/>
    <w:next w:val="14"/>
    <w:qFormat/>
    <w:locked/>
    <w:uiPriority w:val="0"/>
    <w:rPr>
      <w:rFonts w:ascii="宋体" w:hAnsi="Courier New" w:cs="Courier New"/>
      <w:szCs w:val="21"/>
    </w:rPr>
  </w:style>
  <w:style w:type="paragraph" w:styleId="16">
    <w:name w:val="Body Text Indent"/>
    <w:basedOn w:val="1"/>
    <w:link w:val="53"/>
    <w:qFormat/>
    <w:uiPriority w:val="0"/>
    <w:pPr>
      <w:spacing w:after="120"/>
      <w:ind w:left="420" w:leftChars="200"/>
    </w:pPr>
    <w:rPr>
      <w:kern w:val="0"/>
      <w:sz w:val="24"/>
      <w:szCs w:val="20"/>
    </w:rPr>
  </w:style>
  <w:style w:type="paragraph" w:styleId="17">
    <w:name w:val="Date"/>
    <w:basedOn w:val="1"/>
    <w:next w:val="1"/>
    <w:link w:val="50"/>
    <w:qFormat/>
    <w:uiPriority w:val="0"/>
    <w:pPr>
      <w:ind w:left="100" w:leftChars="2500"/>
    </w:pPr>
    <w:rPr>
      <w:kern w:val="0"/>
      <w:sz w:val="24"/>
      <w:szCs w:val="20"/>
    </w:rPr>
  </w:style>
  <w:style w:type="paragraph" w:styleId="18">
    <w:name w:val="Body Text Indent 2"/>
    <w:basedOn w:val="1"/>
    <w:qFormat/>
    <w:locked/>
    <w:uiPriority w:val="0"/>
    <w:pPr>
      <w:spacing w:line="360" w:lineRule="auto"/>
      <w:ind w:firstLine="480" w:firstLineChars="200"/>
    </w:pPr>
    <w:rPr>
      <w:sz w:val="24"/>
    </w:rPr>
  </w:style>
  <w:style w:type="paragraph" w:styleId="19">
    <w:name w:val="Balloon Text"/>
    <w:basedOn w:val="1"/>
    <w:link w:val="66"/>
    <w:semiHidden/>
    <w:qFormat/>
    <w:uiPriority w:val="0"/>
    <w:rPr>
      <w:kern w:val="0"/>
      <w:sz w:val="18"/>
      <w:szCs w:val="20"/>
    </w:rPr>
  </w:style>
  <w:style w:type="paragraph" w:styleId="20">
    <w:name w:val="footer"/>
    <w:basedOn w:val="1"/>
    <w:link w:val="68"/>
    <w:qFormat/>
    <w:uiPriority w:val="99"/>
    <w:pPr>
      <w:tabs>
        <w:tab w:val="center" w:pos="4153"/>
        <w:tab w:val="right" w:pos="8306"/>
      </w:tabs>
      <w:snapToGrid w:val="0"/>
      <w:jc w:val="left"/>
    </w:pPr>
    <w:rPr>
      <w:kern w:val="0"/>
      <w:sz w:val="18"/>
      <w:szCs w:val="20"/>
    </w:rPr>
  </w:style>
  <w:style w:type="paragraph" w:styleId="21">
    <w:name w:val="header"/>
    <w:basedOn w:val="1"/>
    <w:link w:val="67"/>
    <w:qFormat/>
    <w:uiPriority w:val="0"/>
    <w:pPr>
      <w:pBdr>
        <w:bottom w:val="single" w:color="auto" w:sz="6" w:space="1"/>
      </w:pBdr>
      <w:tabs>
        <w:tab w:val="center" w:pos="4153"/>
        <w:tab w:val="right" w:pos="8306"/>
      </w:tabs>
      <w:snapToGrid w:val="0"/>
      <w:jc w:val="center"/>
    </w:pPr>
    <w:rPr>
      <w:kern w:val="0"/>
      <w:sz w:val="18"/>
      <w:szCs w:val="20"/>
    </w:rPr>
  </w:style>
  <w:style w:type="paragraph" w:styleId="22">
    <w:name w:val="List"/>
    <w:basedOn w:val="1"/>
    <w:qFormat/>
    <w:locked/>
    <w:uiPriority w:val="0"/>
    <w:pPr>
      <w:widowControl/>
      <w:overflowPunct w:val="0"/>
      <w:autoSpaceDE w:val="0"/>
      <w:autoSpaceDN w:val="0"/>
      <w:adjustRightInd w:val="0"/>
      <w:jc w:val="center"/>
      <w:textAlignment w:val="baseline"/>
    </w:pPr>
    <w:rPr>
      <w:kern w:val="0"/>
      <w:lang w:val="en-GB"/>
    </w:rPr>
  </w:style>
  <w:style w:type="paragraph" w:styleId="23">
    <w:name w:val="Body Text Indent 3"/>
    <w:basedOn w:val="1"/>
    <w:link w:val="65"/>
    <w:qFormat/>
    <w:locked/>
    <w:uiPriority w:val="99"/>
    <w:pPr>
      <w:widowControl/>
      <w:ind w:firstLine="552" w:firstLineChars="200"/>
    </w:pPr>
    <w:rPr>
      <w:spacing w:val="-2"/>
      <w:kern w:val="0"/>
      <w:sz w:val="20"/>
      <w:szCs w:val="20"/>
    </w:rPr>
  </w:style>
  <w:style w:type="paragraph" w:styleId="24">
    <w:name w:val="table of figures"/>
    <w:basedOn w:val="1"/>
    <w:next w:val="1"/>
    <w:qFormat/>
    <w:locked/>
    <w:uiPriority w:val="0"/>
    <w:pPr>
      <w:ind w:left="200" w:leftChars="200" w:hanging="200" w:hangingChars="200"/>
    </w:pPr>
  </w:style>
  <w:style w:type="paragraph" w:styleId="25">
    <w:name w:val="toc 9"/>
    <w:basedOn w:val="1"/>
    <w:next w:val="1"/>
    <w:qFormat/>
    <w:locked/>
    <w:uiPriority w:val="0"/>
    <w:pPr>
      <w:widowControl/>
      <w:wordWrap w:val="0"/>
      <w:ind w:left="2975"/>
    </w:pPr>
    <w:rPr>
      <w:szCs w:val="22"/>
    </w:rPr>
  </w:style>
  <w:style w:type="paragraph" w:styleId="26">
    <w:name w:val="HTML Preformatted"/>
    <w:basedOn w:val="1"/>
    <w:qFormat/>
    <w:locked/>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Cs w:val="21"/>
    </w:rPr>
  </w:style>
  <w:style w:type="paragraph" w:styleId="27">
    <w:name w:val="Normal (Web)"/>
    <w:basedOn w:val="1"/>
    <w:link w:val="63"/>
    <w:qFormat/>
    <w:uiPriority w:val="0"/>
    <w:pPr>
      <w:widowControl/>
      <w:spacing w:before="100" w:beforeAutospacing="1" w:after="100" w:afterAutospacing="1"/>
      <w:jc w:val="left"/>
    </w:pPr>
    <w:rPr>
      <w:rFonts w:ascii="宋体" w:hAnsi="宋体"/>
      <w:kern w:val="0"/>
      <w:sz w:val="24"/>
      <w:szCs w:val="20"/>
    </w:rPr>
  </w:style>
  <w:style w:type="paragraph" w:styleId="28">
    <w:name w:val="annotation subject"/>
    <w:basedOn w:val="12"/>
    <w:next w:val="12"/>
    <w:link w:val="62"/>
    <w:qFormat/>
    <w:uiPriority w:val="0"/>
    <w:rPr>
      <w:b/>
    </w:rPr>
  </w:style>
  <w:style w:type="paragraph" w:styleId="29">
    <w:name w:val="Body Text First Indent"/>
    <w:basedOn w:val="14"/>
    <w:next w:val="1"/>
    <w:qFormat/>
    <w:locked/>
    <w:uiPriority w:val="0"/>
    <w:pPr>
      <w:spacing w:after="120"/>
      <w:ind w:firstLine="420" w:firstLineChars="100"/>
    </w:pPr>
    <w:rPr>
      <w:sz w:val="24"/>
      <w:szCs w:val="24"/>
    </w:rPr>
  </w:style>
  <w:style w:type="paragraph" w:styleId="30">
    <w:name w:val="Body Text First Indent 2"/>
    <w:basedOn w:val="1"/>
    <w:next w:val="29"/>
    <w:qFormat/>
    <w:locked/>
    <w:uiPriority w:val="0"/>
    <w:pPr>
      <w:adjustRightInd w:val="0"/>
      <w:spacing w:line="360" w:lineRule="atLeast"/>
      <w:ind w:left="0" w:leftChars="0" w:firstLine="210"/>
      <w:jc w:val="left"/>
      <w:textAlignment w:val="baseline"/>
    </w:pPr>
    <w:rPr>
      <w:rFonts w:eastAsia="楷体_GB2312"/>
    </w:rPr>
  </w:style>
  <w:style w:type="table" w:styleId="32">
    <w:name w:val="Table Grid"/>
    <w:basedOn w:val="3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basedOn w:val="33"/>
    <w:qFormat/>
    <w:locked/>
    <w:uiPriority w:val="99"/>
    <w:rPr>
      <w:rFonts w:ascii="Times New Roman" w:hAnsi="Times New Roman" w:eastAsia="宋体" w:cs="Times New Roman"/>
      <w:bCs/>
      <w:sz w:val="21"/>
    </w:rPr>
  </w:style>
  <w:style w:type="character" w:styleId="35">
    <w:name w:val="page number"/>
    <w:basedOn w:val="33"/>
    <w:qFormat/>
    <w:locked/>
    <w:uiPriority w:val="0"/>
  </w:style>
  <w:style w:type="character" w:styleId="36">
    <w:name w:val="FollowedHyperlink"/>
    <w:basedOn w:val="33"/>
    <w:qFormat/>
    <w:locked/>
    <w:uiPriority w:val="0"/>
    <w:rPr>
      <w:color w:val="333333"/>
      <w:u w:val="none"/>
    </w:rPr>
  </w:style>
  <w:style w:type="character" w:styleId="37">
    <w:name w:val="Emphasis"/>
    <w:basedOn w:val="33"/>
    <w:qFormat/>
    <w:locked/>
    <w:uiPriority w:val="0"/>
  </w:style>
  <w:style w:type="character" w:styleId="38">
    <w:name w:val="Hyperlink"/>
    <w:basedOn w:val="33"/>
    <w:qFormat/>
    <w:locked/>
    <w:uiPriority w:val="0"/>
    <w:rPr>
      <w:color w:val="0000FF"/>
      <w:u w:val="single"/>
    </w:rPr>
  </w:style>
  <w:style w:type="character" w:styleId="39">
    <w:name w:val="annotation reference"/>
    <w:semiHidden/>
    <w:qFormat/>
    <w:uiPriority w:val="0"/>
    <w:rPr>
      <w:sz w:val="21"/>
    </w:rPr>
  </w:style>
  <w:style w:type="character" w:styleId="40">
    <w:name w:val="HTML Cite"/>
    <w:basedOn w:val="33"/>
    <w:qFormat/>
    <w:locked/>
    <w:uiPriority w:val="0"/>
  </w:style>
  <w:style w:type="paragraph" w:customStyle="1" w:styleId="41">
    <w:name w:val="样式 标题 1 + 五号"/>
    <w:basedOn w:val="3"/>
    <w:next w:val="1"/>
    <w:link w:val="42"/>
    <w:qFormat/>
    <w:uiPriority w:val="0"/>
    <w:pPr>
      <w:spacing w:line="240" w:lineRule="auto"/>
      <w:ind w:left="0" w:firstLine="0"/>
    </w:pPr>
    <w:rPr>
      <w:sz w:val="21"/>
    </w:rPr>
  </w:style>
  <w:style w:type="character" w:customStyle="1" w:styleId="42">
    <w:name w:val="样式 标题 1 + 五号 Char"/>
    <w:link w:val="41"/>
    <w:qFormat/>
    <w:uiPriority w:val="0"/>
    <w:rPr>
      <w:rFonts w:ascii="Times New Roman" w:hAnsi="Times New Roman" w:eastAsia="黑体"/>
      <w:sz w:val="21"/>
    </w:rPr>
  </w:style>
  <w:style w:type="paragraph" w:customStyle="1" w:styleId="43">
    <w:name w:val="xl27"/>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customStyle="1" w:styleId="44">
    <w:name w:val="Default"/>
    <w:basedOn w:val="45"/>
    <w:qFormat/>
    <w:uiPriority w:val="0"/>
    <w:pPr>
      <w:autoSpaceDE w:val="0"/>
      <w:autoSpaceDN w:val="0"/>
    </w:pPr>
    <w:rPr>
      <w:rFonts w:hAnsi="Calibri" w:cs="宋体"/>
      <w:sz w:val="24"/>
    </w:rPr>
  </w:style>
  <w:style w:type="paragraph" w:customStyle="1" w:styleId="45">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46">
    <w:name w:val="样式35"/>
    <w:next w:val="1"/>
    <w:qFormat/>
    <w:uiPriority w:val="0"/>
    <w:pPr>
      <w:widowControl w:val="0"/>
      <w:spacing w:line="312" w:lineRule="auto"/>
      <w:ind w:firstLine="567"/>
      <w:jc w:val="both"/>
    </w:pPr>
    <w:rPr>
      <w:rFonts w:ascii="宋体" w:hAnsi="Calibri" w:eastAsia="宋体" w:cs="宋体"/>
      <w:kern w:val="2"/>
      <w:sz w:val="28"/>
      <w:lang w:val="en-US" w:eastAsia="zh-CN" w:bidi="ar-SA"/>
    </w:rPr>
  </w:style>
  <w:style w:type="paragraph" w:customStyle="1" w:styleId="47">
    <w:name w:val="纯文本1"/>
    <w:basedOn w:val="1"/>
    <w:qFormat/>
    <w:uiPriority w:val="0"/>
    <w:pPr>
      <w:adjustRightInd w:val="0"/>
    </w:pPr>
    <w:rPr>
      <w:rFonts w:ascii="宋体" w:hAnsi="Courier New"/>
      <w:szCs w:val="20"/>
    </w:rPr>
  </w:style>
  <w:style w:type="paragraph" w:customStyle="1" w:styleId="48">
    <w:name w:val="_Style 1"/>
    <w:basedOn w:val="1"/>
    <w:next w:val="1"/>
    <w:qFormat/>
    <w:uiPriority w:val="0"/>
    <w:pPr>
      <w:ind w:firstLine="420" w:firstLineChars="200"/>
    </w:pPr>
    <w:rPr>
      <w:rFonts w:ascii="Calibri" w:hAnsi="Calibri"/>
      <w:szCs w:val="22"/>
    </w:rPr>
  </w:style>
  <w:style w:type="character" w:customStyle="1" w:styleId="49">
    <w:name w:val="标题 2 字符"/>
    <w:link w:val="4"/>
    <w:qFormat/>
    <w:uiPriority w:val="0"/>
    <w:rPr>
      <w:rFonts w:hint="eastAsia" w:ascii="Times New Roman" w:hAnsi="Times New Roman" w:eastAsia="宋体" w:cs="宋体"/>
      <w:b/>
      <w:kern w:val="0"/>
      <w:sz w:val="24"/>
      <w:szCs w:val="36"/>
      <w:lang w:val="en-US" w:eastAsia="zh-CN" w:bidi="ar"/>
    </w:rPr>
  </w:style>
  <w:style w:type="character" w:customStyle="1" w:styleId="50">
    <w:name w:val="日期 字符1"/>
    <w:link w:val="17"/>
    <w:qFormat/>
    <w:locked/>
    <w:uiPriority w:val="0"/>
    <w:rPr>
      <w:rFonts w:ascii="Times New Roman" w:hAnsi="Times New Roman" w:eastAsia="宋体"/>
      <w:sz w:val="24"/>
    </w:rPr>
  </w:style>
  <w:style w:type="character" w:customStyle="1" w:styleId="51">
    <w:name w:val="批注文字 字符1"/>
    <w:semiHidden/>
    <w:qFormat/>
    <w:uiPriority w:val="0"/>
    <w:rPr>
      <w:rFonts w:ascii="Times New Roman" w:hAnsi="Times New Roman" w:eastAsia="宋体"/>
      <w:sz w:val="24"/>
    </w:rPr>
  </w:style>
  <w:style w:type="character" w:customStyle="1" w:styleId="52">
    <w:name w:val="日期 字符"/>
    <w:semiHidden/>
    <w:qFormat/>
    <w:uiPriority w:val="0"/>
    <w:rPr>
      <w:rFonts w:ascii="Times New Roman" w:hAnsi="Times New Roman" w:eastAsia="宋体"/>
      <w:sz w:val="24"/>
    </w:rPr>
  </w:style>
  <w:style w:type="character" w:customStyle="1" w:styleId="53">
    <w:name w:val="正文文本缩进 字符"/>
    <w:link w:val="16"/>
    <w:semiHidden/>
    <w:qFormat/>
    <w:locked/>
    <w:uiPriority w:val="0"/>
    <w:rPr>
      <w:rFonts w:ascii="Times New Roman" w:hAnsi="Times New Roman" w:eastAsia="宋体"/>
      <w:sz w:val="24"/>
    </w:rPr>
  </w:style>
  <w:style w:type="character" w:customStyle="1" w:styleId="54">
    <w:name w:val="font11"/>
    <w:basedOn w:val="33"/>
    <w:qFormat/>
    <w:uiPriority w:val="0"/>
    <w:rPr>
      <w:rFonts w:hint="eastAsia" w:ascii="MingLiU" w:hAnsi="MingLiU" w:eastAsia="MingLiU" w:cs="MingLiU"/>
      <w:color w:val="000000"/>
      <w:sz w:val="16"/>
      <w:szCs w:val="16"/>
      <w:u w:val="none"/>
    </w:rPr>
  </w:style>
  <w:style w:type="character" w:customStyle="1" w:styleId="55">
    <w:name w:val="正文文本 字符1"/>
    <w:semiHidden/>
    <w:qFormat/>
    <w:uiPriority w:val="0"/>
    <w:rPr>
      <w:rFonts w:ascii="Times New Roman" w:hAnsi="Times New Roman" w:eastAsia="宋体"/>
      <w:sz w:val="24"/>
    </w:rPr>
  </w:style>
  <w:style w:type="character" w:customStyle="1" w:styleId="56">
    <w:name w:val="textfont1"/>
    <w:qFormat/>
    <w:uiPriority w:val="0"/>
    <w:rPr>
      <w:rFonts w:hint="default" w:ascii="_x000B__x000C_" w:hAnsi="_x000B__x000C_"/>
      <w:color w:val="000000"/>
      <w:sz w:val="22"/>
      <w:szCs w:val="22"/>
    </w:rPr>
  </w:style>
  <w:style w:type="character" w:customStyle="1" w:styleId="57">
    <w:name w:val="表格 Char"/>
    <w:link w:val="58"/>
    <w:qFormat/>
    <w:locked/>
    <w:uiPriority w:val="0"/>
    <w:rPr>
      <w:rFonts w:ascii="宋体"/>
      <w:sz w:val="21"/>
    </w:rPr>
  </w:style>
  <w:style w:type="paragraph" w:customStyle="1" w:styleId="58">
    <w:name w:val="表格"/>
    <w:basedOn w:val="22"/>
    <w:next w:val="1"/>
    <w:link w:val="57"/>
    <w:qFormat/>
    <w:uiPriority w:val="0"/>
    <w:pPr>
      <w:snapToGrid w:val="0"/>
      <w:spacing w:beforeLines="10" w:afterLines="10" w:line="259" w:lineRule="auto"/>
    </w:pPr>
    <w:rPr>
      <w:rFonts w:ascii="宋体"/>
      <w:szCs w:val="20"/>
    </w:rPr>
  </w:style>
  <w:style w:type="character" w:customStyle="1" w:styleId="59">
    <w:name w:val="批注文字 字符"/>
    <w:link w:val="12"/>
    <w:qFormat/>
    <w:locked/>
    <w:uiPriority w:val="0"/>
    <w:rPr>
      <w:rFonts w:ascii="Times New Roman" w:hAnsi="Times New Roman" w:eastAsia="宋体"/>
      <w:sz w:val="24"/>
    </w:rPr>
  </w:style>
  <w:style w:type="character" w:customStyle="1" w:styleId="60">
    <w:name w:val="页脚 字符"/>
    <w:basedOn w:val="33"/>
    <w:qFormat/>
    <w:uiPriority w:val="99"/>
  </w:style>
  <w:style w:type="character" w:customStyle="1" w:styleId="61">
    <w:name w:val="font01"/>
    <w:basedOn w:val="33"/>
    <w:qFormat/>
    <w:uiPriority w:val="0"/>
    <w:rPr>
      <w:rFonts w:hint="default" w:ascii="Times New Roman" w:hAnsi="Times New Roman" w:cs="Times New Roman"/>
      <w:color w:val="000000"/>
      <w:sz w:val="16"/>
      <w:szCs w:val="16"/>
      <w:u w:val="none"/>
    </w:rPr>
  </w:style>
  <w:style w:type="character" w:customStyle="1" w:styleId="62">
    <w:name w:val="批注主题 字符"/>
    <w:link w:val="28"/>
    <w:semiHidden/>
    <w:qFormat/>
    <w:locked/>
    <w:uiPriority w:val="0"/>
    <w:rPr>
      <w:rFonts w:ascii="Times New Roman" w:hAnsi="Times New Roman" w:eastAsia="宋体"/>
      <w:b/>
      <w:kern w:val="2"/>
      <w:sz w:val="24"/>
    </w:rPr>
  </w:style>
  <w:style w:type="character" w:customStyle="1" w:styleId="63">
    <w:name w:val="普通(网站) 字符"/>
    <w:link w:val="27"/>
    <w:qFormat/>
    <w:locked/>
    <w:uiPriority w:val="0"/>
    <w:rPr>
      <w:rFonts w:ascii="宋体" w:hAnsi="宋体" w:eastAsia="宋体"/>
      <w:sz w:val="24"/>
    </w:rPr>
  </w:style>
  <w:style w:type="character" w:customStyle="1" w:styleId="64">
    <w:name w:val="正文文本 字符"/>
    <w:link w:val="14"/>
    <w:qFormat/>
    <w:locked/>
    <w:uiPriority w:val="0"/>
    <w:rPr>
      <w:sz w:val="18"/>
    </w:rPr>
  </w:style>
  <w:style w:type="character" w:customStyle="1" w:styleId="65">
    <w:name w:val="正文文本缩进 3 字符"/>
    <w:link w:val="23"/>
    <w:qFormat/>
    <w:uiPriority w:val="99"/>
    <w:rPr>
      <w:rFonts w:ascii="Times New Roman" w:hAnsi="Times New Roman"/>
      <w:spacing w:val="-2"/>
      <w:kern w:val="0"/>
      <w:sz w:val="20"/>
      <w:szCs w:val="20"/>
    </w:rPr>
  </w:style>
  <w:style w:type="character" w:customStyle="1" w:styleId="66">
    <w:name w:val="批注框文本 字符"/>
    <w:link w:val="19"/>
    <w:semiHidden/>
    <w:qFormat/>
    <w:locked/>
    <w:uiPriority w:val="0"/>
    <w:rPr>
      <w:rFonts w:ascii="Times New Roman" w:hAnsi="Times New Roman" w:eastAsia="宋体"/>
      <w:sz w:val="18"/>
    </w:rPr>
  </w:style>
  <w:style w:type="character" w:customStyle="1" w:styleId="67">
    <w:name w:val="页眉 字符"/>
    <w:link w:val="21"/>
    <w:qFormat/>
    <w:locked/>
    <w:uiPriority w:val="0"/>
    <w:rPr>
      <w:sz w:val="18"/>
    </w:rPr>
  </w:style>
  <w:style w:type="character" w:customStyle="1" w:styleId="68">
    <w:name w:val="页脚 字符1"/>
    <w:link w:val="20"/>
    <w:qFormat/>
    <w:locked/>
    <w:uiPriority w:val="99"/>
    <w:rPr>
      <w:sz w:val="18"/>
    </w:rPr>
  </w:style>
  <w:style w:type="character" w:customStyle="1" w:styleId="69">
    <w:name w:val="标准正文 Char"/>
    <w:link w:val="70"/>
    <w:qFormat/>
    <w:locked/>
    <w:uiPriority w:val="0"/>
    <w:rPr>
      <w:rFonts w:ascii="Calibri" w:hAnsi="新宋体" w:eastAsia="新宋体"/>
      <w:kern w:val="0"/>
      <w:sz w:val="24"/>
      <w:szCs w:val="20"/>
    </w:rPr>
  </w:style>
  <w:style w:type="paragraph" w:customStyle="1" w:styleId="70">
    <w:name w:val="标准正文"/>
    <w:basedOn w:val="1"/>
    <w:link w:val="69"/>
    <w:qFormat/>
    <w:uiPriority w:val="0"/>
    <w:pPr>
      <w:spacing w:line="360" w:lineRule="auto"/>
      <w:ind w:firstLine="480" w:firstLineChars="200"/>
    </w:pPr>
    <w:rPr>
      <w:rFonts w:ascii="Calibri" w:hAnsi="新宋体" w:eastAsia="新宋体"/>
      <w:kern w:val="0"/>
      <w:sz w:val="24"/>
      <w:szCs w:val="20"/>
    </w:rPr>
  </w:style>
  <w:style w:type="paragraph" w:customStyle="1" w:styleId="71">
    <w:name w:val="样式1"/>
    <w:basedOn w:val="1"/>
    <w:qFormat/>
    <w:uiPriority w:val="0"/>
    <w:pPr>
      <w:spacing w:line="360" w:lineRule="auto"/>
      <w:ind w:firstLine="567"/>
    </w:pPr>
    <w:rPr>
      <w:sz w:val="24"/>
      <w:szCs w:val="20"/>
    </w:rPr>
  </w:style>
  <w:style w:type="paragraph" w:customStyle="1" w:styleId="72">
    <w:name w:val="4正文"/>
    <w:basedOn w:val="1"/>
    <w:qFormat/>
    <w:uiPriority w:val="0"/>
    <w:pPr>
      <w:spacing w:line="360" w:lineRule="auto"/>
      <w:ind w:firstLine="480" w:firstLineChars="200"/>
    </w:pPr>
    <w:rPr>
      <w:rFonts w:cs="宋体"/>
      <w:sz w:val="24"/>
      <w:szCs w:val="20"/>
    </w:rPr>
  </w:style>
  <w:style w:type="paragraph" w:customStyle="1" w:styleId="73">
    <w:name w:val="表头"/>
    <w:basedOn w:val="1"/>
    <w:qFormat/>
    <w:uiPriority w:val="0"/>
    <w:pPr>
      <w:tabs>
        <w:tab w:val="left" w:pos="1021"/>
      </w:tabs>
      <w:spacing w:before="60"/>
      <w:jc w:val="center"/>
    </w:pPr>
    <w:rPr>
      <w:rFonts w:eastAsia="黑体"/>
      <w:kern w:val="24"/>
    </w:rPr>
  </w:style>
  <w:style w:type="paragraph" w:customStyle="1" w:styleId="74">
    <w:name w:val="表格文字"/>
    <w:basedOn w:val="1"/>
    <w:qFormat/>
    <w:uiPriority w:val="0"/>
    <w:pPr>
      <w:jc w:val="center"/>
    </w:pPr>
  </w:style>
  <w:style w:type="paragraph" w:customStyle="1" w:styleId="75">
    <w:name w:val="表格1"/>
    <w:basedOn w:val="1"/>
    <w:qFormat/>
    <w:uiPriority w:val="0"/>
    <w:pPr>
      <w:adjustRightInd w:val="0"/>
      <w:spacing w:line="20" w:lineRule="atLeast"/>
      <w:jc w:val="center"/>
      <w:textAlignment w:val="center"/>
    </w:pPr>
    <w:rPr>
      <w:rFonts w:ascii="宋体"/>
      <w:szCs w:val="20"/>
    </w:rPr>
  </w:style>
  <w:style w:type="paragraph" w:customStyle="1" w:styleId="76">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77">
    <w:name w:val="正本"/>
    <w:basedOn w:val="1"/>
    <w:qFormat/>
    <w:uiPriority w:val="0"/>
    <w:pPr>
      <w:spacing w:line="360" w:lineRule="auto"/>
      <w:ind w:left="198"/>
      <w:jc w:val="left"/>
    </w:pPr>
    <w:rPr>
      <w:rFonts w:ascii="宋体" w:hAnsi="宋体"/>
      <w:sz w:val="24"/>
      <w:szCs w:val="20"/>
    </w:rPr>
  </w:style>
  <w:style w:type="paragraph" w:customStyle="1" w:styleId="78">
    <w:name w:val="表文字"/>
    <w:qFormat/>
    <w:uiPriority w:val="0"/>
    <w:pPr>
      <w:widowControl w:val="0"/>
      <w:adjustRightInd w:val="0"/>
      <w:snapToGrid w:val="0"/>
      <w:spacing w:line="270" w:lineRule="exact"/>
      <w:ind w:left="57" w:right="57"/>
      <w:jc w:val="center"/>
    </w:pPr>
    <w:rPr>
      <w:rFonts w:ascii="Times New Roman" w:hAnsi="Times New Roman" w:eastAsia="宋体" w:cs="Times New Roman"/>
      <w:kern w:val="18"/>
      <w:sz w:val="18"/>
      <w:lang w:val="en-GB" w:eastAsia="zh-CN" w:bidi="ar-SA"/>
    </w:rPr>
  </w:style>
  <w:style w:type="paragraph" w:customStyle="1" w:styleId="79">
    <w:name w:val="BG1"/>
    <w:basedOn w:val="1"/>
    <w:qFormat/>
    <w:uiPriority w:val="0"/>
    <w:pPr>
      <w:spacing w:line="360" w:lineRule="auto"/>
      <w:ind w:firstLine="422" w:firstLineChars="200"/>
      <w:jc w:val="center"/>
    </w:pPr>
    <w:rPr>
      <w:b/>
      <w:bCs/>
      <w:color w:val="000000"/>
      <w:kern w:val="0"/>
    </w:rPr>
  </w:style>
  <w:style w:type="paragraph" w:customStyle="1" w:styleId="80">
    <w:name w:val="ZW"/>
    <w:basedOn w:val="77"/>
    <w:qFormat/>
    <w:uiPriority w:val="0"/>
    <w:pPr>
      <w:adjustRightInd w:val="0"/>
      <w:snapToGrid w:val="0"/>
      <w:ind w:left="0" w:firstLine="200" w:firstLineChars="200"/>
      <w:jc w:val="both"/>
    </w:pPr>
    <w:rPr>
      <w:rFonts w:ascii="Times New Roman" w:hAnsi="Times New Roman" w:eastAsia="仿宋_GB2312"/>
      <w:kern w:val="0"/>
      <w:sz w:val="28"/>
      <w:szCs w:val="24"/>
    </w:rPr>
  </w:style>
  <w:style w:type="paragraph" w:customStyle="1" w:styleId="81">
    <w:name w:val="!正文"/>
    <w:basedOn w:val="1"/>
    <w:qFormat/>
    <w:uiPriority w:val="0"/>
    <w:pPr>
      <w:spacing w:line="480" w:lineRule="exact"/>
      <w:ind w:firstLine="480" w:firstLineChars="200"/>
    </w:pPr>
    <w:rPr>
      <w:rFonts w:hAnsi="宋体" w:cs="宋体"/>
    </w:rPr>
  </w:style>
  <w:style w:type="paragraph" w:customStyle="1" w:styleId="82">
    <w:name w:val="Quote"/>
    <w:basedOn w:val="1"/>
    <w:next w:val="1"/>
    <w:qFormat/>
    <w:uiPriority w:val="0"/>
    <w:pPr>
      <w:jc w:val="center"/>
    </w:pPr>
    <w:rPr>
      <w:b/>
      <w:iCs/>
      <w:color w:val="000000"/>
      <w:lang w:eastAsia="en-US" w:bidi="en-US"/>
    </w:rPr>
  </w:style>
  <w:style w:type="paragraph" w:customStyle="1" w:styleId="83">
    <w:name w:val="卓龙正文"/>
    <w:basedOn w:val="1"/>
    <w:qFormat/>
    <w:uiPriority w:val="99"/>
    <w:pPr>
      <w:spacing w:line="360" w:lineRule="auto"/>
      <w:ind w:firstLine="200" w:firstLineChars="200"/>
    </w:pPr>
    <w:rPr>
      <w:sz w:val="24"/>
    </w:rPr>
  </w:style>
  <w:style w:type="paragraph" w:customStyle="1" w:styleId="84">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WPSOffice手动目录 1"/>
    <w:qFormat/>
    <w:uiPriority w:val="0"/>
    <w:rPr>
      <w:rFonts w:ascii="Times New Roman" w:hAnsi="Times New Roman" w:eastAsia="宋体" w:cs="Times New Roman"/>
      <w:lang w:val="en-US" w:eastAsia="zh-CN" w:bidi="ar-SA"/>
    </w:rPr>
  </w:style>
  <w:style w:type="paragraph" w:customStyle="1" w:styleId="86">
    <w:name w:val="Intense Quote"/>
    <w:basedOn w:val="1"/>
    <w:next w:val="1"/>
    <w:qFormat/>
    <w:uiPriority w:val="0"/>
    <w:pPr>
      <w:jc w:val="center"/>
    </w:pPr>
    <w:rPr>
      <w:bCs/>
      <w:iCs/>
      <w:lang w:eastAsia="en-US" w:bidi="en-US"/>
    </w:rPr>
  </w:style>
  <w:style w:type="paragraph" w:customStyle="1" w:styleId="87">
    <w:name w:val="hj正文"/>
    <w:basedOn w:val="1"/>
    <w:qFormat/>
    <w:uiPriority w:val="0"/>
    <w:pPr>
      <w:ind w:firstLine="480" w:firstLineChars="200"/>
    </w:pPr>
  </w:style>
  <w:style w:type="paragraph" w:customStyle="1" w:styleId="88">
    <w:name w:val="段落"/>
    <w:basedOn w:val="1"/>
    <w:qFormat/>
    <w:uiPriority w:val="0"/>
    <w:pPr>
      <w:tabs>
        <w:tab w:val="left" w:pos="1021"/>
      </w:tabs>
      <w:ind w:firstLine="480" w:firstLineChars="200"/>
    </w:pPr>
    <w:rPr>
      <w:kern w:val="24"/>
    </w:rPr>
  </w:style>
  <w:style w:type="paragraph" w:customStyle="1" w:styleId="89">
    <w:name w:val="Table Paragraph"/>
    <w:basedOn w:val="1"/>
    <w:qFormat/>
    <w:uiPriority w:val="1"/>
    <w:rPr>
      <w:rFonts w:eastAsia="Times New Roman"/>
    </w:rPr>
  </w:style>
  <w:style w:type="paragraph" w:customStyle="1" w:styleId="90">
    <w:name w:val="环评正文"/>
    <w:basedOn w:val="1"/>
    <w:qFormat/>
    <w:uiPriority w:val="0"/>
    <w:pPr>
      <w:spacing w:beforeLines="30"/>
      <w:ind w:firstLine="200" w:firstLineChars="200"/>
    </w:pPr>
    <w:rPr>
      <w:kern w:val="0"/>
      <w:sz w:val="24"/>
      <w:szCs w:val="20"/>
    </w:rPr>
  </w:style>
  <w:style w:type="paragraph" w:customStyle="1" w:styleId="91">
    <w:name w:val="简单回函地址"/>
    <w:basedOn w:val="1"/>
    <w:qFormat/>
    <w:uiPriority w:val="0"/>
    <w:rPr>
      <w:szCs w:val="20"/>
    </w:rPr>
  </w:style>
  <w:style w:type="paragraph" w:customStyle="1" w:styleId="92">
    <w:name w:val="样式 正文缩进首行缩进两字标题4正文不缩进s4正文（首行缩进两字） Char Char Char Char Char ..."/>
    <w:basedOn w:val="9"/>
    <w:qFormat/>
    <w:uiPriority w:val="99"/>
    <w:pPr>
      <w:adjustRightInd w:val="0"/>
      <w:snapToGrid w:val="0"/>
      <w:ind w:firstLine="495"/>
    </w:pPr>
    <w:rPr>
      <w:rFonts w:ascii="Times New Roman" w:hAnsi="Times New Roman"/>
      <w:sz w:val="24"/>
    </w:rPr>
  </w:style>
  <w:style w:type="paragraph" w:customStyle="1" w:styleId="93">
    <w:name w:val="报告表小标题"/>
    <w:basedOn w:val="1"/>
    <w:qFormat/>
    <w:uiPriority w:val="0"/>
    <w:pPr>
      <w:spacing w:before="100" w:beforeAutospacing="1" w:line="360" w:lineRule="auto"/>
    </w:pPr>
    <w:rPr>
      <w:b/>
      <w:sz w:val="24"/>
    </w:rPr>
  </w:style>
  <w:style w:type="paragraph" w:customStyle="1" w:styleId="94">
    <w:name w:val="（正文）"/>
    <w:basedOn w:val="1"/>
    <w:qFormat/>
    <w:uiPriority w:val="0"/>
    <w:pPr>
      <w:ind w:firstLine="200" w:firstLineChars="200"/>
    </w:pPr>
    <w:rPr>
      <w:szCs w:val="20"/>
    </w:rPr>
  </w:style>
  <w:style w:type="paragraph" w:customStyle="1" w:styleId="95">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96">
    <w:name w:val="t_tag"/>
    <w:basedOn w:val="33"/>
    <w:qFormat/>
    <w:uiPriority w:val="0"/>
  </w:style>
  <w:style w:type="paragraph" w:customStyle="1" w:styleId="97">
    <w:name w:val="正空两（新格式）"/>
    <w:qFormat/>
    <w:uiPriority w:val="0"/>
    <w:pPr>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98">
    <w:name w:val="正文20110920"/>
    <w:basedOn w:val="99"/>
    <w:qFormat/>
    <w:uiPriority w:val="99"/>
    <w:pPr>
      <w:ind w:firstLine="480"/>
    </w:pPr>
    <w:rPr>
      <w:color w:val="000000"/>
      <w:szCs w:val="24"/>
    </w:rPr>
  </w:style>
  <w:style w:type="paragraph" w:customStyle="1" w:styleId="99">
    <w:name w:val="样式 正文20110824 + 宋体 首行缩进:  2 字符"/>
    <w:basedOn w:val="1"/>
    <w:qFormat/>
    <w:uiPriority w:val="0"/>
    <w:pPr>
      <w:spacing w:line="360" w:lineRule="auto"/>
      <w:ind w:firstLine="200" w:firstLineChars="200"/>
    </w:pPr>
    <w:rPr>
      <w:rFonts w:ascii="宋体" w:hAnsi="宋体" w:cs="宋体"/>
      <w:sz w:val="24"/>
      <w:szCs w:val="20"/>
    </w:rPr>
  </w:style>
  <w:style w:type="paragraph" w:customStyle="1" w:styleId="100">
    <w:name w:val="sheet"/>
    <w:basedOn w:val="1"/>
    <w:qFormat/>
    <w:uiPriority w:val="0"/>
    <w:pPr>
      <w:suppressAutoHyphens/>
      <w:topLinePunct/>
      <w:jc w:val="center"/>
    </w:pPr>
    <w:rPr>
      <w:kern w:val="0"/>
    </w:rPr>
  </w:style>
  <w:style w:type="table" w:customStyle="1" w:styleId="101">
    <w:name w:val="Table Normal"/>
    <w:unhideWhenUsed/>
    <w:qFormat/>
    <w:uiPriority w:val="0"/>
    <w:tblPr>
      <w:tblCellMar>
        <w:top w:w="0" w:type="dxa"/>
        <w:left w:w="0" w:type="dxa"/>
        <w:bottom w:w="0" w:type="dxa"/>
        <w:right w:w="0" w:type="dxa"/>
      </w:tblCellMar>
    </w:tblPr>
  </w:style>
  <w:style w:type="paragraph" w:customStyle="1" w:styleId="102">
    <w:name w:val="lh-表格文字-报告表"/>
    <w:qFormat/>
    <w:uiPriority w:val="0"/>
    <w:pPr>
      <w:jc w:val="center"/>
    </w:pPr>
    <w:rPr>
      <w:rFonts w:ascii="Times New Roman" w:hAnsi="Times New Roman" w:eastAsia="宋体" w:cs="Times New Roman"/>
      <w:snapToGrid w:val="0"/>
      <w:sz w:val="21"/>
      <w:szCs w:val="24"/>
      <w:lang w:val="en-US" w:eastAsia="zh-CN" w:bidi="ar-SA"/>
    </w:rPr>
  </w:style>
  <w:style w:type="paragraph" w:customStyle="1" w:styleId="103">
    <w:name w:val="p0"/>
    <w:basedOn w:val="1"/>
    <w:qFormat/>
    <w:uiPriority w:val="0"/>
    <w:pPr>
      <w:widowControl/>
    </w:pPr>
    <w:rPr>
      <w:kern w:val="0"/>
      <w:szCs w:val="21"/>
    </w:rPr>
  </w:style>
  <w:style w:type="paragraph" w:customStyle="1" w:styleId="104">
    <w:name w:val="T表格文字"/>
    <w:basedOn w:val="1"/>
    <w:qFormat/>
    <w:uiPriority w:val="0"/>
    <w:pPr>
      <w:jc w:val="center"/>
    </w:pPr>
  </w:style>
  <w:style w:type="paragraph" w:customStyle="1" w:styleId="105">
    <w:name w:val="表格内容"/>
    <w:basedOn w:val="9"/>
    <w:next w:val="1"/>
    <w:qFormat/>
    <w:uiPriority w:val="0"/>
    <w:pPr>
      <w:adjustRightInd w:val="0"/>
      <w:snapToGrid w:val="0"/>
      <w:spacing w:line="360" w:lineRule="exact"/>
      <w:jc w:val="center"/>
    </w:pPr>
    <w:rPr>
      <w:rFonts w:ascii="Times New Roman" w:hAnsi="Times New Roman" w:eastAsia="宋体" w:cs="Times New Roman"/>
      <w:sz w:val="21"/>
      <w:szCs w:val="24"/>
      <w:lang w:val="en-US" w:eastAsia="zh-CN" w:bidi="ar-SA"/>
    </w:rPr>
  </w:style>
  <w:style w:type="paragraph" w:customStyle="1" w:styleId="106">
    <w:name w:val="HJ-表格"/>
    <w:basedOn w:val="1"/>
    <w:qFormat/>
    <w:uiPriority w:val="0"/>
    <w:pPr>
      <w:jc w:val="center"/>
    </w:pPr>
    <w:rPr>
      <w:rFonts w:asciiTheme="minorHAnsi" w:hAnsiTheme="minorHAnsi"/>
      <w:b/>
      <w:sz w:val="18"/>
    </w:rPr>
  </w:style>
  <w:style w:type="paragraph" w:customStyle="1" w:styleId="107">
    <w:name w:val="正文（用）"/>
    <w:basedOn w:val="1"/>
    <w:qFormat/>
    <w:uiPriority w:val="0"/>
    <w:pPr>
      <w:spacing w:line="360" w:lineRule="auto"/>
      <w:ind w:firstLine="480" w:firstLineChars="200"/>
    </w:pPr>
    <w:rPr>
      <w:rFonts w:ascii="宋体" w:hAnsi="宋体" w:cs="宋体"/>
      <w:sz w:val="24"/>
      <w:szCs w:val="20"/>
    </w:rPr>
  </w:style>
  <w:style w:type="paragraph" w:customStyle="1" w:styleId="108">
    <w:name w:val="正文_1"/>
    <w:qFormat/>
    <w:uiPriority w:val="0"/>
    <w:pPr>
      <w:widowControl w:val="0"/>
      <w:jc w:val="both"/>
    </w:pPr>
    <w:rPr>
      <w:rFonts w:ascii="Calibri" w:hAnsi="Calibri" w:eastAsia="宋体" w:cs="Times New Roman"/>
      <w:kern w:val="2"/>
      <w:sz w:val="21"/>
      <w:lang w:val="en-US" w:eastAsia="zh-CN" w:bidi="ar-SA"/>
    </w:rPr>
  </w:style>
  <w:style w:type="paragraph" w:customStyle="1" w:styleId="109">
    <w:name w:val="正文_23"/>
    <w:qFormat/>
    <w:uiPriority w:val="0"/>
    <w:pPr>
      <w:widowControl w:val="0"/>
      <w:jc w:val="both"/>
    </w:pPr>
    <w:rPr>
      <w:rFonts w:ascii="Calibri" w:hAnsi="Calibri" w:eastAsia="宋体" w:cs="Times New Roman"/>
      <w:kern w:val="2"/>
      <w:sz w:val="21"/>
      <w:lang w:val="en-US" w:eastAsia="zh-CN" w:bidi="ar-SA"/>
    </w:rPr>
  </w:style>
  <w:style w:type="paragraph" w:customStyle="1" w:styleId="110">
    <w:name w:val="正文_8"/>
    <w:qFormat/>
    <w:uiPriority w:val="0"/>
    <w:pPr>
      <w:widowControl w:val="0"/>
      <w:jc w:val="both"/>
    </w:pPr>
    <w:rPr>
      <w:rFonts w:ascii="Calibri" w:hAnsi="Calibri" w:eastAsia="宋体" w:cs="Times New Roman"/>
      <w:kern w:val="2"/>
      <w:sz w:val="21"/>
      <w:lang w:val="en-US" w:eastAsia="zh-CN" w:bidi="ar-SA"/>
    </w:rPr>
  </w:style>
  <w:style w:type="paragraph" w:customStyle="1" w:styleId="111">
    <w:name w:val="正文_9"/>
    <w:qFormat/>
    <w:uiPriority w:val="0"/>
    <w:pPr>
      <w:widowControl w:val="0"/>
      <w:jc w:val="both"/>
    </w:pPr>
    <w:rPr>
      <w:rFonts w:ascii="Calibri" w:hAnsi="Calibri" w:eastAsia="宋体" w:cs="Times New Roman"/>
      <w:kern w:val="2"/>
      <w:sz w:val="21"/>
      <w:lang w:val="en-US" w:eastAsia="zh-CN" w:bidi="ar-SA"/>
    </w:rPr>
  </w:style>
  <w:style w:type="paragraph" w:customStyle="1" w:styleId="112">
    <w:name w:val="正文_14"/>
    <w:qFormat/>
    <w:uiPriority w:val="0"/>
    <w:pPr>
      <w:widowControl w:val="0"/>
      <w:jc w:val="both"/>
    </w:pPr>
    <w:rPr>
      <w:rFonts w:ascii="Calibri" w:hAnsi="Calibri" w:eastAsia="宋体" w:cs="Times New Roman"/>
      <w:kern w:val="2"/>
      <w:sz w:val="21"/>
      <w:lang w:val="en-US" w:eastAsia="zh-CN" w:bidi="ar-SA"/>
    </w:rPr>
  </w:style>
  <w:style w:type="paragraph" w:customStyle="1" w:styleId="113">
    <w:name w:val="正文_18"/>
    <w:qFormat/>
    <w:uiPriority w:val="0"/>
    <w:pPr>
      <w:widowControl w:val="0"/>
      <w:jc w:val="both"/>
    </w:pPr>
    <w:rPr>
      <w:rFonts w:ascii="Calibri" w:hAnsi="Calibri" w:eastAsia="宋体" w:cs="Times New Roman"/>
      <w:kern w:val="2"/>
      <w:sz w:val="21"/>
      <w:lang w:val="en-US" w:eastAsia="zh-CN" w:bidi="ar-SA"/>
    </w:rPr>
  </w:style>
  <w:style w:type="paragraph" w:customStyle="1" w:styleId="114">
    <w:name w:val="正文_19"/>
    <w:qFormat/>
    <w:uiPriority w:val="0"/>
    <w:pPr>
      <w:widowControl w:val="0"/>
      <w:jc w:val="both"/>
    </w:pPr>
    <w:rPr>
      <w:rFonts w:ascii="Calibri" w:hAnsi="Calibri" w:eastAsia="宋体" w:cs="Times New Roman"/>
      <w:kern w:val="2"/>
      <w:sz w:val="21"/>
      <w:lang w:val="en-US" w:eastAsia="zh-CN" w:bidi="ar-SA"/>
    </w:rPr>
  </w:style>
  <w:style w:type="paragraph" w:customStyle="1" w:styleId="115">
    <w:name w:val="正文_21"/>
    <w:qFormat/>
    <w:uiPriority w:val="0"/>
    <w:pPr>
      <w:widowControl w:val="0"/>
      <w:jc w:val="both"/>
    </w:pPr>
    <w:rPr>
      <w:rFonts w:ascii="等线" w:hAnsi="等线" w:eastAsia="等线" w:cs="Times New Roman"/>
      <w:kern w:val="2"/>
      <w:sz w:val="21"/>
      <w:szCs w:val="22"/>
      <w:lang w:val="en-US" w:eastAsia="zh-CN" w:bidi="ar-SA"/>
    </w:rPr>
  </w:style>
  <w:style w:type="paragraph" w:customStyle="1" w:styleId="116">
    <w:name w:val="正文_22"/>
    <w:qFormat/>
    <w:uiPriority w:val="0"/>
    <w:pPr>
      <w:widowControl w:val="0"/>
      <w:jc w:val="both"/>
    </w:pPr>
    <w:rPr>
      <w:rFonts w:ascii="等线" w:hAnsi="等线" w:eastAsia="等线" w:cs="Times New Roman"/>
      <w:kern w:val="2"/>
      <w:sz w:val="21"/>
      <w:szCs w:val="22"/>
      <w:lang w:val="en-US" w:eastAsia="zh-CN" w:bidi="ar-SA"/>
    </w:rPr>
  </w:style>
  <w:style w:type="paragraph" w:customStyle="1" w:styleId="117">
    <w:name w:val="00000"/>
    <w:qFormat/>
    <w:uiPriority w:val="0"/>
    <w:rPr>
      <w:rFonts w:ascii="Times New Roman" w:hAnsi="Times New Roman" w:eastAsia="仿宋" w:cs="Times New Roman"/>
      <w:kern w:val="2"/>
      <w:sz w:val="21"/>
      <w:lang w:val="en-US" w:eastAsia="zh-CN" w:bidi="ar-SA"/>
    </w:rPr>
  </w:style>
  <w:style w:type="paragraph" w:customStyle="1" w:styleId="118">
    <w:name w:val="表格文字2"/>
    <w:basedOn w:val="1"/>
    <w:qFormat/>
    <w:uiPriority w:val="0"/>
    <w:pPr>
      <w:tabs>
        <w:tab w:val="left" w:pos="277"/>
        <w:tab w:val="left" w:pos="600"/>
        <w:tab w:val="left" w:pos="780"/>
        <w:tab w:val="left" w:pos="2517"/>
      </w:tabs>
      <w:adjustRightInd w:val="0"/>
      <w:jc w:val="center"/>
      <w:textAlignment w:val="baseline"/>
    </w:pPr>
    <w:rPr>
      <w:rFonts w:ascii="宋体" w:hAnsi="宋体"/>
      <w:kern w:val="0"/>
      <w:szCs w:val="20"/>
    </w:rPr>
  </w:style>
  <w:style w:type="paragraph" w:customStyle="1" w:styleId="119">
    <w:name w:val="表格内文字"/>
    <w:basedOn w:val="1"/>
    <w:qFormat/>
    <w:uiPriority w:val="0"/>
    <w:pPr>
      <w:jc w:val="center"/>
    </w:pPr>
    <w:rPr>
      <w:spacing w:val="1"/>
      <w:kern w:val="0"/>
    </w:rPr>
  </w:style>
  <w:style w:type="paragraph" w:customStyle="1" w:styleId="120">
    <w:name w:val="表格样式"/>
    <w:basedOn w:val="1"/>
    <w:qFormat/>
    <w:uiPriority w:val="0"/>
    <w:pPr>
      <w:adjustRightInd w:val="0"/>
      <w:snapToGrid w:val="0"/>
      <w:jc w:val="center"/>
    </w:pPr>
  </w:style>
  <w:style w:type="character" w:customStyle="1" w:styleId="121">
    <w:name w:val="标题 1 字符"/>
    <w:link w:val="3"/>
    <w:qFormat/>
    <w:uiPriority w:val="99"/>
    <w:rPr>
      <w:rFonts w:eastAsia="黑体"/>
      <w:b/>
      <w:bCs/>
      <w:color w:val="000000"/>
      <w:kern w:val="44"/>
      <w:sz w:val="30"/>
      <w:szCs w:val="30"/>
    </w:rPr>
  </w:style>
  <w:style w:type="character" w:customStyle="1" w:styleId="122">
    <w:name w:val="表题1 字符"/>
    <w:link w:val="123"/>
    <w:qFormat/>
    <w:uiPriority w:val="0"/>
    <w:rPr>
      <w:rFonts w:ascii="Times New Roman" w:hAnsi="Times New Roman" w:eastAsia="宋体" w:cs="Times New Roman"/>
      <w:b/>
      <w:szCs w:val="21"/>
    </w:rPr>
  </w:style>
  <w:style w:type="paragraph" w:customStyle="1" w:styleId="123">
    <w:name w:val="表题图题"/>
    <w:basedOn w:val="1"/>
    <w:link w:val="122"/>
    <w:qFormat/>
    <w:uiPriority w:val="0"/>
    <w:pPr>
      <w:jc w:val="center"/>
    </w:pPr>
    <w:rPr>
      <w:b/>
      <w:szCs w:val="21"/>
    </w:rPr>
  </w:style>
  <w:style w:type="paragraph" w:customStyle="1" w:styleId="124">
    <w:name w:val="正文格式"/>
    <w:basedOn w:val="1"/>
    <w:qFormat/>
    <w:uiPriority w:val="0"/>
  </w:style>
  <w:style w:type="paragraph" w:customStyle="1" w:styleId="125">
    <w:name w:val="表格的字"/>
    <w:basedOn w:val="126"/>
    <w:next w:val="1"/>
    <w:qFormat/>
    <w:uiPriority w:val="0"/>
    <w:rPr>
      <w:rFonts w:cs="Times New Roman"/>
      <w:szCs w:val="21"/>
    </w:rPr>
  </w:style>
  <w:style w:type="paragraph" w:customStyle="1" w:styleId="126">
    <w:name w:val="项目基本情况的字"/>
    <w:basedOn w:val="1"/>
    <w:qFormat/>
    <w:uiPriority w:val="0"/>
    <w:pPr>
      <w:jc w:val="center"/>
    </w:pPr>
    <w:rPr>
      <w:rFonts w:cs="宋体"/>
    </w:rPr>
  </w:style>
  <w:style w:type="paragraph" w:customStyle="1" w:styleId="127">
    <w:name w:val="表"/>
    <w:qFormat/>
    <w:uiPriority w:val="0"/>
    <w:pPr>
      <w:spacing w:line="240" w:lineRule="atLeast"/>
      <w:jc w:val="center"/>
    </w:pPr>
    <w:rPr>
      <w:rFonts w:ascii="Times New Roman" w:hAnsi="Times New Roman" w:eastAsia="宋体" w:cs="Times New Roman"/>
      <w:b/>
      <w:sz w:val="21"/>
      <w:lang w:val="en-US" w:eastAsia="zh-CN" w:bidi="ar-SA"/>
    </w:rPr>
  </w:style>
  <w:style w:type="paragraph" w:customStyle="1" w:styleId="128">
    <w:name w:val="文"/>
    <w:qFormat/>
    <w:uiPriority w:val="0"/>
    <w:pPr>
      <w:spacing w:line="360" w:lineRule="auto"/>
      <w:ind w:firstLine="200" w:firstLineChars="200"/>
      <w:jc w:val="both"/>
    </w:pPr>
    <w:rPr>
      <w:rFonts w:ascii="Times New Roman" w:hAnsi="Times New Roman" w:eastAsia="宋体" w:cs="Times New Roman"/>
      <w:bCs/>
      <w:sz w:val="24"/>
      <w:szCs w:val="28"/>
      <w:lang w:val="en-US" w:eastAsia="zh-CN" w:bidi="ar-SA"/>
    </w:rPr>
  </w:style>
  <w:style w:type="paragraph" w:customStyle="1" w:styleId="129">
    <w:name w:val="表格标题CCW"/>
    <w:basedOn w:val="1"/>
    <w:next w:val="1"/>
    <w:qFormat/>
    <w:uiPriority w:val="0"/>
    <w:pPr>
      <w:spacing w:line="360" w:lineRule="auto"/>
      <w:jc w:val="center"/>
      <w:outlineLvl w:val="4"/>
    </w:pPr>
    <w:rPr>
      <w:b/>
    </w:rPr>
  </w:style>
  <w:style w:type="paragraph" w:customStyle="1" w:styleId="130">
    <w:name w:val="样式 首行缩进:  2 字符1"/>
    <w:basedOn w:val="1"/>
    <w:qFormat/>
    <w:uiPriority w:val="0"/>
    <w:pPr>
      <w:adjustRightInd w:val="0"/>
      <w:snapToGrid w:val="0"/>
      <w:spacing w:line="360" w:lineRule="auto"/>
      <w:ind w:firstLine="480" w:firstLineChars="200"/>
    </w:pPr>
    <w:rPr>
      <w:rFonts w:cs="宋体"/>
      <w:sz w:val="24"/>
    </w:rPr>
  </w:style>
  <w:style w:type="paragraph" w:customStyle="1" w:styleId="131">
    <w:name w:val="zhang正文"/>
    <w:basedOn w:val="16"/>
    <w:next w:val="1"/>
    <w:qFormat/>
    <w:uiPriority w:val="0"/>
    <w:pPr>
      <w:autoSpaceDE w:val="0"/>
      <w:autoSpaceDN w:val="0"/>
      <w:adjustRightInd w:val="0"/>
      <w:snapToGrid w:val="0"/>
      <w:spacing w:after="0" w:line="500" w:lineRule="exact"/>
      <w:ind w:left="0" w:leftChars="0" w:firstLine="539"/>
      <w:textAlignment w:val="baseline"/>
    </w:pPr>
    <w:rPr>
      <w:rFonts w:eastAsia="楷体_GB2312"/>
      <w:sz w:val="28"/>
    </w:rPr>
  </w:style>
  <w:style w:type="paragraph" w:customStyle="1" w:styleId="132">
    <w:name w:val="正文001"/>
    <w:basedOn w:val="1"/>
    <w:qFormat/>
    <w:uiPriority w:val="0"/>
    <w:pPr>
      <w:spacing w:before="60" w:line="460" w:lineRule="exact"/>
      <w:ind w:firstLine="482"/>
    </w:pPr>
    <w:rPr>
      <w:sz w:val="24"/>
    </w:rPr>
  </w:style>
  <w:style w:type="paragraph" w:customStyle="1" w:styleId="133">
    <w:name w:val="5文章(治)"/>
    <w:basedOn w:val="1"/>
    <w:qFormat/>
    <w:uiPriority w:val="0"/>
    <w:pPr>
      <w:keepNext w:val="0"/>
      <w:keepLines w:val="0"/>
      <w:widowControl w:val="0"/>
      <w:suppressLineNumbers w:val="0"/>
      <w:spacing w:before="0" w:beforeAutospacing="0" w:after="0" w:afterAutospacing="0" w:line="360" w:lineRule="auto"/>
      <w:ind w:left="0" w:right="0" w:firstLine="560" w:firstLineChars="200"/>
      <w:jc w:val="both"/>
    </w:pPr>
    <w:rPr>
      <w:rFonts w:hint="default" w:ascii="Times New Roman" w:hAnsi="Times New Roman" w:eastAsia="宋体" w:cs="Times New Roman"/>
      <w:kern w:val="2"/>
      <w:sz w:val="24"/>
      <w:szCs w:val="20"/>
      <w:lang w:val="en-US" w:eastAsia="zh-CN" w:bidi="ar-SA"/>
    </w:rPr>
  </w:style>
  <w:style w:type="paragraph" w:customStyle="1" w:styleId="134">
    <w:name w:val="（环评）表头（小四）"/>
    <w:basedOn w:val="1"/>
    <w:qFormat/>
    <w:uiPriority w:val="0"/>
    <w:pPr>
      <w:spacing w:line="240" w:lineRule="auto"/>
      <w:ind w:firstLine="0" w:firstLineChars="0"/>
      <w:jc w:val="center"/>
    </w:pPr>
    <w:rPr>
      <w:rFonts w:ascii="宋体" w:hAnsi="宋体" w:eastAsia="宋体" w:cs="宋体"/>
      <w:b/>
      <w:color w:val="000000"/>
      <w:kern w:val="0"/>
      <w:sz w:val="24"/>
      <w:szCs w:val="28"/>
      <w:lang w:val="zh-TW" w:eastAsia="zh-TW" w:bidi="zh-TW"/>
    </w:rPr>
  </w:style>
  <w:style w:type="paragraph" w:customStyle="1" w:styleId="135">
    <w:name w:val="6表格"/>
    <w:basedOn w:val="1"/>
    <w:qFormat/>
    <w:uiPriority w:val="0"/>
    <w:pPr>
      <w:jc w:val="center"/>
    </w:pPr>
  </w:style>
  <w:style w:type="paragraph" w:customStyle="1" w:styleId="136">
    <w:name w:val="闽创报告正文"/>
    <w:basedOn w:val="137"/>
    <w:qFormat/>
    <w:uiPriority w:val="0"/>
    <w:pPr>
      <w:widowControl w:val="0"/>
      <w:tabs>
        <w:tab w:val="left" w:pos="0"/>
      </w:tabs>
      <w:autoSpaceDE w:val="0"/>
      <w:autoSpaceDN w:val="0"/>
      <w:spacing w:line="360" w:lineRule="auto"/>
      <w:ind w:firstLine="200" w:firstLineChars="200"/>
      <w:jc w:val="both"/>
    </w:pPr>
    <w:rPr>
      <w:rFonts w:ascii="Times New Roman" w:hAnsi="Times New Roman" w:eastAsia="宋体" w:cs="宋体"/>
      <w:color w:val="FF0000"/>
      <w:kern w:val="0"/>
      <w:sz w:val="24"/>
      <w:szCs w:val="20"/>
      <w:lang w:val="zh-CN" w:eastAsia="zh-CN" w:bidi="ar-SA"/>
    </w:rPr>
  </w:style>
  <w:style w:type="paragraph" w:customStyle="1" w:styleId="137">
    <w:name w:val="0正文"/>
    <w:basedOn w:val="16"/>
    <w:unhideWhenUsed/>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paragraph" w:customStyle="1" w:styleId="138">
    <w:name w:val="正文（小四）"/>
    <w:qFormat/>
    <w:uiPriority w:val="0"/>
    <w:pPr>
      <w:spacing w:line="360" w:lineRule="auto"/>
      <w:ind w:firstLine="200" w:firstLineChars="200"/>
      <w:jc w:val="both"/>
    </w:pPr>
    <w:rPr>
      <w:rFonts w:ascii="Times New Roman" w:hAnsi="Times New Roman" w:eastAsia="宋体" w:cs="Times New Roman"/>
      <w:bCs/>
      <w:color w:val="000000"/>
      <w:kern w:val="2"/>
      <w:sz w:val="24"/>
      <w:szCs w:val="32"/>
      <w:lang w:val="en-US" w:eastAsia="zh-CN" w:bidi="ar-SA"/>
    </w:rPr>
  </w:style>
  <w:style w:type="character" w:customStyle="1" w:styleId="139">
    <w:name w:val="fontstyle01"/>
    <w:qFormat/>
    <w:uiPriority w:val="0"/>
    <w:rPr>
      <w:rFonts w:hint="eastAsia" w:ascii="宋体" w:hAnsi="宋体" w:eastAsia="宋体"/>
      <w:color w:val="000000"/>
      <w:sz w:val="24"/>
      <w:szCs w:val="24"/>
    </w:rPr>
  </w:style>
  <w:style w:type="paragraph" w:customStyle="1" w:styleId="140">
    <w:name w:val="xry表格标题"/>
    <w:basedOn w:val="141"/>
    <w:qFormat/>
    <w:uiPriority w:val="0"/>
    <w:pPr>
      <w:widowControl w:val="0"/>
      <w:jc w:val="center"/>
    </w:pPr>
    <w:rPr>
      <w:rFonts w:ascii="Times New Roman" w:hAnsi="Times New Roman"/>
      <w:b/>
      <w:sz w:val="24"/>
      <w:szCs w:val="24"/>
    </w:rPr>
  </w:style>
  <w:style w:type="paragraph" w:customStyle="1" w:styleId="141">
    <w:name w:val="No Spacing"/>
    <w:basedOn w:val="1"/>
    <w:qFormat/>
    <w:uiPriority w:val="1"/>
    <w:rPr>
      <w:szCs w:val="32"/>
    </w:rPr>
  </w:style>
  <w:style w:type="paragraph" w:customStyle="1" w:styleId="142">
    <w:name w:val="Table Text"/>
    <w:basedOn w:val="1"/>
    <w:semiHidden/>
    <w:qFormat/>
    <w:uiPriority w:val="0"/>
    <w:rPr>
      <w:rFonts w:ascii="宋体" w:hAnsi="宋体" w:eastAsia="宋体" w:cs="宋体"/>
      <w:sz w:val="24"/>
      <w:szCs w:val="24"/>
      <w:lang w:val="en-US" w:eastAsia="en-US" w:bidi="ar-SA"/>
    </w:rPr>
  </w:style>
  <w:style w:type="paragraph" w:customStyle="1" w:styleId="143">
    <w:name w:val="3表内文字"/>
    <w:basedOn w:val="1"/>
    <w:qFormat/>
    <w:uiPriority w:val="0"/>
    <w:pPr>
      <w:widowControl w:val="0"/>
      <w:jc w:val="center"/>
    </w:pPr>
    <w:rPr>
      <w:color w:val="000000"/>
      <w:sz w:val="18"/>
      <w:szCs w:val="21"/>
    </w:rPr>
  </w:style>
  <w:style w:type="paragraph" w:customStyle="1" w:styleId="144">
    <w:name w:val="样式 正文文本缩进 + 行距: 1.5 倍行距"/>
    <w:basedOn w:val="1"/>
    <w:qFormat/>
    <w:uiPriority w:val="0"/>
    <w:pPr>
      <w:spacing w:after="120" w:line="360" w:lineRule="auto"/>
      <w:ind w:left="90" w:leftChars="32" w:firstLine="560" w:firstLineChars="200"/>
    </w:pPr>
    <w:rPr>
      <w:rFonts w:cs="宋体"/>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2" Type="http://schemas.openxmlformats.org/officeDocument/2006/relationships/fontTable" Target="fontTable.xml"/><Relationship Id="rId51" Type="http://schemas.openxmlformats.org/officeDocument/2006/relationships/customXml" Target="../customXml/item2.xml"/><Relationship Id="rId50" Type="http://schemas.openxmlformats.org/officeDocument/2006/relationships/numbering" Target="numbering.xml"/><Relationship Id="rId5" Type="http://schemas.openxmlformats.org/officeDocument/2006/relationships/footer" Target="footer2.xml"/><Relationship Id="rId49" Type="http://schemas.openxmlformats.org/officeDocument/2006/relationships/customXml" Target="../customXml/item1.xml"/><Relationship Id="rId48" Type="http://schemas.openxmlformats.org/officeDocument/2006/relationships/image" Target="media/image37.jpeg"/><Relationship Id="rId47" Type="http://schemas.openxmlformats.org/officeDocument/2006/relationships/image" Target="media/image36.png"/><Relationship Id="rId46" Type="http://schemas.openxmlformats.org/officeDocument/2006/relationships/image" Target="media/image35.png"/><Relationship Id="rId45" Type="http://schemas.openxmlformats.org/officeDocument/2006/relationships/image" Target="media/image34.png"/><Relationship Id="rId44" Type="http://schemas.openxmlformats.org/officeDocument/2006/relationships/image" Target="media/image33.png"/><Relationship Id="rId43" Type="http://schemas.openxmlformats.org/officeDocument/2006/relationships/image" Target="media/image32.png"/><Relationship Id="rId42" Type="http://schemas.openxmlformats.org/officeDocument/2006/relationships/image" Target="media/image31.jpeg"/><Relationship Id="rId41" Type="http://schemas.openxmlformats.org/officeDocument/2006/relationships/image" Target="media/image30.png"/><Relationship Id="rId40" Type="http://schemas.openxmlformats.org/officeDocument/2006/relationships/image" Target="media/image29.wmf"/><Relationship Id="rId4" Type="http://schemas.openxmlformats.org/officeDocument/2006/relationships/footer" Target="footer1.xml"/><Relationship Id="rId39" Type="http://schemas.openxmlformats.org/officeDocument/2006/relationships/oleObject" Target="embeddings/oleObject4.bin"/><Relationship Id="rId38" Type="http://schemas.openxmlformats.org/officeDocument/2006/relationships/image" Target="media/image28.wmf"/><Relationship Id="rId37" Type="http://schemas.openxmlformats.org/officeDocument/2006/relationships/oleObject" Target="embeddings/oleObject3.bin"/><Relationship Id="rId36" Type="http://schemas.openxmlformats.org/officeDocument/2006/relationships/image" Target="media/image27.wmf"/><Relationship Id="rId35" Type="http://schemas.openxmlformats.org/officeDocument/2006/relationships/oleObject" Target="embeddings/oleObject2.bin"/><Relationship Id="rId34" Type="http://schemas.openxmlformats.org/officeDocument/2006/relationships/image" Target="media/image26.png"/><Relationship Id="rId33" Type="http://schemas.openxmlformats.org/officeDocument/2006/relationships/image" Target="media/image25.wmf"/><Relationship Id="rId32" Type="http://schemas.openxmlformats.org/officeDocument/2006/relationships/oleObject" Target="embeddings/oleObject1.bin"/><Relationship Id="rId31" Type="http://schemas.openxmlformats.org/officeDocument/2006/relationships/image" Target="media/image24.png"/><Relationship Id="rId30" Type="http://schemas.openxmlformats.org/officeDocument/2006/relationships/image" Target="media/image23.png"/><Relationship Id="rId3" Type="http://schemas.openxmlformats.org/officeDocument/2006/relationships/header" Target="header1.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1f138c22-a923-4bad-be3b-2215637a92e2</errorID>
      <errorWord>      </errorWord>
      <group>L1_Format</group>
      <groupName>格式问题</groupName>
      <ability>L2_Whitespace</ability>
      <abilityName>空白字符</abilityName>
      <candidateList>
        <item/>
      </candidateList>
      <explain>文本间存在多余的空白字符。</explain>
      <paraID> E5E8224</paraID>
      <start>29</start>
      <end>35</end>
      <status>ignored</status>
      <modifiedWord/>
      <trackRevisions>false</trackRevisions>
    </reviewItem>
    <reviewItem>
      <errorID>7c0ceb3c-6c7f-447d-98ae-50d7b1ca418a</errorID>
      <errorWord>              </errorWord>
      <group>L1_Format</group>
      <groupName>格式问题</groupName>
      <ability>L2_Whitespace</ability>
      <abilityName>空白字符</abilityName>
      <candidateList>
        <item/>
      </candidateList>
      <explain>文本间存在多余的空白字符。</explain>
      <paraID>2A791246</paraID>
      <start>24</start>
      <end>38</end>
      <status>ignored</status>
      <modifiedWord/>
      <trackRevisions>false</trackRevisions>
    </reviewItem>
    <reviewItem>
      <errorID>2ab776c6-4af5-4c45-aaac-35a4c5b026fc</errorID>
      <errorWord>                              </errorWord>
      <group>L1_Format</group>
      <groupName>格式问题</groupName>
      <ability>L2_Whitespace</ability>
      <abilityName>空白字符</abilityName>
      <candidateList>
        <item/>
      </candidateList>
      <explain>文本间存在多余的空白字符。</explain>
      <paraID>3ECCC83E</paraID>
      <start>26</start>
      <end>56</end>
      <status>ignored</status>
      <modifiedWord/>
      <trackRevisions>false</trackRevisions>
    </reviewItem>
    <reviewItem>
      <errorID>f4e1c833-aa86-489d-9a6b-b5271453cfd9</errorID>
      <errorWord>城镇融合发展</errorWord>
      <group>L1_Political</group>
      <groupName>政治性问题</groupName>
      <ability>L2_Keyword</ability>
      <abilityName>固定表述</abilityName>
      <candidateList>
        <item>城乡融合发展</item>
      </candidateList>
      <explain>词汇“城乡融合发展”在特定场景下为固定表述形式，请确认此处的“城镇融合发展”是否存在不当。</explain>
      <paraID>6CE91C8D</paraID>
      <start>143</start>
      <end>149</end>
      <status>ignored</status>
      <modifiedWord/>
      <trackRevisions>false</trackRevisions>
    </reviewItem>
    <reviewItem>
      <errorID>a4312ee6-daba-4047-84a8-556712631a56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3216590F</paraID>
      <start>31</start>
      <end>34</end>
      <status>ignored</status>
      <modifiedWord/>
      <trackRevisions>false</trackRevisions>
    </reviewItem>
    <reviewItem>
      <errorID>6eae5f08-998b-46af-a353-2e3f174fd23c</errorID>
      <errorWord>》中</errorWord>
      <group>L1_Word</group>
      <groupName>字词问题</groupName>
      <ability>L2_Typo</ability>
      <abilityName>字词错误</abilityName>
      <candidateList>
        <item>》</item>
      </candidateList>
      <explain/>
      <paraID>3216590F</paraID>
      <start>63</start>
      <end>65</end>
      <status>ignored</status>
      <modifiedWord/>
      <trackRevisions>false</trackRevisions>
    </reviewItem>
    <reviewItem>
      <errorID>fae087dc-62f4-42f7-8f2b-b5e08b781f45</errorID>
      <errorWord>法律、法规</errorWord>
      <group>L1_Word</group>
      <groupName>字词问题</groupName>
      <ability>L2_Typo</ability>
      <abilityName>字词错误</abilityName>
      <candidateList>
        <item>法律法规</item>
      </candidateList>
      <explain/>
      <paraID>3216590F</paraID>
      <start>92</start>
      <end>97</end>
      <status>ignored</status>
      <modifiedWord/>
      <trackRevisions>false</trackRevisions>
    </reviewItem>
    <reviewItem>
      <errorID>d0bdf8d3-a166-4831-b4f9-588d68387661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3216590F</paraID>
      <start>143</start>
      <end>144</end>
      <status>ignored</status>
      <modifiedWord/>
      <trackRevisions>false</trackRevisions>
    </reviewItem>
    <reviewItem>
      <errorID>ae9282f7-5155-436c-b14c-092ce26769fe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176E1DB</paraID>
      <start>53</start>
      <end>54</end>
      <status>ignored</status>
      <modifiedWord/>
      <trackRevisions>false</trackRevisions>
    </reviewItem>
    <reviewItem>
      <errorID>d4b11cc9-4e31-40f8-9489-966aa9839e0f</errorID>
      <errorWord>原住居民</errorWord>
      <group>L1_Sensitive</group>
      <groupName>敏感问题</groupName>
      <ability>L2_Violent</ability>
      <abilityName>暴恐词条</abilityName>
      <candidateList/>
      <explain>【暴恐词条】句中包含暴恐类敏感词条，请注意甄别。</explain>
      <paraID>6024CAB2</paraID>
      <start>3</start>
      <end>7</end>
      <status>ignored</status>
      <modifiedWord/>
      <trackRevisions>false</trackRevisions>
    </reviewItem>
    <reviewItem>
      <errorID>ef91e318-57a6-49b6-86f0-02776970158a</errorID>
      <errorWord>中共中央国务院</errorWord>
      <group>L1_Political</group>
      <groupName>政治性问题</groupName>
      <ability>L2_Keyword</ability>
      <abilityName>固定表述</abilityName>
      <candidateList>
        <item>中共中央、国务院</item>
      </candidateList>
      <explain>注意检查当前固定表述标点是否使用规范。</explain>
      <paraID>5F516EE3</paraID>
      <start>85</start>
      <end>92</end>
      <status>ignored</status>
      <modifiedWord/>
      <trackRevisions>false</trackRevisions>
    </reviewItem>
    <reviewItem>
      <errorID>78938237-de05-4498-87d6-f6ef3afb33d3</errorID>
      <errorWord>空气质量持续改善计划</errorWord>
      <group>L1_Political</group>
      <groupName>政治性问题</groupName>
      <ability>L2_Keyword</ability>
      <abilityName>固定表述</abilityName>
      <candidateList>
        <item>空气质量持续改善行动计划</item>
      </candidateList>
      <explain>词汇“空气质量持续改善行动计划”在特定场景下为固定表述形式，请确认此处的“空气质量持续改善计划”是否存在不当。</explain>
      <paraID> 4A6D1FD</paraID>
      <start>35</start>
      <end>45</end>
      <status>ignored</status>
      <modifiedWord/>
      <trackRevisions>false</trackRevisions>
    </reviewItem>
    <reviewItem>
      <errorID>465cf928-8d21-4df9-8a01-da67b7ea9859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4A65A681</paraID>
      <start>17</start>
      <end>20</end>
      <status>ignored</status>
      <modifiedWord/>
      <trackRevisions>false</trackRevisions>
    </reviewItem>
    <reviewItem>
      <errorID>a11b1254-7d09-42e5-b75b-e46f9a78bdf0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4A65A681</paraID>
      <start>32</start>
      <end>35</end>
      <status>ignored</status>
      <modifiedWord/>
      <trackRevisions>false</trackRevisions>
    </reviewItem>
    <reviewItem>
      <errorID>724d6c90-4832-4bc3-beb3-39f46ff00634</errorID>
      <errorWord>～</errorWord>
      <group>L1_Format</group>
      <groupName>格式问题</groupName>
      <ability>L2_HalfPunc_CN</ability>
      <abilityName>全半角问题</abilityName>
      <candidateList>
        <item>~</item>
      </candidateList>
      <explain>文本全半角错误。</explain>
      <paraID>484BAD57</paraID>
      <start>1</start>
      <end>2</end>
      <status>modified</status>
      <modifiedWord>~</modifiedWord>
      <trackRevisions>false</trackRevisions>
    </reviewItem>
    <reviewItem>
      <errorID>a883779e-91f6-425c-85b2-448dafa09d9a</errorID>
      <errorWord>～</errorWord>
      <group>L1_Format</group>
      <groupName>格式问题</groupName>
      <ability>L2_HalfPunc_CN</ability>
      <abilityName>全半角问题</abilityName>
      <candidateList>
        <item>~</item>
      </candidateList>
      <explain>文本全半角错误。</explain>
      <paraID>2175B4F4</paraID>
      <start>4</start>
      <end>5</end>
      <status>modified</status>
      <modifiedWord>~</modifiedWord>
      <trackRevisions>false</trackRevisions>
    </reviewItem>
    <reviewItem>
      <errorID>51a0a16e-d8c6-47b8-9a8e-53b81187e3f9</errorID>
      <errorWord>～</errorWord>
      <group>L1_Format</group>
      <groupName>格式问题</groupName>
      <ability>L2_HalfPunc_CN</ability>
      <abilityName>全半角问题</abilityName>
      <candidateList>
        <item>~</item>
      </candidateList>
      <explain>文本全半角错误。</explain>
      <paraID>490C9EF1</paraID>
      <start>4</start>
      <end>5</end>
      <status>modified</status>
      <modifiedWord>~</modifiedWord>
      <trackRevisions>false</trackRevisions>
    </reviewItem>
    <reviewItem>
      <errorID>af931fef-2209-4c04-b728-275507b7558d</errorID>
      <errorWord>~</errorWord>
      <group>L1_Format</group>
      <groupName>格式问题</groupName>
      <ability>L2_HalfPunc_CN</ability>
      <abilityName>全半角问题</abilityName>
      <candidateList>
        <item>～</item>
      </candidateList>
      <explain>文本全半角错误。</explain>
      <paraID>14F72C00</paraID>
      <start>39</start>
      <end>40</end>
      <status>ignored</status>
      <modifiedWord/>
      <trackRevisions>false</trackRevisions>
    </reviewItem>
    <reviewItem>
      <errorID>3e6dbce6-0429-4c2c-861a-546de58a1bae</errorID>
      <errorWord>至2025年12</errorWord>
      <group>L1_Word</group>
      <groupName>字词问题</groupName>
      <ability>L2_Typo</ability>
      <abilityName>字词错误</abilityName>
      <candidateList>
        <item>截至2025年12</item>
      </candidateList>
      <explain/>
      <paraID>3696CFAF</paraID>
      <start>65</start>
      <end>73</end>
      <status>ignored</status>
      <modifiedWord/>
      <trackRevisions>false</trackRevisions>
    </reviewItem>
    <reviewItem>
      <errorID>c864ccb0-258c-4ad2-b647-1a7148c0eba7</errorID>
      <errorWord>；</errorWord>
      <group>L1_Format</group>
      <groupName>格式问题</groupName>
      <ability>L2_HalfPunc_CN</ability>
      <abilityName>全半角问题</abilityName>
      <candidateList>
        <item>;</item>
      </candidateList>
      <explain>文本全半角错误。</explain>
      <paraID>7434F55C</paraID>
      <start>8</start>
      <end>9</end>
      <status>ignored</status>
      <modifiedWord/>
      <trackRevisions>false</trackRevisions>
    </reviewItem>
    <reviewItem>
      <errorID>ffc1d340-60cc-4a3d-b172-51a6e930aea3</errorID>
      <errorWord>；</errorWord>
      <group>L1_Format</group>
      <groupName>格式问题</groupName>
      <ability>L2_HalfPunc_CN</ability>
      <abilityName>全半角问题</abilityName>
      <candidateList>
        <item>;</item>
      </candidateList>
      <explain>文本全半角错误。</explain>
      <paraID>529AC35C</paraID>
      <start>8</start>
      <end>9</end>
      <status>ignored</status>
      <modifiedWord/>
      <trackRevisions>false</trackRevisions>
    </reviewItem>
    <reviewItem>
      <errorID>010cc486-9fca-4b18-8fdc-016e4e8a11ce</errorID>
      <errorWord>；</errorWord>
      <group>L1_Format</group>
      <groupName>格式问题</groupName>
      <ability>L2_HalfPunc_CN</ability>
      <abilityName>全半角问题</abilityName>
      <candidateList>
        <item>;</item>
      </candidateList>
      <explain>文本全半角错误。</explain>
      <paraID>2A7414D6</paraID>
      <start>8</start>
      <end>9</end>
      <status>ignored</status>
      <modifiedWord/>
      <trackRevisions>false</trackRevisions>
    </reviewItem>
    <reviewItem>
      <errorID>b588d8db-49b8-4b20-8163-3e20b4f359b7</errorID>
      <errorWord>；</errorWord>
      <group>L1_Format</group>
      <groupName>格式问题</groupName>
      <ability>L2_HalfPunc_CN</ability>
      <abilityName>全半角问题</abilityName>
      <candidateList>
        <item>;</item>
      </candidateList>
      <explain>文本全半角错误。</explain>
      <paraID>1AB541DB</paraID>
      <start>8</start>
      <end>9</end>
      <status>ignored</status>
      <modifiedWord/>
      <trackRevisions>false</trackRevisions>
    </reviewItem>
    <reviewItem>
      <errorID>790052c1-83e0-47e7-add5-d86ae9248709</errorID>
      <errorWord>；</errorWord>
      <group>L1_Format</group>
      <groupName>格式问题</groupName>
      <ability>L2_HalfPunc_CN</ability>
      <abilityName>全半角问题</abilityName>
      <candidateList>
        <item>;</item>
      </candidateList>
      <explain>文本全半角错误。</explain>
      <paraID> 93E75CE</paraID>
      <start>8</start>
      <end>9</end>
      <status>ignored</status>
      <modifiedWord/>
      <trackRevisions>false</trackRevisions>
    </reviewItem>
    <reviewItem>
      <errorID>df73364e-ac3f-4426-87a5-bbbabf4dd102</errorID>
      <errorWord>；</errorWord>
      <group>L1_Format</group>
      <groupName>格式问题</groupName>
      <ability>L2_HalfPunc_CN</ability>
      <abilityName>全半角问题</abilityName>
      <candidateList>
        <item>;</item>
      </candidateList>
      <explain>文本全半角错误。</explain>
      <paraID>689E1CEE</paraID>
      <start>8</start>
      <end>9</end>
      <status>ignored</status>
      <modifiedWord/>
      <trackRevisions>false</trackRevisions>
    </reviewItem>
    <reviewItem>
      <errorID>b4e939a7-e497-4ebe-ba1d-1b4016d33bcf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22CFC5A3</paraID>
      <start>150</start>
      <end>153</end>
      <status>ignored</status>
      <modifiedWord/>
      <trackRevisions>false</trackRevisions>
    </reviewItem>
    <reviewItem>
      <errorID>dc32bc99-6f12-440a-8ace-a1382d577bba</errorID>
      <errorWord>（</errorWord>
      <group>L1_Punc</group>
      <groupName>标点问题</groupName>
      <ability>L2_Punc_CN</ability>
      <abilityName>标点符号问题</abilityName>
      <candidateList/>
      <explain>同一形式括号套用。</explain>
      <paraID>574C3446</paraID>
      <start>72</start>
      <end>73</end>
      <status>ignored</status>
      <modifiedWord/>
      <trackRevisions>false</trackRevisions>
    </reviewItem>
    <reviewItem>
      <errorID>a6ad2d05-0fa3-4917-94f8-6522d88ac293</errorID>
      <errorWord>）</errorWord>
      <group>L1_Punc</group>
      <groupName>标点问题</groupName>
      <ability>L2_Punc_CN</ability>
      <abilityName>标点符号问题</abilityName>
      <candidateList/>
      <explain>同一形式括号套用。</explain>
      <paraID>574C3446</paraID>
      <start>87</start>
      <end>88</end>
      <status>ignored</status>
      <modifiedWord/>
      <trackRevisions>false</trackRevisions>
    </reviewItem>
    <reviewItem>
      <errorID>80484f1f-560f-472e-adf7-f7bce1a4b15b</errorID>
      <errorWord>-</errorWord>
      <group>L1_Format</group>
      <groupName>格式问题</groupName>
      <ability>L2_HalfPunc_CN</ability>
      <abilityName>全半角问题</abilityName>
      <candidateList>
        <item>－</item>
      </candidateList>
      <explain>文本全半角错误。</explain>
      <paraID>16361214</paraID>
      <start>184</start>
      <end>185</end>
      <status>ignored</status>
      <modifiedWord/>
      <trackRevisions>false</trackRevisions>
    </reviewItem>
    <reviewItem>
      <errorID>6930ea61-5c25-4441-9e1e-9171cfb932ae</errorID>
      <errorWord>-</errorWord>
      <group>L1_Format</group>
      <groupName>格式问题</groupName>
      <ability>L2_HalfPunc_CN</ability>
      <abilityName>全半角问题</abilityName>
      <candidateList>
        <item>－</item>
      </candidateList>
      <explain>文本全半角错误。</explain>
      <paraID>16361214</paraID>
      <start>210</start>
      <end>211</end>
      <status>ignored</status>
      <modifiedWord/>
      <trackRevisions>false</trackRevisions>
    </reviewItem>
    <reviewItem>
      <errorID>14b5cdda-37e0-414a-aaf7-ae66d2a6a43a</errorID>
      <errorWord>-</errorWord>
      <group>L1_Format</group>
      <groupName>格式问题</groupName>
      <ability>L2_HalfPunc_CN</ability>
      <abilityName>全半角问题</abilityName>
      <candidateList>
        <item>－</item>
      </candidateList>
      <explain>文本全半角错误。</explain>
      <paraID>16361214</paraID>
      <start>235</start>
      <end>236</end>
      <status>ignored</status>
      <modifiedWord/>
      <trackRevisions>false</trackRevisions>
    </reviewItem>
    <reviewItem>
      <errorID>0e12fa97-02d8-4b54-a55f-b1f9e73b6327</errorID>
      <errorWord>-</errorWord>
      <group>L1_Format</group>
      <groupName>格式问题</groupName>
      <ability>L2_HalfPunc_CN</ability>
      <abilityName>全半角问题</abilityName>
      <candidateList>
        <item>－</item>
      </candidateList>
      <explain>文本全半角错误。</explain>
      <paraID>16361214</paraID>
      <start>315</start>
      <end>316</end>
      <status>ignored</status>
      <modifiedWord/>
      <trackRevisions>false</trackRevisions>
    </reviewItem>
    <reviewItem>
      <errorID>9b782142-9dd4-4f7c-a0f3-9b8c0396f2d8</errorID>
      <errorWord>-</errorWord>
      <group>L1_Format</group>
      <groupName>格式问题</groupName>
      <ability>L2_HalfPunc_CN</ability>
      <abilityName>全半角问题</abilityName>
      <candidateList>
        <item>－</item>
      </candidateList>
      <explain>文本全半角错误。</explain>
      <paraID>16361214</paraID>
      <start>344</start>
      <end>345</end>
      <status>ignored</status>
      <modifiedWord/>
      <trackRevisions>false</trackRevisions>
    </reviewItem>
    <reviewItem>
      <errorID>8a958f7d-973b-4aae-b9e1-813f4f630ff1</errorID>
      <errorWord>（</errorWord>
      <group>L1_Punc</group>
      <groupName>标点问题</groupName>
      <ability>L2_Punc_CN</ability>
      <abilityName>标点符号问题</abilityName>
      <candidateList/>
      <explain>同一形式括号套用。</explain>
      <paraID>16361214</paraID>
      <start>454</start>
      <end>455</end>
      <status>ignored</status>
      <modifiedWord/>
      <trackRevisions>false</trackRevisions>
    </reviewItem>
    <reviewItem>
      <errorID>678a9982-1135-4b58-a675-eb87bbca6ebe</errorID>
      <errorWord>(</errorWord>
      <group>L1_Punc</group>
      <groupName>标点问题</groupName>
      <ability>L2_Punc_CN</ability>
      <abilityName>标点符号问题</abilityName>
      <candidateList/>
      <explain>同一形式括号套用。</explain>
      <paraID>16361214</paraID>
      <start>486</start>
      <end>487</end>
      <status>ignored</status>
      <modifiedWord/>
      <trackRevisions>false</trackRevisions>
    </reviewItem>
    <reviewItem>
      <errorID>58d3ac6c-9faa-406c-84bb-557f6b3cf86c</errorID>
      <errorWord>)</errorWord>
      <group>L1_Punc</group>
      <groupName>标点问题</groupName>
      <ability>L2_Punc_CN</ability>
      <abilityName>标点符号问题</abilityName>
      <candidateList/>
      <explain>同一形式括号套用。</explain>
      <paraID>16361214</paraID>
      <start>491</start>
      <end>492</end>
      <status>ignored</status>
      <modifiedWord/>
      <trackRevisions>false</trackRevisions>
    </reviewItem>
    <reviewItem>
      <errorID>1ac50748-5262-4802-a830-3bcfc4539f12</errorID>
      <errorWord>）</errorWord>
      <group>L1_Punc</group>
      <groupName>标点问题</groupName>
      <ability>L2_Punc_CN</ability>
      <abilityName>标点符号问题</abilityName>
      <candidateList/>
      <explain>同一形式括号套用。</explain>
      <paraID>16361214</paraID>
      <start>502</start>
      <end>503</end>
      <status>ignored</status>
      <modifiedWord/>
      <trackRevisions>false</trackRevisions>
    </reviewItem>
    <reviewItem>
      <errorID>cef8bb96-edd0-457a-adf1-9d5ed69d41cc</errorID>
      <errorWord>~</errorWord>
      <group>L1_Format</group>
      <groupName>格式问题</groupName>
      <ability>L2_HalfPunc_CN</ability>
      <abilityName>全半角问题</abilityName>
      <candidateList>
        <item>～</item>
      </candidateList>
      <explain>文本全半角错误。</explain>
      <paraID>16361214</paraID>
      <start>536</start>
      <end>537</end>
      <status>ignored</status>
      <modifiedWord/>
      <trackRevisions>false</trackRevisions>
    </reviewItem>
    <reviewItem>
      <errorID>e74d9489-2349-4a36-9bdd-189e33c4f8d1</errorID>
      <errorWord>~</errorWord>
      <group>L1_Format</group>
      <groupName>格式问题</groupName>
      <ability>L2_HalfPunc_CN</ability>
      <abilityName>全半角问题</abilityName>
      <candidateList>
        <item>～</item>
      </candidateList>
      <explain>文本全半角错误。</explain>
      <paraID>6569B8DA</paraID>
      <start>71</start>
      <end>72</end>
      <status>ignored</status>
      <modifiedWord/>
      <trackRevisions>false</trackRevisions>
    </reviewItem>
    <reviewItem>
      <errorID>23fda39c-3cc8-4c60-b782-3c1c8cd610aa</errorID>
      <errorWord> </errorWord>
      <group>L1_Format</group>
      <groupName>格式问题</groupName>
      <ability>L2_Whitespace</ability>
      <abilityName>空白字符</abilityName>
      <candidateList>
        <item/>
      </candidateList>
      <explain>文本间存在多余的空白字符。</explain>
      <paraID>67D51599</paraID>
      <start>208</start>
      <end>208</end>
      <status>modified</status>
      <modifiedWord/>
      <trackRevisions>false</trackRevisions>
    </reviewItem>
    <reviewItem>
      <errorID>b435f376-1a58-4f79-91f1-9cb26dc9336d</errorID>
      <errorWord>kw</errorWord>
      <group>L1_Word</group>
      <groupName>字词问题</groupName>
      <ability>L2_Typo</ability>
      <abilityName>字词错误</abilityName>
      <candidateList>
        <item>kW</item>
      </candidateList>
      <explain/>
      <paraID>3ED3AF1C</paraID>
      <start>186</start>
      <end>188</end>
      <status>ignored</status>
      <modifiedWord/>
      <trackRevisions>false</trackRevisions>
    </reviewItem>
    <reviewItem>
      <errorID>a1eb1b5b-3a86-486f-89a0-5a5dccec84ad</errorID>
      <errorWord>kw</errorWord>
      <group>L1_Word</group>
      <groupName>字词问题</groupName>
      <ability>L2_Typo</ability>
      <abilityName>字词错误</abilityName>
      <candidateList>
        <item>kW</item>
      </candidateList>
      <explain/>
      <paraID>3ED3AF1C</paraID>
      <start>223</start>
      <end>225</end>
      <status>ignored</status>
      <modifiedWord/>
      <trackRevisions>false</trackRevisions>
    </reviewItem>
    <reviewItem>
      <errorID>a54511ef-6e94-4fdb-92ea-fd03b2af9de9</errorID>
      <errorWord> </errorWord>
      <group>L1_Format</group>
      <groupName>格式问题</groupName>
      <ability>L2_Whitespace</ability>
      <abilityName>空白字符</abilityName>
      <candidateList>
        <item/>
      </candidateList>
      <explain>文本间存在多余的空白字符。</explain>
      <paraID>34B5CFC5</paraID>
      <start>194</start>
      <end>194</end>
      <status>modified</status>
      <modifiedWord/>
      <trackRevisions>false</trackRevisions>
    </reviewItem>
    <reviewItem>
      <errorID>3fdbe15b-fc54-4b6a-85a4-c6e19946daa1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5301E963</paraID>
      <start>440</start>
      <end>441</end>
      <status>ignored</status>
      <modifiedWord/>
      <trackRevisions>false</trackRevisions>
    </reviewItem>
    <reviewItem>
      <errorID>7c47ebd8-1cb0-48cb-99d7-34d9376143ad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5301E963</paraID>
      <start>457</start>
      <end>458</end>
      <status>ignored</status>
      <modifiedWord/>
      <trackRevisions>false</trackRevisions>
    </reviewItem>
    <reviewItem>
      <errorID>03d5791b-000f-48ec-bd55-6154ea53b38c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5301E963</paraID>
      <start>473</start>
      <end>474</end>
      <status>ignored</status>
      <modifiedWord/>
      <trackRevisions>false</trackRevisions>
    </reviewItem>
    <reviewItem>
      <errorID>df96ed85-8d23-45e0-b58b-c88502cdfb24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7D009D92</paraID>
      <start>26</start>
      <end>27</end>
      <status>ignored</status>
      <modifiedWord/>
      <trackRevisions>false</trackRevisions>
    </reviewItem>
    <reviewItem>
      <errorID>49772e6b-a79d-457d-b975-1f820488cc71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7D009D92</paraID>
      <start>44</start>
      <end>45</end>
      <status>ignored</status>
      <modifiedWord/>
      <trackRevisions>false</trackRevisions>
    </reviewItem>
    <reviewItem>
      <errorID>850fef57-8cd5-4ca1-b830-8951c1b5161c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7D009D92</paraID>
      <start>97</start>
      <end>98</end>
      <status>ignored</status>
      <modifiedWord/>
      <trackRevisions>false</trackRevisions>
    </reviewItem>
    <reviewItem>
      <errorID>9c78a84c-9cf8-4885-83b6-5a953317fdbe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7D009D92</paraID>
      <start>149</start>
      <end>150</end>
      <status>ignored</status>
      <modifiedWord/>
      <trackRevisions>false</trackRevisions>
    </reviewItem>
    <reviewItem>
      <errorID>8233327b-7ff0-45ac-9311-42a1e286889f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7D009D92</paraID>
      <start>192</start>
      <end>193</end>
      <status>ignored</status>
      <modifiedWord/>
      <trackRevisions>false</trackRevisions>
    </reviewItem>
    <reviewItem>
      <errorID>0ff884d0-687e-4e28-9eaa-928a4ca9d3af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7D009D92</paraID>
      <start>210</start>
      <end>211</end>
      <status>ignored</status>
      <modifiedWord/>
      <trackRevisions>false</trackRevisions>
    </reviewItem>
    <reviewItem>
      <errorID>e0a842c7-1fcd-48b9-aa29-b152a425c428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7D009D92</paraID>
      <start>246</start>
      <end>247</end>
      <status>ignored</status>
      <modifiedWord/>
      <trackRevisions>false</trackRevisions>
    </reviewItem>
    <reviewItem>
      <errorID>8eca8fec-8fef-4195-a973-72a390010431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7D009D92</paraID>
      <start>268</start>
      <end>269</end>
      <status>ignored</status>
      <modifiedWord/>
      <trackRevisions>false</trackRevisions>
    </reviewItem>
    <reviewItem>
      <errorID>85666f3f-c133-4d08-b5af-ed11911de113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7D009D92</paraID>
      <start>286</start>
      <end>287</end>
      <status>ignored</status>
      <modifiedWord/>
      <trackRevisions>false</trackRevisions>
    </reviewItem>
    <reviewItem>
      <errorID>b8897d2d-8123-44fc-ada2-e62a87979aa7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8533105</paraID>
      <start>109</start>
      <end>110</end>
      <status>ignored</status>
      <modifiedWord/>
      <trackRevisions>false</trackRevisions>
    </reviewItem>
    <reviewItem>
      <errorID>e6421e34-423e-43eb-88c1-02ae6627a029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8533105</paraID>
      <start>177</start>
      <end>178</end>
      <status>ignored</status>
      <modifiedWord/>
      <trackRevisions>false</trackRevisions>
    </reviewItem>
    <reviewItem>
      <errorID>d674127c-8266-42e9-9c5e-97b8b0fb5573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8533105</paraID>
      <start>195</start>
      <end>196</end>
      <status>ignored</status>
      <modifiedWord/>
      <trackRevisions>false</trackRevisions>
    </reviewItem>
    <reviewItem>
      <errorID>46ae8d98-7186-4871-8bb1-5c9f81205684</errorID>
      <errorWord>(</errorWord>
      <group>L1_Format</group>
      <groupName>格式问题</groupName>
      <ability>L2_HalfPunc_CN</ability>
      <abilityName>全半角问题</abilityName>
      <candidateList>
        <item>（</item>
      </candidateList>
      <explain>文本全半角错误。</explain>
      <paraID>152D22CB</paraID>
      <start>6</start>
      <end>7</end>
      <status>ignored</status>
      <modifiedWord/>
      <trackRevisions>false</trackRevisions>
    </reviewItem>
    <reviewItem>
      <errorID>21131c15-1e6f-485f-a155-7339cf32a90f</errorID>
      <errorWord>)</errorWord>
      <group>L1_Format</group>
      <groupName>格式问题</groupName>
      <ability>L2_HalfPunc_CN</ability>
      <abilityName>全半角问题</abilityName>
      <candidateList>
        <item>）</item>
      </candidateList>
      <explain>文本全半角错误。</explain>
      <paraID>152D22CB</paraID>
      <start>12</start>
      <end>13</end>
      <status>ignored</status>
      <modifiedWord/>
      <trackRevisions>false</trackRevisions>
    </reviewItem>
    <reviewItem>
      <errorID>27c1ca09-d38d-4858-bd03-f3fd019724b9</errorID>
      <errorWord>(</errorWord>
      <group>L1_Format</group>
      <groupName>格式问题</groupName>
      <ability>L2_HalfPunc_CN</ability>
      <abilityName>全半角问题</abilityName>
      <candidateList>
        <item>（</item>
      </candidateList>
      <explain>文本全半角错误。</explain>
      <paraID>201A86EB</paraID>
      <start>3</start>
      <end>4</end>
      <status>ignored</status>
      <modifiedWord/>
      <trackRevisions>false</trackRevisions>
    </reviewItem>
    <reviewItem>
      <errorID>bfab1770-a9f9-49c8-a37a-b9851758bf9a</errorID>
      <errorWord>)</errorWord>
      <group>L1_Format</group>
      <groupName>格式问题</groupName>
      <ability>L2_HalfPunc_CN</ability>
      <abilityName>全半角问题</abilityName>
      <candidateList>
        <item>）</item>
      </candidateList>
      <explain>文本全半角错误。</explain>
      <paraID>201A86EB</paraID>
      <start>7</start>
      <end>8</end>
      <status>ignored</status>
      <modifiedWord/>
      <trackRevisions>false</trackRevisions>
    </reviewItem>
    <reviewItem>
      <errorID>3c4bdf8d-f19e-4d32-957c-837f08a790ca</errorID>
      <errorWord>(</errorWord>
      <group>L1_Format</group>
      <groupName>格式问题</groupName>
      <ability>L2_HalfPunc_CN</ability>
      <abilityName>全半角问题</abilityName>
      <candidateList>
        <item>（</item>
      </candidateList>
      <explain>文本全半角错误。</explain>
      <paraID>63F6D6C6</paraID>
      <start>4</start>
      <end>5</end>
      <status>ignored</status>
      <modifiedWord/>
      <trackRevisions>false</trackRevisions>
    </reviewItem>
    <reviewItem>
      <errorID>76573058-5797-447e-894f-78da73853fdf</errorID>
      <errorWord>)</errorWord>
      <group>L1_Format</group>
      <groupName>格式问题</groupName>
      <ability>L2_HalfPunc_CN</ability>
      <abilityName>全半角问题</abilityName>
      <candidateList>
        <item>）</item>
      </candidateList>
      <explain>文本全半角错误。</explain>
      <paraID>63F6D6C6</paraID>
      <start>9</start>
      <end>10</end>
      <status>ignored</status>
      <modifiedWord/>
      <trackRevisions>false</trackRevisions>
    </reviewItem>
    <reviewItem>
      <errorID>4ce37a06-98df-45aa-9ef0-37193da55d4a</errorID>
      <errorWord>(</errorWord>
      <group>L1_Format</group>
      <groupName>格式问题</groupName>
      <ability>L2_HalfPunc_CN</ability>
      <abilityName>全半角问题</abilityName>
      <candidateList>
        <item>（</item>
      </candidateList>
      <explain>文本全半角错误。</explain>
      <paraID>3E633F8D</paraID>
      <start>5</start>
      <end>6</end>
      <status>ignored</status>
      <modifiedWord/>
      <trackRevisions>false</trackRevisions>
    </reviewItem>
    <reviewItem>
      <errorID>178b75d9-250b-4b3a-8c09-f157cc6682db</errorID>
      <errorWord>)</errorWord>
      <group>L1_Format</group>
      <groupName>格式问题</groupName>
      <ability>L2_HalfPunc_CN</ability>
      <abilityName>全半角问题</abilityName>
      <candidateList>
        <item>）</item>
      </candidateList>
      <explain>文本全半角错误。</explain>
      <paraID>3E633F8D</paraID>
      <start>10</start>
      <end>11</end>
      <status>ignored</status>
      <modifiedWord/>
      <trackRevisions>false</trackRevisions>
    </reviewItem>
    <reviewItem>
      <errorID>f4454e40-931f-4f90-ae26-9995416e8e7f</errorID>
      <errorWord>(</errorWord>
      <group>L1_Format</group>
      <groupName>格式问题</groupName>
      <ability>L2_HalfPunc_CN</ability>
      <abilityName>全半角问题</abilityName>
      <candidateList>
        <item>（</item>
      </candidateList>
      <explain>文本全半角错误。</explain>
      <paraID>6623D13E</paraID>
      <start>4</start>
      <end>5</end>
      <status>ignored</status>
      <modifiedWord/>
      <trackRevisions>false</trackRevisions>
    </reviewItem>
    <reviewItem>
      <errorID>aa7069f8-2ea8-4b22-b7b0-e604e7c23548</errorID>
      <errorWord>)</errorWord>
      <group>L1_Format</group>
      <groupName>格式问题</groupName>
      <ability>L2_HalfPunc_CN</ability>
      <abilityName>全半角问题</abilityName>
      <candidateList>
        <item>）</item>
      </candidateList>
      <explain>文本全半角错误。</explain>
      <paraID>6623D13E</paraID>
      <start>10</start>
      <end>11</end>
      <status>ignored</status>
      <modifiedWord/>
      <trackRevisions>false</trackRevisions>
    </reviewItem>
    <reviewItem>
      <errorID>0ba6a88f-1698-445d-a7f1-14f828abbe01</errorID>
      <errorWord>(</errorWord>
      <group>L1_Format</group>
      <groupName>格式问题</groupName>
      <ability>L2_HalfPunc_CN</ability>
      <abilityName>全半角问题</abilityName>
      <candidateList>
        <item>（</item>
      </candidateList>
      <explain>文本全半角错误。</explain>
      <paraID>6BAC61DF</paraID>
      <start>3</start>
      <end>4</end>
      <status>ignored</status>
      <modifiedWord/>
      <trackRevisions>false</trackRevisions>
    </reviewItem>
    <reviewItem>
      <errorID>9420cc01-68eb-4a91-9ced-a52f5275d462</errorID>
      <errorWord>)</errorWord>
      <group>L1_Format</group>
      <groupName>格式问题</groupName>
      <ability>L2_HalfPunc_CN</ability>
      <abilityName>全半角问题</abilityName>
      <candidateList>
        <item>）</item>
      </candidateList>
      <explain>文本全半角错误。</explain>
      <paraID>6BAC61DF</paraID>
      <start>7</start>
      <end>8</end>
      <status>ignored</status>
      <modifiedWord/>
      <trackRevisions>false</trackRevisions>
    </reviewItem>
    <reviewItem>
      <errorID>735ac43f-97d8-46c9-b2eb-c03029040fb9</errorID>
      <errorWord>(</errorWord>
      <group>L1_Format</group>
      <groupName>格式问题</groupName>
      <ability>L2_HalfPunc_CN</ability>
      <abilityName>全半角问题</abilityName>
      <candidateList>
        <item>（</item>
      </candidateList>
      <explain>文本全半角错误。</explain>
      <paraID>5C6F204F</paraID>
      <start>4</start>
      <end>5</end>
      <status>ignored</status>
      <modifiedWord/>
      <trackRevisions>false</trackRevisions>
    </reviewItem>
    <reviewItem>
      <errorID>cb2f39db-5089-45c7-855c-1e8f9f3e2b31</errorID>
      <errorWord>)</errorWord>
      <group>L1_Format</group>
      <groupName>格式问题</groupName>
      <ability>L2_HalfPunc_CN</ability>
      <abilityName>全半角问题</abilityName>
      <candidateList>
        <item>）</item>
      </candidateList>
      <explain>文本全半角错误。</explain>
      <paraID>5C6F204F</paraID>
      <start>9</start>
      <end>10</end>
      <status>ignored</status>
      <modifiedWord/>
      <trackRevisions>false</trackRevisions>
    </reviewItem>
    <reviewItem>
      <errorID>7af05f8e-aa78-4463-8d0c-fc53e313aaa8</errorID>
      <errorWord>；</errorWord>
      <group>L1_Format</group>
      <groupName>格式问题</groupName>
      <ability>L2_HalfPunc_CN</ability>
      <abilityName>全半角问题</abilityName>
      <candidateList>
        <item>;</item>
      </candidateList>
      <explain>文本全半角错误。</explain>
      <paraID>3414D278</paraID>
      <start>12</start>
      <end>13</end>
      <status>ignored</status>
      <modifiedWord/>
      <trackRevisions>false</trackRevisions>
    </reviewItem>
    <reviewItem>
      <errorID>1abd1664-9e49-4a82-9979-81d4e1fc31fd</errorID>
      <errorWord>设</errorWord>
      <group>L1_Word</group>
      <groupName>字词问题</groupName>
      <ability>L2_Typo</ability>
      <abilityName>字词错误</abilityName>
      <candidateList>
        <item>设备</item>
      </candidateList>
      <explain/>
      <paraID>648C2962</paraID>
      <start>61</start>
      <end>63</end>
      <status>modified</status>
      <modifiedWord>设备</modifiedWord>
      <trackRevisions>false</trackRevisions>
    </reviewItem>
    <reviewItem>
      <errorID>460f35f0-a2de-4c45-a546-4435576d26c0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78125F5F</paraID>
      <start>0</start>
      <end>1</end>
      <status>ignored</status>
      <modifiedWord/>
      <trackRevisions>false</trackRevisions>
    </reviewItem>
    <reviewItem>
      <errorID>aeeee539-1c7c-4aa0-9863-941c4bcf0478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3410B753</paraID>
      <start>0</start>
      <end>1</end>
      <status>ignored</status>
      <modifiedWord/>
      <trackRevisions>false</trackRevisions>
    </reviewItem>
    <reviewItem>
      <errorID>b3580bbb-6c28-45c5-9fc0-386eb7dc72e3</errorID>
      <errorWord>维护结构</errorWord>
      <group>L1_Word</group>
      <groupName>字词问题</groupName>
      <ability>L2_Typo</ability>
      <abilityName>字词错误</abilityName>
      <candidateList>
        <item>围护结构</item>
      </candidateList>
      <explain>存在发音相同字词的误用。</explain>
      <paraID>64FBE068</paraID>
      <start>53</start>
      <end>57</end>
      <status>ignored</status>
      <modifiedWord/>
      <trackRevisions>false</trackRevisions>
    </reviewItem>
    <reviewItem>
      <errorID>3d1a5215-454a-42a5-8e5a-e6af06363008</errorID>
      <errorWord> </errorWord>
      <group>L1_Format</group>
      <groupName>格式问题</groupName>
      <ability>L2_Whitespace</ability>
      <abilityName>空白字符</abilityName>
      <candidateList>
        <item/>
      </candidateList>
      <explain>文本间存在多余的空白字符。</explain>
      <paraID>58551DA5</paraID>
      <start>16</start>
      <end>17</end>
      <status>ignored</status>
      <modifiedWord/>
      <trackRevisions>false</trackRevisions>
    </reviewItem>
    <reviewItem>
      <errorID>da7b703a-8f1c-41dd-9c56-cb9f438b0c5a</errorID>
      <errorWord>（</errorWord>
      <group>L1_Punc</group>
      <groupName>标点问题</groupName>
      <ability>L2_Punc_CN</ability>
      <abilityName>标点符号问题</abilityName>
      <candidateList/>
      <explain>同一形式括号套用。</explain>
      <paraID>63DD5A44</paraID>
      <start>185</start>
      <end>186</end>
      <status>ignored</status>
      <modifiedWord/>
      <trackRevisions>false</trackRevisions>
    </reviewItem>
    <reviewItem>
      <errorID>e53a778e-efde-4f3d-a70b-ebb746e32c6d</errorID>
      <errorWord>）</errorWord>
      <group>L1_Punc</group>
      <groupName>标点问题</groupName>
      <ability>L2_Punc_CN</ability>
      <abilityName>标点符号问题</abilityName>
      <candidateList/>
      <explain>同一形式括号套用。</explain>
      <paraID>63DD5A44</paraID>
      <start>187</start>
      <end>188</end>
      <status>ignored</status>
      <modifiedWord/>
      <trackRevisions>false</trackRevisions>
    </reviewItem>
    <reviewItem>
      <errorID>8b0cc7e0-21d8-4e48-8bb7-68a771002056</errorID>
      <errorWord>（</errorWord>
      <group>L1_Punc</group>
      <groupName>标点问题</groupName>
      <ability>L2_Punc_CN</ability>
      <abilityName>标点符号问题</abilityName>
      <candidateList/>
      <explain>同一形式括号套用。</explain>
      <paraID>63DD5A44</paraID>
      <start>191</start>
      <end>192</end>
      <status>ignored</status>
      <modifiedWord/>
      <trackRevisions>false</trackRevisions>
    </reviewItem>
    <reviewItem>
      <errorID>6a688a96-95c0-42e1-92f9-e1924668387d</errorID>
      <errorWord>）</errorWord>
      <group>L1_Punc</group>
      <groupName>标点问题</groupName>
      <ability>L2_Punc_CN</ability>
      <abilityName>标点符号问题</abilityName>
      <candidateList/>
      <explain>同一形式括号套用。</explain>
      <paraID>63DD5A44</paraID>
      <start>193</start>
      <end>194</end>
      <status>ignored</status>
      <modifiedWord/>
      <trackRevisions>false</trackRevisions>
    </reviewItem>
    <reviewItem>
      <errorID>4bd31acc-b2fd-4bdd-b98a-351538efc6aa</errorID>
      <errorWord>化学抛光</errorWord>
      <group>L1_Knowledge</group>
      <groupName>知识性问题</groupName>
      <ability>L2_Term</ability>
      <abilityName>专业术语</abilityName>
      <candidateList>
        <item>化学拋光</item>
      </candidateList>
      <explain/>
      <paraID>63DD5A44</paraID>
      <start>208</start>
      <end>212</end>
      <status>ignored</status>
      <modifiedWord/>
      <trackRevisions>false</trackRevisions>
    </reviewItem>
    <reviewItem>
      <errorID>b6abcc80-0344-4144-89fe-8c0b95ca3b48</errorID>
      <errorWord>（</errorWord>
      <group>L1_Punc</group>
      <groupName>标点问题</groupName>
      <ability>L2_Punc_CN</ability>
      <abilityName>标点符号问题</abilityName>
      <candidateList/>
      <explain>同一形式括号套用。</explain>
      <paraID>63DD5A44</paraID>
      <start>261</start>
      <end>262</end>
      <status>ignored</status>
      <modifiedWord/>
      <trackRevisions>false</trackRevisions>
    </reviewItem>
    <reviewItem>
      <errorID>368a2f41-3f46-495e-be9e-97651c36b391</errorID>
      <errorWord>）</errorWord>
      <group>L1_Punc</group>
      <groupName>标点问题</groupName>
      <ability>L2_Punc_CN</ability>
      <abilityName>标点符号问题</abilityName>
      <candidateList/>
      <explain>同一形式括号套用。</explain>
      <paraID>63DD5A44</paraID>
      <start>264</start>
      <end>265</end>
      <status>ignored</status>
      <modifiedWord/>
      <trackRevisions>false</trackRevisions>
    </reviewItem>
    <reviewItem>
      <errorID>0b308dc5-06e2-47c4-a1c5-c8df46eda66d</errorID>
      <errorWord>（</errorWord>
      <group>L1_Punc</group>
      <groupName>标点问题</groupName>
      <ability>L2_Punc_CN</ability>
      <abilityName>标点符号问题</abilityName>
      <candidateList/>
      <explain>同一形式括号套用。</explain>
      <paraID>6E0BD5DB</paraID>
      <start>217</start>
      <end>218</end>
      <status>ignored</status>
      <modifiedWord/>
      <trackRevisions>false</trackRevisions>
    </reviewItem>
    <reviewItem>
      <errorID>b033abb5-8029-47b8-9772-4263a7900b65</errorID>
      <errorWord>）</errorWord>
      <group>L1_Punc</group>
      <groupName>标点问题</groupName>
      <ability>L2_Punc_CN</ability>
      <abilityName>标点符号问题</abilityName>
      <candidateList/>
      <explain>同一形式括号套用。</explain>
      <paraID>6E0BD5DB</paraID>
      <start>219</start>
      <end>220</end>
      <status>ignored</status>
      <modifiedWord/>
      <trackRevisions>false</trackRevisions>
    </reviewItem>
    <reviewItem>
      <errorID>583a895b-1b72-438a-9c53-694c005c2acf</errorID>
      <errorWord>（</errorWord>
      <group>L1_Punc</group>
      <groupName>标点问题</groupName>
      <ability>L2_Punc_CN</ability>
      <abilityName>标点符号问题</abilityName>
      <candidateList/>
      <explain>同一形式括号套用。</explain>
      <paraID>6E0BD5DB</paraID>
      <start>223</start>
      <end>224</end>
      <status>ignored</status>
      <modifiedWord/>
      <trackRevisions>false</trackRevisions>
    </reviewItem>
    <reviewItem>
      <errorID>73ca4a8c-710a-4ca8-90ea-fabae6e63d61</errorID>
      <errorWord>）</errorWord>
      <group>L1_Punc</group>
      <groupName>标点问题</groupName>
      <ability>L2_Punc_CN</ability>
      <abilityName>标点符号问题</abilityName>
      <candidateList/>
      <explain>同一形式括号套用。</explain>
      <paraID>6E0BD5DB</paraID>
      <start>225</start>
      <end>226</end>
      <status>ignored</status>
      <modifiedWord/>
      <trackRevisions>false</trackRevisions>
    </reviewItem>
    <reviewItem>
      <errorID>e98778e0-edba-4c1b-b436-bae83f1f9b25</errorID>
      <errorWord>化学抛光</errorWord>
      <group>L1_Knowledge</group>
      <groupName>知识性问题</groupName>
      <ability>L2_Term</ability>
      <abilityName>专业术语</abilityName>
      <candidateList>
        <item>化学拋光</item>
      </candidateList>
      <explain/>
      <paraID>6E0BD5DB</paraID>
      <start>240</start>
      <end>244</end>
      <status>ignored</status>
      <modifiedWord/>
      <trackRevisions>false</trackRevisions>
    </reviewItem>
    <reviewItem>
      <errorID>add57b3f-3325-483f-9404-dbe00fd4c98e</errorID>
      <errorWord>（</errorWord>
      <group>L1_Punc</group>
      <groupName>标点问题</groupName>
      <ability>L2_Punc_CN</ability>
      <abilityName>标点符号问题</abilityName>
      <candidateList/>
      <explain>同一形式括号套用。</explain>
      <paraID>6E0BD5DB</paraID>
      <start>293</start>
      <end>294</end>
      <status>ignored</status>
      <modifiedWord/>
      <trackRevisions>false</trackRevisions>
    </reviewItem>
    <reviewItem>
      <errorID>023e1600-d156-40f7-a2ce-ea7b41819cd7</errorID>
      <errorWord>）</errorWord>
      <group>L1_Punc</group>
      <groupName>标点问题</groupName>
      <ability>L2_Punc_CN</ability>
      <abilityName>标点符号问题</abilityName>
      <candidateList/>
      <explain>同一形式括号套用。</explain>
      <paraID>6E0BD5DB</paraID>
      <start>296</start>
      <end>297</end>
      <status>ignored</status>
      <modifiedWord/>
      <trackRevisions>false</trackRevisions>
    </reviewItem>
    <reviewItem>
      <errorID>6fc2a4d0-4871-44d0-a8bf-14bd4072ee88</errorID>
      <errorWord>（</errorWord>
      <group>L1_Punc</group>
      <groupName>标点问题</groupName>
      <ability>L2_Punc_CN</ability>
      <abilityName>标点符号问题</abilityName>
      <candidateList/>
      <explain>同一形式括号套用。</explain>
      <paraID>32211072</paraID>
      <start>215</start>
      <end>216</end>
      <status>ignored</status>
      <modifiedWord/>
      <trackRevisions>false</trackRevisions>
    </reviewItem>
    <reviewItem>
      <errorID>62916b17-7d21-4595-9fa5-31ed7bdaa804</errorID>
      <errorWord>）</errorWord>
      <group>L1_Punc</group>
      <groupName>标点问题</groupName>
      <ability>L2_Punc_CN</ability>
      <abilityName>标点符号问题</abilityName>
      <candidateList/>
      <explain>同一形式括号套用。</explain>
      <paraID>32211072</paraID>
      <start>217</start>
      <end>218</end>
      <status>ignored</status>
      <modifiedWord/>
      <trackRevisions>false</trackRevisions>
    </reviewItem>
    <reviewItem>
      <errorID>c4c3f9a8-3785-4341-8ddf-3b2f3cdb89c9</errorID>
      <errorWord>（</errorWord>
      <group>L1_Punc</group>
      <groupName>标点问题</groupName>
      <ability>L2_Punc_CN</ability>
      <abilityName>标点符号问题</abilityName>
      <candidateList/>
      <explain>同一形式括号套用。</explain>
      <paraID>32211072</paraID>
      <start>221</start>
      <end>222</end>
      <status>ignored</status>
      <modifiedWord/>
      <trackRevisions>false</trackRevisions>
    </reviewItem>
    <reviewItem>
      <errorID>5348905d-862a-48fa-b0bf-bc5a431ef2e5</errorID>
      <errorWord>）</errorWord>
      <group>L1_Punc</group>
      <groupName>标点问题</groupName>
      <ability>L2_Punc_CN</ability>
      <abilityName>标点符号问题</abilityName>
      <candidateList/>
      <explain>同一形式括号套用。</explain>
      <paraID>32211072</paraID>
      <start>223</start>
      <end>224</end>
      <status>ignored</status>
      <modifiedWord/>
      <trackRevisions>false</trackRevisions>
    </reviewItem>
    <reviewItem>
      <errorID>2e7db865-4d0c-4825-aa45-093720b8de02</errorID>
      <errorWord>化学抛光</errorWord>
      <group>L1_Knowledge</group>
      <groupName>知识性问题</groupName>
      <ability>L2_Term</ability>
      <abilityName>专业术语</abilityName>
      <candidateList>
        <item>化学拋光</item>
      </candidateList>
      <explain/>
      <paraID>32211072</paraID>
      <start>238</start>
      <end>242</end>
      <status>ignored</status>
      <modifiedWord/>
      <trackRevisions>false</trackRevisions>
    </reviewItem>
    <reviewItem>
      <errorID>8057c005-e339-4af7-9dd2-6f55cf6acc7b</errorID>
      <errorWord>（</errorWord>
      <group>L1_Punc</group>
      <groupName>标点问题</groupName>
      <ability>L2_Punc_CN</ability>
      <abilityName>标点符号问题</abilityName>
      <candidateList/>
      <explain>同一形式括号套用。</explain>
      <paraID>32211072</paraID>
      <start>291</start>
      <end>292</end>
      <status>ignored</status>
      <modifiedWord/>
      <trackRevisions>false</trackRevisions>
    </reviewItem>
    <reviewItem>
      <errorID>df38bc9c-06bd-46ac-bec9-23c829f171b4</errorID>
      <errorWord>）</errorWord>
      <group>L1_Punc</group>
      <groupName>标点问题</groupName>
      <ability>L2_Punc_CN</ability>
      <abilityName>标点符号问题</abilityName>
      <candidateList/>
      <explain>同一形式括号套用。</explain>
      <paraID>32211072</paraID>
      <start>294</start>
      <end>295</end>
      <status>ignored</status>
      <modifiedWord/>
      <trackRevisions>false</trackRevisions>
    </reviewItem>
    <reviewItem>
      <errorID>d361235a-bb0f-4804-bca3-dd502b4db35b</errorID>
      <errorWord>无害化、减量化、资源化</errorWord>
      <group>L1_Political</group>
      <groupName>政治性问题</groupName>
      <ability>L2_Keyword</ability>
      <abilityName>固定表述</abilityName>
      <candidateList>
        <item>减量化、资源化、无害化</item>
      </candidateList>
      <explain>词汇“减量化、资源化、无害化”在特定场景下为固定表述形式，请确认此处的“无害化、减量化、资源化”是否存在不当。</explain>
      <paraID>5587CD9A</paraID>
      <start>26</start>
      <end>37</end>
      <status>ignored</status>
      <modifiedWord/>
      <trackRevisions>false</trackRevisions>
    </reviewItem>
    <reviewItem>
      <errorID>f02db816-3f4c-449f-ac37-f2b6162ed7ec</errorID>
      <errorWord>，...，</errorWord>
      <group>L1_Punc</group>
      <groupName>标点问题</groupName>
      <ability>L2_Punc_CN</ability>
      <abilityName>标点符号问题</abilityName>
      <candidateList>
        <item>，</item>
      </candidateList>
      <explain/>
      <paraID>3146F44F</paraID>
      <start>8</start>
      <end>13</end>
      <status>ignored</status>
      <modifiedWord/>
      <trackRevisions>false</trackRevisions>
    </reviewItem>
    <reviewItem>
      <errorID>ed44be71-fc5d-47f6-b7e6-cd2c956edc37</errorID>
      <errorWord>，...，</errorWord>
      <group>L1_Punc</group>
      <groupName>标点问题</groupName>
      <ability>L2_Punc_CN</ability>
      <abilityName>标点符号问题</abilityName>
      <candidateList>
        <item>，</item>
      </candidateList>
      <explain/>
      <paraID>4367DED4</paraID>
      <start>5</start>
      <end>10</end>
      <status>ignored</status>
      <modifiedWord/>
      <trackRevisions>false</trackRevisions>
    </reviewItem>
    <reviewItem>
      <errorID>e6da8f84-6d20-413b-bbd3-14ab939930dc</errorID>
      <errorWord>。</errorWord>
      <group>L1_Format</group>
      <groupName>格式问题</groupName>
      <ability>L2_HalfPunc_CN</ability>
      <abilityName>全半角问题</abilityName>
      <candidateList>
        <item>.</item>
      </candidateList>
      <explain>文本全半角错误。</explain>
      <paraID>13AD3248</paraID>
      <start>178</start>
      <end>179</end>
      <status>ignored</status>
      <modifiedWord/>
      <trackRevisions>false</trackRevisions>
    </reviewItem>
    <reviewItem>
      <errorID>d1b6d0aa-00b6-4957-bd4f-5232abf8edaf</errorID>
      <errorWord>（</errorWord>
      <group>L1_Punc</group>
      <groupName>标点问题</groupName>
      <ability>L2_Punc_CN</ability>
      <abilityName>标点符号问题</abilityName>
      <candidateList/>
      <explain>同一形式括号套用。</explain>
      <paraID>177136FC</paraID>
      <start>52</start>
      <end>53</end>
      <status>ignored</status>
      <modifiedWord/>
      <trackRevisions>false</trackRevisions>
    </reviewItem>
    <reviewItem>
      <errorID>a42bd7c1-bf9d-40d6-9b4d-e3188b122ef3</errorID>
      <errorWord>）</errorWord>
      <group>L1_Punc</group>
      <groupName>标点问题</groupName>
      <ability>L2_Punc_CN</ability>
      <abilityName>标点符号问题</abilityName>
      <candidateList/>
      <explain>同一形式括号套用。</explain>
      <paraID>177136FC</paraID>
      <start>67</start>
      <end>68</end>
      <status>ignored</status>
      <modifiedWord/>
      <trackRevisions>false</trackRevisions>
    </reviewItem>
    <reviewItem>
      <errorID>0f39a9c5-ee08-46f4-b25e-2160c0954edf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7C1821F5</paraID>
      <start>71</start>
      <end>72</end>
      <status>ignored</status>
      <modifiedWord/>
      <trackRevisions>false</trackRevisions>
    </reviewItem>
    <reviewItem>
      <errorID>a200fe6c-60a7-45d5-a55f-b415cf7acfa9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3AD7915E</paraID>
      <start>109</start>
      <end>110</end>
      <status>ignored</status>
      <modifiedWord/>
      <trackRevisions>false</trackRevisions>
    </reviewItem>
    <reviewItem>
      <errorID>96c1119c-87a3-40b3-b80a-a3f363e5d231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728F309B</paraID>
      <start>0</start>
      <end>2</end>
      <status>ignored</status>
      <modifiedWord/>
      <trackRevisions>false</trackRevisions>
    </reviewItem>
    <reviewItem>
      <errorID>f0726e9c-5bc5-41e6-ba46-d9e1b3b376f8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ACCD573</paraID>
      <start>0</start>
      <end>2</end>
      <status>ignored</status>
      <modifiedWord/>
      <trackRevisions>false</trackRevisions>
    </reviewItem>
    <reviewItem>
      <errorID>a2ff7e54-bb2e-477d-906c-98c39ff736fe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7FEF627F</paraID>
      <start>0</start>
      <end>2</end>
      <status>ignored</status>
      <modifiedWord/>
      <trackRevisions>false</trackRevisions>
    </reviewItem>
    <reviewItem>
      <errorID>f8decf7a-21e0-4d96-8857-429bdacae8b7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163EEFB5</paraID>
      <start>0</start>
      <end>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77eea8f-bdea-456c-aafa-05a47b7289e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81</Pages>
  <Words>45373</Words>
  <Characters>52449</Characters>
  <Lines>456</Lines>
  <Paragraphs>128</Paragraphs>
  <TotalTime>7</TotalTime>
  <ScaleCrop>false</ScaleCrop>
  <LinksUpToDate>false</LinksUpToDate>
  <CharactersWithSpaces>53728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2024-08-02T09:33:00Z</dcterms:created>
  <dc:creator>lhj</dc:creator>
  <cp:lastModifiedBy>yxfeng</cp:lastModifiedBy>
  <cp:lastPrinted>2026-07-15T02:15:00Z</cp:lastPrinted>
  <dcterms:modified xsi:type="dcterms:W3CDTF">2026-07-29T02:44:31Z</dcterms:modified>
  <dc:title>附件2</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F9A9EB244BBD451BBF794080F5206316_13</vt:lpwstr>
  </property>
  <property fmtid="{D5CDD505-2E9C-101B-9397-08002B2CF9AE}" pid="4" name="KSOTemplateDocerSaveRecord">
    <vt:lpwstr>eyJoZGlkIjoiMDhiZDAxNzQ5MDE0MTljY2ZjYjM4N2EzNzQ5YTk0NmMiLCJ1c2VySWQiOiI1OTU0MjE1NTIifQ==</vt:lpwstr>
  </property>
</Properties>
</file>